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CF102">
      <w:pPr>
        <w:ind w:firstLine="0" w:firstLineChars="0"/>
        <w:rPr>
          <w:rFonts w:ascii="仿宋_GB2312" w:hAnsi="仿宋_GB2312" w:eastAsia="仿宋_GB2312" w:cs="仿宋_GB2312"/>
          <w:sz w:val="36"/>
          <w:szCs w:val="36"/>
        </w:rPr>
      </w:pPr>
    </w:p>
    <w:p w14:paraId="6D7CB9B3">
      <w:pPr>
        <w:rPr>
          <w:rFonts w:ascii="仿宋_GB2312" w:hAnsi="仿宋_GB2312" w:eastAsia="仿宋_GB2312" w:cs="仿宋_GB2312"/>
          <w:sz w:val="36"/>
          <w:szCs w:val="36"/>
        </w:rPr>
      </w:pPr>
    </w:p>
    <w:p w14:paraId="55AC3AEF">
      <w:pPr>
        <w:pStyle w:val="14"/>
        <w:ind w:firstLine="480"/>
      </w:pPr>
    </w:p>
    <w:p w14:paraId="29EA7970">
      <w:pPr>
        <w:adjustRightInd w:val="0"/>
        <w:snapToGrid w:val="0"/>
        <w:ind w:firstLine="0" w:firstLineChars="0"/>
        <w:jc w:val="center"/>
        <w:outlineLvl w:val="0"/>
        <w:rPr>
          <w:bCs/>
          <w:sz w:val="72"/>
          <w:szCs w:val="72"/>
        </w:rPr>
      </w:pPr>
      <w:r>
        <w:rPr>
          <w:bCs/>
          <w:sz w:val="72"/>
          <w:szCs w:val="72"/>
        </w:rPr>
        <w:t>建设项目环境影响报告表</w:t>
      </w:r>
    </w:p>
    <w:p w14:paraId="2561BBC5">
      <w:pPr>
        <w:adjustRightInd w:val="0"/>
        <w:snapToGrid w:val="0"/>
        <w:spacing w:before="192" w:beforeLines="80"/>
        <w:ind w:firstLine="0" w:firstLineChars="0"/>
        <w:jc w:val="center"/>
        <w:rPr>
          <w:bCs/>
          <w:sz w:val="48"/>
          <w:szCs w:val="48"/>
        </w:rPr>
      </w:pPr>
      <w:r>
        <w:rPr>
          <w:bCs/>
          <w:sz w:val="48"/>
          <w:szCs w:val="48"/>
        </w:rPr>
        <w:t>（污染影响类）</w:t>
      </w:r>
    </w:p>
    <w:p w14:paraId="656AB780">
      <w:pPr>
        <w:adjustRightInd w:val="0"/>
        <w:snapToGrid w:val="0"/>
        <w:spacing w:line="288" w:lineRule="auto"/>
        <w:ind w:firstLine="880"/>
        <w:jc w:val="center"/>
        <w:outlineLvl w:val="9"/>
        <w:rPr>
          <w:color w:val="000000"/>
          <w:kern w:val="44"/>
          <w:sz w:val="44"/>
          <w:szCs w:val="44"/>
        </w:rPr>
      </w:pPr>
    </w:p>
    <w:p w14:paraId="3D6C143F">
      <w:pPr>
        <w:ind w:firstLine="880"/>
        <w:rPr>
          <w:sz w:val="44"/>
          <w:szCs w:val="44"/>
        </w:rPr>
      </w:pPr>
    </w:p>
    <w:p w14:paraId="634F6AA4">
      <w:pPr>
        <w:ind w:firstLine="880"/>
        <w:rPr>
          <w:sz w:val="44"/>
          <w:szCs w:val="44"/>
        </w:rPr>
      </w:pPr>
    </w:p>
    <w:p w14:paraId="1528269C">
      <w:pPr>
        <w:adjustRightInd w:val="0"/>
        <w:snapToGrid w:val="0"/>
        <w:ind w:left="2621" w:leftChars="342" w:hanging="1800" w:hangingChars="500"/>
        <w:jc w:val="both"/>
        <w:rPr>
          <w:rFonts w:hint="default" w:eastAsia="宋体"/>
          <w:sz w:val="36"/>
          <w:szCs w:val="36"/>
          <w:u w:val="single"/>
          <w:lang w:val="en-US" w:eastAsia="zh-CN"/>
        </w:rPr>
      </w:pPr>
      <w:r>
        <w:rPr>
          <w:sz w:val="36"/>
          <w:szCs w:val="36"/>
        </w:rPr>
        <w:t>项目名称：</w:t>
      </w:r>
      <w:r>
        <w:rPr>
          <w:rFonts w:hint="eastAsia"/>
          <w:sz w:val="36"/>
          <w:szCs w:val="36"/>
          <w:u w:val="single"/>
          <w:lang w:val="en-US" w:eastAsia="zh-CN"/>
        </w:rPr>
        <w:t xml:space="preserve">  和</w:t>
      </w:r>
      <w:r>
        <w:rPr>
          <w:rFonts w:hint="eastAsia"/>
          <w:sz w:val="36"/>
          <w:szCs w:val="36"/>
          <w:u w:val="single"/>
        </w:rPr>
        <w:t>顺物流能源站建设项</w:t>
      </w:r>
      <w:r>
        <w:rPr>
          <w:rFonts w:hint="eastAsia"/>
          <w:sz w:val="36"/>
          <w:szCs w:val="36"/>
          <w:u w:val="single"/>
          <w:lang w:val="en-US" w:eastAsia="zh-CN"/>
        </w:rPr>
        <w:t xml:space="preserve">目          </w:t>
      </w:r>
    </w:p>
    <w:p w14:paraId="2B4AB954">
      <w:pPr>
        <w:adjustRightInd w:val="0"/>
        <w:snapToGrid w:val="0"/>
        <w:jc w:val="both"/>
        <w:rPr>
          <w:rFonts w:hint="default" w:eastAsia="宋体"/>
          <w:sz w:val="36"/>
          <w:szCs w:val="36"/>
          <w:u w:val="single"/>
          <w:lang w:val="en-US" w:eastAsia="zh-CN"/>
        </w:rPr>
      </w:pPr>
      <w:r>
        <w:rPr>
          <w:sz w:val="36"/>
          <w:szCs w:val="36"/>
        </w:rPr>
        <w:t>建设单位（盖章）：</w:t>
      </w:r>
      <w:r>
        <w:rPr>
          <w:rFonts w:hint="eastAsia"/>
          <w:sz w:val="36"/>
          <w:szCs w:val="36"/>
          <w:u w:val="single"/>
          <w:lang w:val="en-US" w:eastAsia="zh-CN"/>
        </w:rPr>
        <w:t xml:space="preserve"> 库尔勒奇正物流</w:t>
      </w:r>
      <w:r>
        <w:rPr>
          <w:rFonts w:hint="eastAsia"/>
          <w:sz w:val="36"/>
          <w:szCs w:val="36"/>
          <w:u w:val="single"/>
        </w:rPr>
        <w:t>有限责任公司</w:t>
      </w:r>
      <w:r>
        <w:rPr>
          <w:rFonts w:hint="eastAsia"/>
          <w:sz w:val="36"/>
          <w:szCs w:val="36"/>
          <w:u w:val="single"/>
          <w:lang w:val="en-US" w:eastAsia="zh-CN"/>
        </w:rPr>
        <w:t xml:space="preserve">  </w:t>
      </w:r>
    </w:p>
    <w:p w14:paraId="5C1219A2">
      <w:pPr>
        <w:adjustRightInd w:val="0"/>
        <w:snapToGrid w:val="0"/>
        <w:jc w:val="both"/>
        <w:rPr>
          <w:sz w:val="36"/>
          <w:szCs w:val="36"/>
          <w:u w:val="single"/>
        </w:rPr>
      </w:pPr>
      <w:r>
        <w:rPr>
          <w:sz w:val="36"/>
          <w:szCs w:val="36"/>
        </w:rPr>
        <w:t>编制日期：</w:t>
      </w:r>
      <w:r>
        <w:rPr>
          <w:sz w:val="36"/>
          <w:szCs w:val="36"/>
          <w:u w:val="single"/>
        </w:rPr>
        <w:t xml:space="preserve">     </w:t>
      </w:r>
      <w:r>
        <w:rPr>
          <w:rFonts w:hint="eastAsia" w:ascii="方正小标宋_GBK" w:eastAsia="方正小标宋_GBK"/>
          <w:sz w:val="36"/>
          <w:szCs w:val="36"/>
          <w:u w:val="single"/>
        </w:rPr>
        <w:t xml:space="preserve">    </w:t>
      </w:r>
      <w:r>
        <w:rPr>
          <w:sz w:val="36"/>
          <w:szCs w:val="36"/>
          <w:u w:val="single"/>
        </w:rPr>
        <w:t xml:space="preserve"> 202</w:t>
      </w:r>
      <w:r>
        <w:rPr>
          <w:rFonts w:hint="eastAsia"/>
          <w:sz w:val="36"/>
          <w:szCs w:val="36"/>
          <w:u w:val="single"/>
          <w:lang w:val="en-US" w:eastAsia="zh-CN"/>
        </w:rPr>
        <w:t>6</w:t>
      </w:r>
      <w:r>
        <w:rPr>
          <w:sz w:val="36"/>
          <w:szCs w:val="36"/>
          <w:u w:val="single"/>
        </w:rPr>
        <w:t>年</w:t>
      </w:r>
      <w:r>
        <w:rPr>
          <w:rFonts w:hint="eastAsia"/>
          <w:sz w:val="36"/>
          <w:szCs w:val="36"/>
          <w:u w:val="single"/>
          <w:lang w:val="en-US" w:eastAsia="zh-CN"/>
        </w:rPr>
        <w:t>4</w:t>
      </w:r>
      <w:r>
        <w:rPr>
          <w:sz w:val="36"/>
          <w:szCs w:val="36"/>
          <w:u w:val="single"/>
        </w:rPr>
        <w:t>月</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14:paraId="5C0C1533">
      <w:pPr>
        <w:adjustRightInd w:val="0"/>
        <w:snapToGrid w:val="0"/>
        <w:jc w:val="both"/>
        <w:rPr>
          <w:sz w:val="36"/>
          <w:szCs w:val="36"/>
          <w:u w:val="single"/>
        </w:rPr>
      </w:pPr>
      <w:bookmarkStart w:id="0" w:name="_Hlk57884087"/>
    </w:p>
    <w:p w14:paraId="07DD032B">
      <w:pPr>
        <w:adjustRightInd w:val="0"/>
        <w:snapToGrid w:val="0"/>
        <w:spacing w:line="288" w:lineRule="auto"/>
        <w:rPr>
          <w:sz w:val="36"/>
          <w:szCs w:val="36"/>
        </w:rPr>
      </w:pPr>
    </w:p>
    <w:p w14:paraId="1D05B2EE">
      <w:pPr>
        <w:adjustRightInd w:val="0"/>
        <w:snapToGrid w:val="0"/>
        <w:spacing w:line="288" w:lineRule="auto"/>
        <w:rPr>
          <w:sz w:val="36"/>
          <w:szCs w:val="36"/>
        </w:rPr>
      </w:pPr>
    </w:p>
    <w:p w14:paraId="48B9B67B">
      <w:pPr>
        <w:adjustRightInd w:val="0"/>
        <w:snapToGrid w:val="0"/>
        <w:spacing w:line="288" w:lineRule="auto"/>
        <w:rPr>
          <w:sz w:val="36"/>
          <w:szCs w:val="36"/>
        </w:rPr>
      </w:pPr>
    </w:p>
    <w:p w14:paraId="63E2B973">
      <w:pPr>
        <w:adjustRightInd w:val="0"/>
        <w:snapToGrid w:val="0"/>
        <w:spacing w:line="288" w:lineRule="auto"/>
        <w:rPr>
          <w:sz w:val="36"/>
          <w:szCs w:val="36"/>
        </w:rPr>
      </w:pPr>
    </w:p>
    <w:bookmarkEnd w:id="0"/>
    <w:p w14:paraId="2139ADB0">
      <w:pPr>
        <w:adjustRightInd w:val="0"/>
        <w:snapToGrid w:val="0"/>
        <w:spacing w:line="288" w:lineRule="auto"/>
        <w:jc w:val="both"/>
        <w:rPr>
          <w:sz w:val="36"/>
          <w:szCs w:val="36"/>
        </w:rPr>
      </w:pPr>
    </w:p>
    <w:p w14:paraId="3A422874">
      <w:pPr>
        <w:adjustRightInd w:val="0"/>
        <w:snapToGrid w:val="0"/>
        <w:spacing w:line="288" w:lineRule="auto"/>
        <w:jc w:val="center"/>
        <w:rPr>
          <w:sz w:val="36"/>
          <w:szCs w:val="36"/>
        </w:rPr>
      </w:pPr>
      <w:r>
        <w:rPr>
          <w:sz w:val="36"/>
          <w:szCs w:val="36"/>
        </w:rPr>
        <w:t>中华人民共和国生态环境部制</w:t>
      </w:r>
    </w:p>
    <w:p w14:paraId="7EBDF84A">
      <w:pPr>
        <w:adjustRightInd w:val="0"/>
        <w:snapToGrid w:val="0"/>
        <w:spacing w:line="288" w:lineRule="auto"/>
        <w:rPr>
          <w:rFonts w:ascii="仿宋_GB2312" w:eastAsia="仿宋_GB2312"/>
          <w:sz w:val="36"/>
          <w:szCs w:val="36"/>
        </w:rPr>
        <w:sectPr>
          <w:headerReference r:id="rId5" w:type="default"/>
          <w:footerReference r:id="rId6" w:type="default"/>
          <w:footerReference r:id="rId7"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4265BB34">
      <w:pPr>
        <w:pStyle w:val="4"/>
      </w:pPr>
      <w:r>
        <w:rPr>
          <w:rFonts w:hint="eastAsia"/>
        </w:rPr>
        <w:t>一、建设项目基本情况</w:t>
      </w:r>
    </w:p>
    <w:tbl>
      <w:tblPr>
        <w:tblStyle w:val="20"/>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01"/>
        <w:gridCol w:w="1443"/>
        <w:gridCol w:w="2175"/>
        <w:gridCol w:w="1910"/>
        <w:gridCol w:w="2941"/>
      </w:tblGrid>
      <w:tr w14:paraId="12B9F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1844" w:type="dxa"/>
            <w:gridSpan w:val="2"/>
            <w:tcMar>
              <w:top w:w="16" w:type="dxa"/>
              <w:left w:w="16" w:type="dxa"/>
              <w:right w:w="16" w:type="dxa"/>
            </w:tcMar>
            <w:vAlign w:val="center"/>
          </w:tcPr>
          <w:p w14:paraId="1D7E132B">
            <w:pPr>
              <w:adjustRightInd w:val="0"/>
              <w:snapToGrid w:val="0"/>
              <w:spacing w:line="240" w:lineRule="auto"/>
              <w:ind w:firstLine="0" w:firstLineChars="0"/>
              <w:jc w:val="center"/>
            </w:pPr>
            <w:r>
              <w:t>建设项目名称</w:t>
            </w:r>
          </w:p>
        </w:tc>
        <w:tc>
          <w:tcPr>
            <w:tcW w:w="7026" w:type="dxa"/>
            <w:gridSpan w:val="3"/>
            <w:vAlign w:val="center"/>
          </w:tcPr>
          <w:p w14:paraId="7D1307D7">
            <w:pPr>
              <w:adjustRightInd w:val="0"/>
              <w:snapToGrid w:val="0"/>
              <w:spacing w:line="240" w:lineRule="auto"/>
              <w:ind w:firstLine="0" w:firstLineChars="0"/>
              <w:jc w:val="center"/>
            </w:pPr>
            <w:bookmarkStart w:id="1" w:name="OLE_LINK1"/>
            <w:r>
              <w:rPr>
                <w:rFonts w:hint="eastAsia"/>
                <w:lang w:val="en-US" w:eastAsia="zh-CN"/>
              </w:rPr>
              <w:t>和顺物流能源站</w:t>
            </w:r>
            <w:r>
              <w:rPr>
                <w:rFonts w:hint="eastAsia"/>
              </w:rPr>
              <w:t>建设项目</w:t>
            </w:r>
            <w:bookmarkEnd w:id="1"/>
          </w:p>
        </w:tc>
      </w:tr>
      <w:tr w14:paraId="1A754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1844" w:type="dxa"/>
            <w:gridSpan w:val="2"/>
            <w:tcMar>
              <w:top w:w="16" w:type="dxa"/>
              <w:left w:w="16" w:type="dxa"/>
              <w:right w:w="16" w:type="dxa"/>
            </w:tcMar>
            <w:vAlign w:val="center"/>
          </w:tcPr>
          <w:p w14:paraId="786509EE">
            <w:pPr>
              <w:adjustRightInd w:val="0"/>
              <w:snapToGrid w:val="0"/>
              <w:spacing w:line="240" w:lineRule="auto"/>
              <w:ind w:firstLine="0" w:firstLineChars="0"/>
              <w:jc w:val="center"/>
            </w:pPr>
            <w:r>
              <w:t>项目代码</w:t>
            </w:r>
          </w:p>
        </w:tc>
        <w:tc>
          <w:tcPr>
            <w:tcW w:w="7026" w:type="dxa"/>
            <w:gridSpan w:val="3"/>
            <w:vAlign w:val="center"/>
          </w:tcPr>
          <w:p w14:paraId="4CFDB368">
            <w:pPr>
              <w:adjustRightInd w:val="0"/>
              <w:snapToGrid w:val="0"/>
              <w:spacing w:line="240" w:lineRule="auto"/>
              <w:ind w:firstLine="480"/>
              <w:jc w:val="center"/>
              <w:rPr>
                <w:rFonts w:hint="default" w:eastAsia="宋体"/>
                <w:lang w:val="en-US" w:eastAsia="zh-CN"/>
              </w:rPr>
            </w:pPr>
          </w:p>
        </w:tc>
      </w:tr>
      <w:tr w14:paraId="7CB6A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844" w:type="dxa"/>
            <w:gridSpan w:val="2"/>
            <w:tcMar>
              <w:top w:w="16" w:type="dxa"/>
              <w:left w:w="16" w:type="dxa"/>
              <w:right w:w="16" w:type="dxa"/>
            </w:tcMar>
            <w:vAlign w:val="center"/>
          </w:tcPr>
          <w:p w14:paraId="27A12C76">
            <w:pPr>
              <w:adjustRightInd w:val="0"/>
              <w:snapToGrid w:val="0"/>
              <w:spacing w:line="240" w:lineRule="auto"/>
              <w:ind w:firstLine="0" w:firstLineChars="0"/>
              <w:jc w:val="center"/>
            </w:pPr>
            <w:r>
              <w:t>建设单位联系人</w:t>
            </w:r>
          </w:p>
        </w:tc>
        <w:tc>
          <w:tcPr>
            <w:tcW w:w="2175" w:type="dxa"/>
            <w:vAlign w:val="center"/>
          </w:tcPr>
          <w:p w14:paraId="50A697ED">
            <w:pPr>
              <w:adjustRightInd w:val="0"/>
              <w:snapToGrid w:val="0"/>
              <w:spacing w:line="240" w:lineRule="auto"/>
              <w:ind w:firstLine="0" w:firstLineChars="0"/>
              <w:jc w:val="center"/>
              <w:rPr>
                <w:rFonts w:hint="eastAsia" w:eastAsia="宋体"/>
                <w:lang w:eastAsia="zh-CN"/>
              </w:rPr>
            </w:pPr>
          </w:p>
        </w:tc>
        <w:tc>
          <w:tcPr>
            <w:tcW w:w="1910" w:type="dxa"/>
            <w:vAlign w:val="center"/>
          </w:tcPr>
          <w:p w14:paraId="3DA32B07">
            <w:pPr>
              <w:adjustRightInd w:val="0"/>
              <w:snapToGrid w:val="0"/>
              <w:spacing w:line="240" w:lineRule="auto"/>
              <w:ind w:firstLine="0" w:firstLineChars="0"/>
              <w:jc w:val="center"/>
            </w:pPr>
          </w:p>
        </w:tc>
        <w:tc>
          <w:tcPr>
            <w:tcW w:w="2941" w:type="dxa"/>
            <w:vAlign w:val="center"/>
          </w:tcPr>
          <w:p w14:paraId="6B3DD2D8">
            <w:pPr>
              <w:adjustRightInd w:val="0"/>
              <w:snapToGrid w:val="0"/>
              <w:spacing w:line="240" w:lineRule="auto"/>
              <w:ind w:firstLine="0" w:firstLineChars="0"/>
              <w:jc w:val="center"/>
              <w:rPr>
                <w:rFonts w:hint="default" w:eastAsia="宋体"/>
                <w:lang w:val="en-US" w:eastAsia="zh-CN"/>
              </w:rPr>
            </w:pPr>
          </w:p>
        </w:tc>
      </w:tr>
      <w:tr w14:paraId="760C7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844" w:type="dxa"/>
            <w:gridSpan w:val="2"/>
            <w:tcMar>
              <w:top w:w="16" w:type="dxa"/>
              <w:left w:w="16" w:type="dxa"/>
              <w:right w:w="16" w:type="dxa"/>
            </w:tcMar>
            <w:vAlign w:val="center"/>
          </w:tcPr>
          <w:p w14:paraId="0D2F635B">
            <w:pPr>
              <w:adjustRightInd w:val="0"/>
              <w:snapToGrid w:val="0"/>
              <w:spacing w:line="240" w:lineRule="auto"/>
              <w:ind w:firstLine="0" w:firstLineChars="0"/>
              <w:jc w:val="center"/>
            </w:pPr>
            <w:r>
              <w:t>建设地点</w:t>
            </w:r>
          </w:p>
        </w:tc>
        <w:tc>
          <w:tcPr>
            <w:tcW w:w="7026" w:type="dxa"/>
            <w:gridSpan w:val="3"/>
            <w:vAlign w:val="center"/>
          </w:tcPr>
          <w:p w14:paraId="601F7741">
            <w:pPr>
              <w:adjustRightInd w:val="0"/>
              <w:snapToGrid w:val="0"/>
              <w:spacing w:line="240" w:lineRule="auto"/>
              <w:ind w:firstLine="0" w:firstLineChars="0"/>
              <w:jc w:val="center"/>
              <w:rPr>
                <w:rFonts w:hint="default" w:eastAsia="宋体"/>
                <w:lang w:val="en-US" w:eastAsia="zh-CN"/>
              </w:rPr>
            </w:pPr>
          </w:p>
        </w:tc>
      </w:tr>
      <w:tr w14:paraId="03444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44" w:type="dxa"/>
            <w:gridSpan w:val="2"/>
            <w:tcMar>
              <w:top w:w="16" w:type="dxa"/>
              <w:left w:w="16" w:type="dxa"/>
              <w:right w:w="16" w:type="dxa"/>
            </w:tcMar>
            <w:vAlign w:val="center"/>
          </w:tcPr>
          <w:p w14:paraId="7C078FD7">
            <w:pPr>
              <w:adjustRightInd w:val="0"/>
              <w:snapToGrid w:val="0"/>
              <w:spacing w:line="240" w:lineRule="auto"/>
              <w:ind w:firstLine="0" w:firstLineChars="0"/>
              <w:jc w:val="center"/>
            </w:pPr>
            <w:r>
              <w:t>地理坐标</w:t>
            </w:r>
          </w:p>
        </w:tc>
        <w:tc>
          <w:tcPr>
            <w:tcW w:w="7026" w:type="dxa"/>
            <w:gridSpan w:val="3"/>
            <w:vAlign w:val="center"/>
          </w:tcPr>
          <w:p w14:paraId="28E2F067">
            <w:pPr>
              <w:adjustRightInd w:val="0"/>
              <w:snapToGrid w:val="0"/>
              <w:spacing w:line="240" w:lineRule="auto"/>
              <w:ind w:firstLine="0" w:firstLineChars="0"/>
              <w:jc w:val="center"/>
            </w:pPr>
          </w:p>
        </w:tc>
      </w:tr>
      <w:tr w14:paraId="08914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844" w:type="dxa"/>
            <w:gridSpan w:val="2"/>
            <w:tcMar>
              <w:top w:w="16" w:type="dxa"/>
              <w:left w:w="16" w:type="dxa"/>
              <w:right w:w="16" w:type="dxa"/>
            </w:tcMar>
            <w:vAlign w:val="center"/>
          </w:tcPr>
          <w:p w14:paraId="4BFF79EF">
            <w:pPr>
              <w:adjustRightInd w:val="0"/>
              <w:snapToGrid w:val="0"/>
              <w:spacing w:line="240" w:lineRule="auto"/>
              <w:ind w:firstLine="0" w:firstLineChars="0"/>
              <w:jc w:val="center"/>
            </w:pPr>
            <w:r>
              <w:t>国民经济</w:t>
            </w:r>
          </w:p>
          <w:p w14:paraId="6A5DCC4F">
            <w:pPr>
              <w:adjustRightInd w:val="0"/>
              <w:snapToGrid w:val="0"/>
              <w:spacing w:line="240" w:lineRule="auto"/>
              <w:ind w:firstLine="0" w:firstLineChars="0"/>
              <w:jc w:val="center"/>
            </w:pPr>
            <w:r>
              <w:t>行业类别</w:t>
            </w:r>
          </w:p>
        </w:tc>
        <w:tc>
          <w:tcPr>
            <w:tcW w:w="2175" w:type="dxa"/>
            <w:vAlign w:val="center"/>
          </w:tcPr>
          <w:p w14:paraId="7B17FDF5">
            <w:pPr>
              <w:adjustRightInd w:val="0"/>
              <w:snapToGrid w:val="0"/>
              <w:spacing w:line="240" w:lineRule="auto"/>
              <w:ind w:firstLine="0" w:firstLineChars="0"/>
              <w:jc w:val="both"/>
            </w:pPr>
            <w:r>
              <w:rPr>
                <w:bCs/>
              </w:rPr>
              <w:t>机动车燃油零售F5265</w:t>
            </w:r>
          </w:p>
        </w:tc>
        <w:tc>
          <w:tcPr>
            <w:tcW w:w="1910" w:type="dxa"/>
            <w:vAlign w:val="center"/>
          </w:tcPr>
          <w:p w14:paraId="567BE95C">
            <w:pPr>
              <w:adjustRightInd w:val="0"/>
              <w:snapToGrid w:val="0"/>
              <w:spacing w:line="240" w:lineRule="auto"/>
              <w:ind w:firstLine="0" w:firstLineChars="0"/>
              <w:jc w:val="center"/>
            </w:pPr>
            <w:bookmarkStart w:id="2" w:name="_Hlk49843745"/>
            <w:r>
              <w:t>建设项目</w:t>
            </w:r>
          </w:p>
          <w:p w14:paraId="6C6947AA">
            <w:pPr>
              <w:adjustRightInd w:val="0"/>
              <w:snapToGrid w:val="0"/>
              <w:spacing w:line="240" w:lineRule="auto"/>
              <w:ind w:firstLine="0" w:firstLineChars="0"/>
              <w:jc w:val="center"/>
            </w:pPr>
            <w:r>
              <w:t>行业类别</w:t>
            </w:r>
            <w:bookmarkEnd w:id="2"/>
          </w:p>
        </w:tc>
        <w:tc>
          <w:tcPr>
            <w:tcW w:w="2941" w:type="dxa"/>
            <w:vAlign w:val="center"/>
          </w:tcPr>
          <w:p w14:paraId="2D8E6B5C">
            <w:pPr>
              <w:adjustRightInd w:val="0"/>
              <w:snapToGrid w:val="0"/>
              <w:spacing w:line="240" w:lineRule="auto"/>
              <w:ind w:firstLine="0" w:firstLineChars="0"/>
              <w:jc w:val="both"/>
            </w:pPr>
            <w:r>
              <w:rPr>
                <w:rFonts w:hint="eastAsia"/>
                <w:lang w:val="en-US" w:eastAsia="zh-CN"/>
              </w:rPr>
              <w:t>五十、社会事业与服务业</w:t>
            </w:r>
            <w:r>
              <w:t>、</w:t>
            </w:r>
            <w:r>
              <w:rPr>
                <w:rFonts w:hint="eastAsia"/>
                <w:lang w:val="en-US" w:eastAsia="zh-CN"/>
              </w:rPr>
              <w:t>119</w:t>
            </w:r>
            <w:r>
              <w:rPr>
                <w:rFonts w:hint="eastAsia"/>
              </w:rPr>
              <w:t>加油、加气站</w:t>
            </w:r>
            <w:r>
              <w:t>—</w:t>
            </w:r>
            <w:r>
              <w:rPr>
                <w:rFonts w:hint="eastAsia"/>
              </w:rPr>
              <w:t>城市建成区新建、扩建加油站</w:t>
            </w:r>
          </w:p>
        </w:tc>
      </w:tr>
      <w:tr w14:paraId="66B22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44" w:type="dxa"/>
            <w:gridSpan w:val="2"/>
            <w:tcMar>
              <w:top w:w="16" w:type="dxa"/>
              <w:left w:w="16" w:type="dxa"/>
              <w:right w:w="16" w:type="dxa"/>
            </w:tcMar>
            <w:vAlign w:val="center"/>
          </w:tcPr>
          <w:p w14:paraId="3737A829">
            <w:pPr>
              <w:adjustRightInd w:val="0"/>
              <w:snapToGrid w:val="0"/>
              <w:spacing w:line="240" w:lineRule="auto"/>
              <w:ind w:firstLine="0" w:firstLineChars="0"/>
              <w:jc w:val="center"/>
            </w:pPr>
            <w:r>
              <w:t>建设性质</w:t>
            </w:r>
          </w:p>
        </w:tc>
        <w:tc>
          <w:tcPr>
            <w:tcW w:w="2175" w:type="dxa"/>
            <w:vAlign w:val="center"/>
          </w:tcPr>
          <w:p w14:paraId="0ABD97DB">
            <w:pPr>
              <w:adjustRightInd w:val="0"/>
              <w:snapToGrid w:val="0"/>
              <w:spacing w:line="240" w:lineRule="auto"/>
              <w:ind w:firstLine="0" w:firstLineChars="0"/>
            </w:pPr>
            <w:r>
              <w:rPr/>
              <w:sym w:font="Wingdings 2" w:char="F052"/>
            </w:r>
            <w:r>
              <w:t>新建（迁建）</w:t>
            </w:r>
          </w:p>
          <w:p w14:paraId="0F2E6FC9">
            <w:pPr>
              <w:adjustRightInd w:val="0"/>
              <w:snapToGrid w:val="0"/>
              <w:spacing w:line="240" w:lineRule="auto"/>
              <w:ind w:firstLine="0" w:firstLineChars="0"/>
            </w:pPr>
            <w:r>
              <w:rPr/>
              <w:sym w:font="Wingdings 2" w:char="00A3"/>
            </w:r>
            <w:r>
              <w:t>改建</w:t>
            </w:r>
          </w:p>
          <w:p w14:paraId="63B45EFB">
            <w:pPr>
              <w:adjustRightInd w:val="0"/>
              <w:snapToGrid w:val="0"/>
              <w:spacing w:line="240" w:lineRule="auto"/>
              <w:ind w:firstLine="0" w:firstLineChars="0"/>
            </w:pPr>
            <w:r>
              <w:rPr/>
              <w:sym w:font="Wingdings 2" w:char="00A3"/>
            </w:r>
            <w:r>
              <w:t>扩建</w:t>
            </w:r>
          </w:p>
          <w:p w14:paraId="01F5F7C4">
            <w:pPr>
              <w:adjustRightInd w:val="0"/>
              <w:snapToGrid w:val="0"/>
              <w:spacing w:line="240" w:lineRule="auto"/>
              <w:ind w:firstLine="0" w:firstLineChars="0"/>
            </w:pPr>
            <w:r>
              <w:rPr/>
              <w:sym w:font="Wingdings 2" w:char="00A3"/>
            </w:r>
            <w:r>
              <w:t>技术改造</w:t>
            </w:r>
          </w:p>
        </w:tc>
        <w:tc>
          <w:tcPr>
            <w:tcW w:w="1910" w:type="dxa"/>
            <w:vAlign w:val="center"/>
          </w:tcPr>
          <w:p w14:paraId="589E3C9F">
            <w:pPr>
              <w:adjustRightInd w:val="0"/>
              <w:snapToGrid w:val="0"/>
              <w:spacing w:line="240" w:lineRule="auto"/>
              <w:ind w:firstLine="0" w:firstLineChars="0"/>
              <w:jc w:val="center"/>
            </w:pPr>
            <w:r>
              <w:t>建设项目</w:t>
            </w:r>
          </w:p>
          <w:p w14:paraId="1E714904">
            <w:pPr>
              <w:adjustRightInd w:val="0"/>
              <w:snapToGrid w:val="0"/>
              <w:spacing w:line="240" w:lineRule="auto"/>
              <w:ind w:firstLine="0" w:firstLineChars="0"/>
              <w:jc w:val="center"/>
            </w:pPr>
            <w:r>
              <w:t>申报情形</w:t>
            </w:r>
          </w:p>
        </w:tc>
        <w:tc>
          <w:tcPr>
            <w:tcW w:w="2941" w:type="dxa"/>
            <w:vAlign w:val="center"/>
          </w:tcPr>
          <w:p w14:paraId="004FA271">
            <w:pPr>
              <w:adjustRightInd w:val="0"/>
              <w:snapToGrid w:val="0"/>
              <w:spacing w:line="240" w:lineRule="auto"/>
              <w:ind w:firstLine="0" w:firstLineChars="0"/>
            </w:pPr>
            <w:r>
              <w:rPr/>
              <w:sym w:font="Wingdings 2" w:char="F052"/>
            </w:r>
            <w:r>
              <w:t>首次申报项目</w:t>
            </w:r>
          </w:p>
          <w:p w14:paraId="0ED1809C">
            <w:pPr>
              <w:adjustRightInd w:val="0"/>
              <w:snapToGrid w:val="0"/>
              <w:spacing w:line="240" w:lineRule="auto"/>
              <w:ind w:firstLine="0" w:firstLineChars="0"/>
            </w:pPr>
            <w:r>
              <w:rPr/>
              <w:sym w:font="Wingdings 2" w:char="00A3"/>
            </w:r>
            <w:r>
              <w:t>不予批准后再次申报项目</w:t>
            </w:r>
          </w:p>
          <w:p w14:paraId="6E6606E0">
            <w:pPr>
              <w:adjustRightInd w:val="0"/>
              <w:snapToGrid w:val="0"/>
              <w:spacing w:line="240" w:lineRule="auto"/>
              <w:ind w:firstLine="0" w:firstLineChars="0"/>
            </w:pPr>
            <w:r>
              <w:rPr/>
              <w:sym w:font="Wingdings 2" w:char="00A3"/>
            </w:r>
            <w:r>
              <w:t>超五年重新审核项目</w:t>
            </w:r>
          </w:p>
          <w:p w14:paraId="2B53D462">
            <w:pPr>
              <w:adjustRightInd w:val="0"/>
              <w:snapToGrid w:val="0"/>
              <w:spacing w:line="240" w:lineRule="auto"/>
              <w:ind w:firstLine="0" w:firstLineChars="0"/>
            </w:pPr>
            <w:r>
              <w:rPr/>
              <w:sym w:font="Wingdings 2" w:char="00A3"/>
            </w:r>
            <w:r>
              <w:t>重大变动重新报批项目</w:t>
            </w:r>
          </w:p>
        </w:tc>
      </w:tr>
      <w:tr w14:paraId="45C7E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44" w:type="dxa"/>
            <w:gridSpan w:val="2"/>
            <w:tcMar>
              <w:top w:w="16" w:type="dxa"/>
              <w:left w:w="16" w:type="dxa"/>
              <w:right w:w="16" w:type="dxa"/>
            </w:tcMar>
            <w:vAlign w:val="center"/>
          </w:tcPr>
          <w:p w14:paraId="36EE75E7">
            <w:pPr>
              <w:adjustRightInd w:val="0"/>
              <w:snapToGrid w:val="0"/>
              <w:spacing w:line="240" w:lineRule="auto"/>
              <w:ind w:left="0" w:leftChars="0" w:firstLine="0" w:firstLineChars="0"/>
              <w:jc w:val="both"/>
            </w:pPr>
            <w:r>
              <w:t>项目审批（核准/备案）部门（选填）</w:t>
            </w:r>
          </w:p>
        </w:tc>
        <w:tc>
          <w:tcPr>
            <w:tcW w:w="2175" w:type="dxa"/>
            <w:vAlign w:val="center"/>
          </w:tcPr>
          <w:p w14:paraId="6B8CF7DC">
            <w:pPr>
              <w:adjustRightInd w:val="0"/>
              <w:snapToGrid w:val="0"/>
              <w:spacing w:line="240" w:lineRule="auto"/>
              <w:ind w:firstLine="480"/>
              <w:jc w:val="center"/>
            </w:pPr>
            <w:r>
              <w:rPr>
                <w:rFonts w:hint="eastAsia"/>
              </w:rPr>
              <w:t>/</w:t>
            </w:r>
          </w:p>
        </w:tc>
        <w:tc>
          <w:tcPr>
            <w:tcW w:w="1910" w:type="dxa"/>
            <w:vAlign w:val="center"/>
          </w:tcPr>
          <w:p w14:paraId="69E0323E">
            <w:pPr>
              <w:adjustRightInd w:val="0"/>
              <w:snapToGrid w:val="0"/>
              <w:spacing w:line="240" w:lineRule="auto"/>
              <w:ind w:firstLine="0" w:firstLineChars="0"/>
              <w:jc w:val="both"/>
            </w:pPr>
            <w:r>
              <w:t>项目审批（核准/</w:t>
            </w:r>
          </w:p>
          <w:p w14:paraId="371451EE">
            <w:pPr>
              <w:adjustRightInd w:val="0"/>
              <w:snapToGrid w:val="0"/>
              <w:spacing w:line="240" w:lineRule="auto"/>
              <w:ind w:firstLine="0" w:firstLineChars="0"/>
              <w:jc w:val="both"/>
            </w:pPr>
            <w:r>
              <w:t>备案）文号（选填）</w:t>
            </w:r>
          </w:p>
        </w:tc>
        <w:tc>
          <w:tcPr>
            <w:tcW w:w="2941" w:type="dxa"/>
            <w:vAlign w:val="center"/>
          </w:tcPr>
          <w:p w14:paraId="1EDE2B3C">
            <w:pPr>
              <w:adjustRightInd w:val="0"/>
              <w:snapToGrid w:val="0"/>
              <w:spacing w:line="240" w:lineRule="auto"/>
              <w:ind w:firstLine="480"/>
              <w:jc w:val="center"/>
            </w:pPr>
            <w:r>
              <w:rPr>
                <w:rFonts w:hint="eastAsia"/>
              </w:rPr>
              <w:t>/</w:t>
            </w:r>
          </w:p>
        </w:tc>
      </w:tr>
      <w:tr w14:paraId="1F5D6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4" w:type="dxa"/>
            <w:gridSpan w:val="2"/>
            <w:tcMar>
              <w:top w:w="16" w:type="dxa"/>
              <w:left w:w="16" w:type="dxa"/>
              <w:right w:w="16" w:type="dxa"/>
            </w:tcMar>
            <w:vAlign w:val="center"/>
          </w:tcPr>
          <w:p w14:paraId="18C58528">
            <w:pPr>
              <w:adjustRightInd w:val="0"/>
              <w:snapToGrid w:val="0"/>
              <w:spacing w:line="240" w:lineRule="auto"/>
              <w:ind w:left="0" w:leftChars="0" w:firstLine="0" w:firstLineChars="0"/>
              <w:jc w:val="center"/>
            </w:pPr>
            <w:r>
              <w:t>总投资（万元）</w:t>
            </w:r>
          </w:p>
        </w:tc>
        <w:tc>
          <w:tcPr>
            <w:tcW w:w="2175" w:type="dxa"/>
            <w:vAlign w:val="center"/>
          </w:tcPr>
          <w:p w14:paraId="42A5321C">
            <w:pPr>
              <w:adjustRightInd w:val="0"/>
              <w:snapToGrid w:val="0"/>
              <w:spacing w:line="240" w:lineRule="auto"/>
              <w:ind w:left="0" w:leftChars="0" w:firstLine="0" w:firstLineChars="0"/>
              <w:jc w:val="center"/>
              <w:rPr>
                <w:rFonts w:hint="default" w:eastAsia="宋体"/>
                <w:color w:val="FF0000"/>
                <w:lang w:val="en-US" w:eastAsia="zh-CN"/>
              </w:rPr>
            </w:pPr>
            <w:r>
              <w:rPr>
                <w:rFonts w:hint="eastAsia"/>
                <w:color w:val="000000" w:themeColor="text1"/>
                <w:lang w:val="en-US" w:eastAsia="zh-CN"/>
                <w14:textFill>
                  <w14:solidFill>
                    <w14:schemeClr w14:val="tx1"/>
                  </w14:solidFill>
                </w14:textFill>
              </w:rPr>
              <w:t>2000</w:t>
            </w:r>
          </w:p>
        </w:tc>
        <w:tc>
          <w:tcPr>
            <w:tcW w:w="1910" w:type="dxa"/>
            <w:tcMar>
              <w:top w:w="16" w:type="dxa"/>
              <w:left w:w="16" w:type="dxa"/>
              <w:right w:w="16" w:type="dxa"/>
            </w:tcMar>
            <w:vAlign w:val="center"/>
          </w:tcPr>
          <w:p w14:paraId="68338A48">
            <w:pPr>
              <w:adjustRightInd w:val="0"/>
              <w:snapToGrid w:val="0"/>
              <w:spacing w:line="240" w:lineRule="auto"/>
              <w:ind w:firstLine="0" w:firstLineChars="0"/>
              <w:jc w:val="both"/>
            </w:pPr>
            <w:r>
              <w:t>环保投资（万元）</w:t>
            </w:r>
          </w:p>
        </w:tc>
        <w:tc>
          <w:tcPr>
            <w:tcW w:w="2941" w:type="dxa"/>
            <w:vAlign w:val="center"/>
          </w:tcPr>
          <w:p w14:paraId="1E22E7BC">
            <w:pPr>
              <w:adjustRightInd w:val="0"/>
              <w:snapToGrid w:val="0"/>
              <w:spacing w:line="240" w:lineRule="auto"/>
              <w:ind w:firstLine="0" w:firstLineChars="0"/>
              <w:jc w:val="center"/>
              <w:rPr>
                <w:rFonts w:hint="default" w:eastAsia="宋体"/>
                <w:color w:val="FF0000"/>
                <w:lang w:val="en-US" w:eastAsia="zh-CN"/>
              </w:rPr>
            </w:pPr>
            <w:r>
              <w:rPr>
                <w:rFonts w:hint="eastAsia"/>
                <w:color w:val="auto"/>
                <w:lang w:val="en-US" w:eastAsia="zh-CN"/>
              </w:rPr>
              <w:t>26</w:t>
            </w:r>
          </w:p>
        </w:tc>
      </w:tr>
      <w:tr w14:paraId="5A33BE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844" w:type="dxa"/>
            <w:gridSpan w:val="2"/>
            <w:tcMar>
              <w:top w:w="16" w:type="dxa"/>
              <w:left w:w="16" w:type="dxa"/>
              <w:right w:w="16" w:type="dxa"/>
            </w:tcMar>
            <w:vAlign w:val="center"/>
          </w:tcPr>
          <w:p w14:paraId="00DBA971">
            <w:pPr>
              <w:adjustRightInd w:val="0"/>
              <w:snapToGrid w:val="0"/>
              <w:spacing w:line="240" w:lineRule="auto"/>
              <w:ind w:firstLine="0" w:firstLineChars="0"/>
              <w:jc w:val="center"/>
            </w:pPr>
            <w:r>
              <w:t>环保投资占比（%）</w:t>
            </w:r>
          </w:p>
        </w:tc>
        <w:tc>
          <w:tcPr>
            <w:tcW w:w="2175" w:type="dxa"/>
            <w:vAlign w:val="center"/>
          </w:tcPr>
          <w:p w14:paraId="3CC73BA7">
            <w:pPr>
              <w:adjustRightInd w:val="0"/>
              <w:snapToGrid w:val="0"/>
              <w:spacing w:line="240" w:lineRule="auto"/>
              <w:ind w:firstLine="0" w:firstLineChars="0"/>
              <w:jc w:val="center"/>
              <w:rPr>
                <w:rFonts w:hint="default" w:eastAsia="宋体"/>
                <w:lang w:val="en-US" w:eastAsia="zh-CN"/>
              </w:rPr>
            </w:pPr>
            <w:r>
              <w:rPr>
                <w:rFonts w:hint="eastAsia"/>
                <w:lang w:val="en-US" w:eastAsia="zh-CN"/>
              </w:rPr>
              <w:t>1.3</w:t>
            </w:r>
          </w:p>
        </w:tc>
        <w:tc>
          <w:tcPr>
            <w:tcW w:w="1910" w:type="dxa"/>
            <w:tcMar>
              <w:top w:w="16" w:type="dxa"/>
              <w:left w:w="16" w:type="dxa"/>
              <w:right w:w="16" w:type="dxa"/>
            </w:tcMar>
            <w:vAlign w:val="center"/>
          </w:tcPr>
          <w:p w14:paraId="29C6BB19">
            <w:pPr>
              <w:adjustRightInd w:val="0"/>
              <w:snapToGrid w:val="0"/>
              <w:spacing w:line="240" w:lineRule="auto"/>
              <w:ind w:firstLine="0" w:firstLineChars="0"/>
              <w:jc w:val="both"/>
            </w:pPr>
            <w:r>
              <w:t>施工工期</w:t>
            </w:r>
            <w:r>
              <w:rPr>
                <w:rFonts w:hint="eastAsia"/>
              </w:rPr>
              <w:t>（月）</w:t>
            </w:r>
          </w:p>
        </w:tc>
        <w:tc>
          <w:tcPr>
            <w:tcW w:w="2941" w:type="dxa"/>
            <w:vAlign w:val="center"/>
          </w:tcPr>
          <w:p w14:paraId="55CCBB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lang w:val="en-US" w:eastAsia="zh-CN"/>
              </w:rPr>
              <w:t>8</w:t>
            </w:r>
            <w:r>
              <w:rPr>
                <w:rFonts w:hint="eastAsia"/>
              </w:rPr>
              <w:t>个月</w:t>
            </w:r>
          </w:p>
        </w:tc>
      </w:tr>
      <w:tr w14:paraId="4961C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4" w:type="dxa"/>
            <w:gridSpan w:val="2"/>
            <w:tcMar>
              <w:top w:w="16" w:type="dxa"/>
              <w:left w:w="16" w:type="dxa"/>
              <w:right w:w="16" w:type="dxa"/>
            </w:tcMar>
            <w:vAlign w:val="center"/>
          </w:tcPr>
          <w:p w14:paraId="5468322D">
            <w:pPr>
              <w:adjustRightInd w:val="0"/>
              <w:snapToGrid w:val="0"/>
              <w:spacing w:line="240" w:lineRule="auto"/>
              <w:ind w:firstLine="0" w:firstLineChars="0"/>
              <w:jc w:val="center"/>
            </w:pPr>
            <w:r>
              <w:t>是否开工建设</w:t>
            </w:r>
          </w:p>
        </w:tc>
        <w:tc>
          <w:tcPr>
            <w:tcW w:w="2175" w:type="dxa"/>
            <w:vAlign w:val="center"/>
          </w:tcPr>
          <w:p w14:paraId="0CE8FA43">
            <w:pPr>
              <w:adjustRightInd w:val="0"/>
              <w:snapToGrid w:val="0"/>
              <w:spacing w:line="240" w:lineRule="auto"/>
              <w:ind w:firstLine="0" w:firstLineChars="0"/>
            </w:pPr>
            <w:r>
              <w:rPr/>
              <w:sym w:font="Wingdings 2" w:char="0052"/>
            </w:r>
            <w:r>
              <w:t>否</w:t>
            </w:r>
          </w:p>
          <w:p w14:paraId="1B8EA5CB">
            <w:pPr>
              <w:adjustRightInd w:val="0"/>
              <w:snapToGrid w:val="0"/>
              <w:spacing w:line="240" w:lineRule="auto"/>
              <w:ind w:firstLine="0" w:firstLineChars="0"/>
              <w:rPr>
                <w:u w:val="single"/>
              </w:rPr>
            </w:pPr>
            <w:r>
              <w:rPr/>
              <w:sym w:font="Wingdings 2" w:char="00A3"/>
            </w:r>
            <w:r>
              <w:t>是：</w:t>
            </w:r>
            <w:r>
              <w:rPr>
                <w:rFonts w:hint="eastAsia"/>
                <w:u w:val="single"/>
              </w:rPr>
              <w:t xml:space="preserve">       </w:t>
            </w:r>
          </w:p>
        </w:tc>
        <w:tc>
          <w:tcPr>
            <w:tcW w:w="1910" w:type="dxa"/>
            <w:tcMar>
              <w:top w:w="16" w:type="dxa"/>
              <w:left w:w="16" w:type="dxa"/>
              <w:right w:w="16" w:type="dxa"/>
            </w:tcMar>
            <w:vAlign w:val="center"/>
          </w:tcPr>
          <w:p w14:paraId="0156EC50">
            <w:pPr>
              <w:adjustRightInd w:val="0"/>
              <w:snapToGrid w:val="0"/>
              <w:spacing w:line="240" w:lineRule="auto"/>
              <w:ind w:firstLine="0" w:firstLineChars="0"/>
              <w:jc w:val="both"/>
            </w:pPr>
            <w:r>
              <w:rPr>
                <w:spacing w:val="-6"/>
              </w:rPr>
              <w:t>用地（用海）面积（m</w:t>
            </w:r>
            <w:r>
              <w:rPr>
                <w:spacing w:val="-6"/>
                <w:vertAlign w:val="superscript"/>
              </w:rPr>
              <w:t>2</w:t>
            </w:r>
            <w:r>
              <w:rPr>
                <w:spacing w:val="-6"/>
              </w:rPr>
              <w:t>）</w:t>
            </w:r>
          </w:p>
        </w:tc>
        <w:tc>
          <w:tcPr>
            <w:tcW w:w="2941" w:type="dxa"/>
            <w:vAlign w:val="center"/>
          </w:tcPr>
          <w:p w14:paraId="70F51430">
            <w:pPr>
              <w:adjustRightInd w:val="0"/>
              <w:snapToGrid w:val="0"/>
              <w:spacing w:line="240" w:lineRule="auto"/>
              <w:ind w:firstLine="0" w:firstLineChars="0"/>
              <w:jc w:val="center"/>
              <w:rPr>
                <w:rFonts w:hint="default" w:eastAsia="宋体"/>
                <w:lang w:val="en-US" w:eastAsia="zh-CN"/>
              </w:rPr>
            </w:pPr>
            <w:r>
              <w:rPr>
                <w:rFonts w:hint="eastAsia"/>
                <w:lang w:val="en-US" w:eastAsia="zh-CN"/>
              </w:rPr>
              <w:t>8500</w:t>
            </w:r>
          </w:p>
        </w:tc>
      </w:tr>
      <w:tr w14:paraId="76EA9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844" w:type="dxa"/>
            <w:gridSpan w:val="2"/>
            <w:vAlign w:val="center"/>
          </w:tcPr>
          <w:p w14:paraId="7FA03499">
            <w:pPr>
              <w:autoSpaceDE w:val="0"/>
              <w:autoSpaceDN w:val="0"/>
              <w:adjustRightInd w:val="0"/>
              <w:snapToGrid w:val="0"/>
              <w:spacing w:line="240" w:lineRule="auto"/>
              <w:ind w:firstLine="0" w:firstLineChars="0"/>
              <w:jc w:val="center"/>
            </w:pPr>
            <w:r>
              <w:t>专项评价设置情况</w:t>
            </w:r>
          </w:p>
        </w:tc>
        <w:tc>
          <w:tcPr>
            <w:tcW w:w="7026" w:type="dxa"/>
            <w:gridSpan w:val="3"/>
            <w:vAlign w:val="center"/>
          </w:tcPr>
          <w:p w14:paraId="7D98859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eastAsia="宋体"/>
                <w:lang w:val="en-US" w:eastAsia="zh-CN"/>
              </w:rPr>
            </w:pPr>
            <w:r>
              <w:rPr>
                <w:rFonts w:hint="eastAsia"/>
                <w:lang w:val="en-US" w:eastAsia="zh-CN"/>
              </w:rPr>
              <w:t>无</w:t>
            </w:r>
          </w:p>
        </w:tc>
      </w:tr>
      <w:tr w14:paraId="2CA37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844" w:type="dxa"/>
            <w:gridSpan w:val="2"/>
            <w:vAlign w:val="center"/>
          </w:tcPr>
          <w:p w14:paraId="7412A881">
            <w:pPr>
              <w:autoSpaceDE w:val="0"/>
              <w:autoSpaceDN w:val="0"/>
              <w:adjustRightInd w:val="0"/>
              <w:snapToGrid w:val="0"/>
              <w:spacing w:line="240" w:lineRule="auto"/>
              <w:ind w:firstLine="0" w:firstLineChars="0"/>
              <w:jc w:val="center"/>
            </w:pPr>
            <w:r>
              <w:t>规划情况</w:t>
            </w:r>
          </w:p>
        </w:tc>
        <w:tc>
          <w:tcPr>
            <w:tcW w:w="7026" w:type="dxa"/>
            <w:gridSpan w:val="3"/>
            <w:vAlign w:val="center"/>
          </w:tcPr>
          <w:p w14:paraId="05B41D14">
            <w:pPr>
              <w:autoSpaceDE w:val="0"/>
              <w:autoSpaceDN w:val="0"/>
              <w:adjustRightInd w:val="0"/>
              <w:snapToGrid w:val="0"/>
              <w:spacing w:line="240" w:lineRule="auto"/>
              <w:ind w:firstLine="0" w:firstLineChars="0"/>
              <w:jc w:val="center"/>
            </w:pPr>
            <w:r>
              <w:rPr>
                <w:rFonts w:hint="eastAsia"/>
              </w:rPr>
              <w:t>无</w:t>
            </w:r>
          </w:p>
        </w:tc>
      </w:tr>
      <w:tr w14:paraId="4B8CB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844" w:type="dxa"/>
            <w:gridSpan w:val="2"/>
            <w:vAlign w:val="center"/>
          </w:tcPr>
          <w:p w14:paraId="2FDC4771">
            <w:pPr>
              <w:adjustRightInd w:val="0"/>
              <w:snapToGrid w:val="0"/>
              <w:spacing w:line="240" w:lineRule="auto"/>
              <w:ind w:firstLine="0" w:firstLineChars="0"/>
              <w:jc w:val="center"/>
            </w:pPr>
            <w:r>
              <w:t>规划环境影响评价情况</w:t>
            </w:r>
          </w:p>
        </w:tc>
        <w:tc>
          <w:tcPr>
            <w:tcW w:w="7026" w:type="dxa"/>
            <w:gridSpan w:val="3"/>
            <w:vAlign w:val="center"/>
          </w:tcPr>
          <w:p w14:paraId="0CFC48CF">
            <w:pPr>
              <w:autoSpaceDE w:val="0"/>
              <w:autoSpaceDN w:val="0"/>
              <w:adjustRightInd w:val="0"/>
              <w:snapToGrid w:val="0"/>
              <w:spacing w:line="240" w:lineRule="auto"/>
              <w:ind w:firstLine="0" w:firstLineChars="0"/>
              <w:jc w:val="center"/>
            </w:pPr>
            <w:r>
              <w:rPr>
                <w:rFonts w:hint="eastAsia"/>
              </w:rPr>
              <w:t>无</w:t>
            </w:r>
          </w:p>
        </w:tc>
      </w:tr>
      <w:tr w14:paraId="1ACB6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844" w:type="dxa"/>
            <w:gridSpan w:val="2"/>
            <w:vAlign w:val="center"/>
          </w:tcPr>
          <w:p w14:paraId="004F20DB">
            <w:pPr>
              <w:autoSpaceDE w:val="0"/>
              <w:autoSpaceDN w:val="0"/>
              <w:adjustRightInd w:val="0"/>
              <w:snapToGrid w:val="0"/>
              <w:spacing w:line="240" w:lineRule="auto"/>
              <w:ind w:firstLine="0" w:firstLineChars="0"/>
              <w:jc w:val="center"/>
            </w:pPr>
            <w:r>
              <w:t>规划及规划环境影响评价符合性分析</w:t>
            </w:r>
          </w:p>
        </w:tc>
        <w:tc>
          <w:tcPr>
            <w:tcW w:w="7026" w:type="dxa"/>
            <w:gridSpan w:val="3"/>
            <w:vAlign w:val="center"/>
          </w:tcPr>
          <w:p w14:paraId="7A3F4316">
            <w:pPr>
              <w:pStyle w:val="14"/>
              <w:adjustRightInd w:val="0"/>
              <w:snapToGrid w:val="0"/>
              <w:spacing w:before="0" w:line="240" w:lineRule="auto"/>
              <w:ind w:firstLine="0" w:firstLineChars="0"/>
              <w:jc w:val="center"/>
            </w:pPr>
            <w:r>
              <w:rPr>
                <w:rFonts w:hint="eastAsia"/>
              </w:rPr>
              <w:t>无</w:t>
            </w:r>
          </w:p>
        </w:tc>
      </w:tr>
      <w:tr w14:paraId="7FAC9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01" w:type="dxa"/>
            <w:vAlign w:val="center"/>
          </w:tcPr>
          <w:p w14:paraId="59386AC2">
            <w:pPr>
              <w:autoSpaceDE w:val="0"/>
              <w:autoSpaceDN w:val="0"/>
              <w:adjustRightInd w:val="0"/>
              <w:snapToGrid w:val="0"/>
              <w:spacing w:line="240" w:lineRule="auto"/>
              <w:ind w:left="0" w:leftChars="0" w:firstLine="0" w:firstLineChars="0"/>
              <w:jc w:val="both"/>
            </w:pPr>
            <w:r>
              <w:rPr>
                <w:rFonts w:hint="eastAsia"/>
                <w:lang w:val="en-US" w:eastAsia="zh-CN"/>
              </w:rPr>
              <w:t>其</w:t>
            </w:r>
            <w:r>
              <w:t>他符合性分析</w:t>
            </w:r>
          </w:p>
        </w:tc>
        <w:tc>
          <w:tcPr>
            <w:tcW w:w="8469" w:type="dxa"/>
            <w:gridSpan w:val="4"/>
            <w:vAlign w:val="center"/>
          </w:tcPr>
          <w:p w14:paraId="7795FE42">
            <w:pPr>
              <w:bidi w:val="0"/>
              <w:ind w:left="0" w:leftChars="0" w:firstLine="0" w:firstLineChars="0"/>
              <w:rPr>
                <w:rFonts w:hint="default" w:eastAsia="宋体"/>
                <w:b/>
                <w:bCs/>
                <w:lang w:val="en-US" w:eastAsia="zh-CN"/>
              </w:rPr>
            </w:pPr>
            <w:r>
              <w:rPr>
                <w:rFonts w:hint="eastAsia"/>
                <w:b/>
                <w:bCs/>
                <w:lang w:val="en-US" w:eastAsia="zh-CN"/>
              </w:rPr>
              <w:t>1.1</w:t>
            </w:r>
            <w:r>
              <w:rPr>
                <w:rFonts w:hint="eastAsia"/>
                <w:b/>
                <w:bCs/>
                <w:color w:val="000000" w:themeColor="text1"/>
                <w14:textFill>
                  <w14:solidFill>
                    <w14:schemeClr w14:val="tx1"/>
                  </w14:solidFill>
                </w14:textFill>
              </w:rPr>
              <w:t>产业政策符合性分析</w:t>
            </w:r>
          </w:p>
          <w:p w14:paraId="0B1AA416">
            <w:pPr>
              <w:pStyle w:val="2"/>
              <w:ind w:left="0" w:leftChars="0" w:firstLine="480" w:firstLineChars="200"/>
              <w:rPr>
                <w:rFonts w:hint="eastAsia"/>
                <w:b/>
                <w:bCs/>
              </w:rPr>
            </w:pPr>
            <w:r>
              <w:rPr>
                <w:rFonts w:hint="eastAsia"/>
                <w:color w:val="000000" w:themeColor="text1"/>
                <w:lang w:val="en-US" w:eastAsia="zh-CN"/>
                <w14:textFill>
                  <w14:solidFill>
                    <w14:schemeClr w14:val="tx1"/>
                  </w14:solidFill>
                </w14:textFill>
              </w:rPr>
              <w:t>根据</w:t>
            </w:r>
            <w:r>
              <w:rPr>
                <w:rFonts w:hint="eastAsia"/>
                <w:color w:val="000000" w:themeColor="text1"/>
                <w14:textFill>
                  <w14:solidFill>
                    <w14:schemeClr w14:val="tx1"/>
                  </w14:solidFill>
                </w14:textFill>
              </w:rPr>
              <w:t>国家发展和改革委员会《产业结构调整指导目录》（2024年本），</w:t>
            </w:r>
            <w:r>
              <w:rPr>
                <w:rFonts w:hint="eastAsia"/>
                <w:color w:val="000000" w:themeColor="text1"/>
                <w:lang w:val="en-US" w:eastAsia="zh-CN"/>
                <w14:textFill>
                  <w14:solidFill>
                    <w14:schemeClr w14:val="tx1"/>
                  </w14:solidFill>
                </w14:textFill>
              </w:rPr>
              <w:t>本项目</w:t>
            </w:r>
            <w:r>
              <w:rPr>
                <w:rFonts w:hint="eastAsia"/>
                <w:color w:val="000000" w:themeColor="text1"/>
                <w14:textFill>
                  <w14:solidFill>
                    <w14:schemeClr w14:val="tx1"/>
                  </w14:solidFill>
                </w14:textFill>
              </w:rPr>
              <w:t>不属于鼓励类、限制类、淘汰类，</w:t>
            </w:r>
            <w:r>
              <w:rPr>
                <w:rFonts w:hint="eastAsia" w:cs="Times New Roman"/>
                <w:szCs w:val="24"/>
              </w:rPr>
              <w:t>根据国务院《促进产业结构调整暂行规定》（国发〔2005〕40号）第十三条“不属于鼓励类、限制类和淘汰类，且符合国家有关法律、法规和政策规定的，为允许类”，故本项目属于允许类。项目建设符合国家产业政策</w:t>
            </w:r>
            <w:r>
              <w:rPr>
                <w:rFonts w:hint="eastAsia"/>
              </w:rPr>
              <w:t>。</w:t>
            </w:r>
          </w:p>
          <w:p w14:paraId="2E8E3D4E">
            <w:pPr>
              <w:ind w:left="0" w:leftChars="0" w:firstLine="0" w:firstLineChars="0"/>
              <w:rPr>
                <w:rFonts w:hint="default" w:eastAsia="宋体"/>
                <w:b/>
                <w:bCs/>
                <w:lang w:val="en-US" w:eastAsia="zh-CN"/>
              </w:rPr>
            </w:pPr>
            <w:r>
              <w:rPr>
                <w:rFonts w:hint="eastAsia"/>
                <w:b/>
                <w:bCs/>
                <w:lang w:val="en-US" w:eastAsia="zh-CN"/>
              </w:rPr>
              <w:t>1.2</w:t>
            </w:r>
            <w:r>
              <w:rPr>
                <w:rFonts w:hint="eastAsia"/>
                <w:b/>
                <w:bCs/>
                <w:color w:val="000000" w:themeColor="text1"/>
                <w14:textFill>
                  <w14:solidFill>
                    <w14:schemeClr w14:val="tx1"/>
                  </w14:solidFill>
                </w14:textFill>
              </w:rPr>
              <w:t>选址合理性分析</w:t>
            </w:r>
          </w:p>
          <w:p w14:paraId="4DE1FF4C">
            <w:pPr>
              <w:keepNext w:val="0"/>
              <w:keepLines w:val="0"/>
              <w:widowControl/>
              <w:suppressLineNumbers w:val="0"/>
              <w:jc w:val="left"/>
              <w:rPr>
                <w:rFonts w:hint="eastAsia" w:ascii="Times New Roman" w:hAnsi="Times New Roman" w:eastAsia="宋体" w:cs="Times New Roman"/>
                <w:snapToGrid w:val="0"/>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sz w:val="24"/>
                <w:szCs w:val="24"/>
                <w:lang w:val="en-US" w:eastAsia="zh-CN" w:bidi="ar-SA"/>
                <w14:textFill>
                  <w14:solidFill>
                    <w14:schemeClr w14:val="tx1"/>
                  </w14:solidFill>
                </w14:textFill>
              </w:rPr>
              <w:t>根据《汽车加油加气加氢站技术标准》（GB50156-2021）中3.0.16条规定，本项目选址位于</w:t>
            </w:r>
            <w:r>
              <w:t>新疆维吾尔自治区巴音郭楞蒙古自治州</w:t>
            </w:r>
            <w:r>
              <w:rPr>
                <w:rFonts w:hint="eastAsia"/>
                <w:lang w:val="en-US" w:eastAsia="zh-CN"/>
              </w:rPr>
              <w:t>库尔勒市和顺市场东侧</w:t>
            </w:r>
            <w:r>
              <w:rPr>
                <w:rFonts w:hint="eastAsia" w:ascii="Times New Roman" w:hAnsi="Times New Roman" w:eastAsia="宋体" w:cs="Times New Roman"/>
                <w:snapToGrid w:val="0"/>
                <w:color w:val="000000" w:themeColor="text1"/>
                <w:sz w:val="24"/>
                <w:szCs w:val="24"/>
                <w:lang w:val="en-US" w:eastAsia="zh-CN" w:bidi="ar-SA"/>
                <w14:textFill>
                  <w14:solidFill>
                    <w14:schemeClr w14:val="tx1"/>
                  </w14:solidFill>
                </w14:textFill>
              </w:rPr>
              <w:t>。地势平坦宽广，交通便利，地理位置优越，</w:t>
            </w:r>
            <w:r>
              <w:rPr>
                <w:rFonts w:cs="Times New Roman"/>
                <w:szCs w:val="24"/>
              </w:rPr>
              <w:t>周边50m内无危险化学品生产、使用、储存场所，无明火设施，无居民区、商业中心、公园等人口密集区域</w:t>
            </w:r>
            <w:r>
              <w:rPr>
                <w:rFonts w:hint="eastAsia" w:cs="Times New Roman"/>
                <w:szCs w:val="24"/>
                <w:lang w:eastAsia="zh-CN"/>
              </w:rPr>
              <w:t>，</w:t>
            </w:r>
            <w:r>
              <w:rPr>
                <w:rFonts w:hint="eastAsia"/>
              </w:rPr>
              <w:t>站内设施与站外建（构）筑物的安全间距，以及站内工艺设施之间的防火间距，均符合《汽车加油加气加氢站技术标准》（GB 50156</w:t>
            </w:r>
            <w:r>
              <w:rPr>
                <w:rFonts w:hint="eastAsia"/>
                <w:lang w:val="en-US" w:eastAsia="zh-CN"/>
              </w:rPr>
              <w:t>-</w:t>
            </w:r>
            <w:r>
              <w:rPr>
                <w:rFonts w:hint="eastAsia"/>
              </w:rPr>
              <w:t>2021）的要求</w:t>
            </w:r>
            <w:r>
              <w:rPr>
                <w:rFonts w:hint="eastAsia"/>
                <w:lang w:eastAsia="zh-CN"/>
              </w:rPr>
              <w:t>。</w:t>
            </w:r>
            <w:r>
              <w:rPr>
                <w:rFonts w:hint="eastAsia"/>
                <w:lang w:val="en-US" w:eastAsia="zh-CN"/>
              </w:rPr>
              <w:t>因此</w:t>
            </w:r>
            <w:r>
              <w:rPr>
                <w:rFonts w:hint="eastAsia"/>
              </w:rPr>
              <w:t>选址合理，符合规划要求</w:t>
            </w:r>
            <w:r>
              <w:t>。</w:t>
            </w:r>
          </w:p>
          <w:p w14:paraId="04B27DBB">
            <w:pPr>
              <w:pStyle w:val="5"/>
              <w:rPr>
                <w:color w:val="000000" w:themeColor="text1"/>
                <w:highlight w:val="none"/>
                <w14:textFill>
                  <w14:solidFill>
                    <w14:schemeClr w14:val="tx1"/>
                  </w14:solidFill>
                </w14:textFill>
              </w:rPr>
            </w:pPr>
            <w:r>
              <w:rPr>
                <w:rFonts w:hint="eastAsia"/>
                <w:highlight w:val="none"/>
                <w:lang w:val="en-US" w:eastAsia="zh-CN"/>
              </w:rPr>
              <w:t>1.3</w:t>
            </w:r>
            <w:r>
              <w:rPr>
                <w:rFonts w:hint="eastAsia"/>
                <w:highlight w:val="none"/>
              </w:rPr>
              <w:t>生态环境分区管控</w:t>
            </w:r>
            <w:r>
              <w:rPr>
                <w:rFonts w:hint="eastAsia"/>
                <w:color w:val="000000" w:themeColor="text1"/>
                <w:highlight w:val="none"/>
                <w14:textFill>
                  <w14:solidFill>
                    <w14:schemeClr w14:val="tx1"/>
                  </w14:solidFill>
                </w14:textFill>
              </w:rPr>
              <w:t>相</w:t>
            </w:r>
            <w:r>
              <w:rPr>
                <w:color w:val="000000" w:themeColor="text1"/>
                <w:highlight w:val="none"/>
                <w14:textFill>
                  <w14:solidFill>
                    <w14:schemeClr w14:val="tx1"/>
                  </w14:solidFill>
                </w14:textFill>
              </w:rPr>
              <w:t>符性</w:t>
            </w:r>
            <w:r>
              <w:rPr>
                <w:rFonts w:hint="eastAsia"/>
                <w:color w:val="000000" w:themeColor="text1"/>
                <w:highlight w:val="none"/>
                <w14:textFill>
                  <w14:solidFill>
                    <w14:schemeClr w14:val="tx1"/>
                  </w14:solidFill>
                </w14:textFill>
              </w:rPr>
              <w:t>分析</w:t>
            </w:r>
          </w:p>
          <w:p w14:paraId="2BA87A55">
            <w:pPr>
              <w:ind w:firstLine="480"/>
              <w:rPr>
                <w:rFonts w:cs="Times New Roman"/>
                <w:color w:val="000000" w:themeColor="text1"/>
                <w:szCs w:val="24"/>
                <w14:textFill>
                  <w14:solidFill>
                    <w14:schemeClr w14:val="tx1"/>
                  </w14:solidFill>
                </w14:textFill>
              </w:rPr>
            </w:pPr>
            <w:r>
              <w:rPr>
                <w:rFonts w:hint="eastAsia" w:cs="Times New Roman"/>
                <w:color w:val="000000" w:themeColor="text1"/>
                <w:szCs w:val="24"/>
                <w:lang w:val="en-US" w:eastAsia="zh-CN"/>
                <w14:textFill>
                  <w14:solidFill>
                    <w14:schemeClr w14:val="tx1"/>
                  </w14:solidFill>
                </w14:textFill>
              </w:rPr>
              <w:t>本</w:t>
            </w:r>
            <w:r>
              <w:rPr>
                <w:rFonts w:hint="eastAsia" w:cs="Times New Roman"/>
                <w:color w:val="000000" w:themeColor="text1"/>
                <w:szCs w:val="24"/>
                <w14:textFill>
                  <w14:solidFill>
                    <w14:schemeClr w14:val="tx1"/>
                  </w14:solidFill>
                </w14:textFill>
              </w:rPr>
              <w:t>项目与</w:t>
            </w:r>
            <w:r>
              <w:rPr>
                <w:rFonts w:hint="eastAsia"/>
              </w:rPr>
              <w:t>《新疆维吾尔自治区生态环境分区管控动态更新成果》（新环环评发〔2024〕157号）</w:t>
            </w:r>
            <w:r>
              <w:rPr>
                <w:rFonts w:hint="eastAsia" w:cs="Times New Roman"/>
                <w:color w:val="000000" w:themeColor="text1"/>
                <w:szCs w:val="24"/>
                <w14:textFill>
                  <w14:solidFill>
                    <w14:schemeClr w14:val="tx1"/>
                  </w14:solidFill>
                </w14:textFill>
              </w:rPr>
              <w:t>相符性分析见表1-1。</w:t>
            </w:r>
          </w:p>
          <w:p w14:paraId="6774D1A0">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1-1  </w:t>
            </w:r>
            <w:r>
              <w:rPr>
                <w:rFonts w:hint="eastAsia" w:cs="Times New Roman"/>
                <w:b/>
                <w:kern w:val="0"/>
                <w:sz w:val="21"/>
                <w:szCs w:val="20"/>
              </w:rPr>
              <w:t>本项目与生态环境分区管控符合性分析一览表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29"/>
              <w:gridCol w:w="347"/>
              <w:gridCol w:w="484"/>
              <w:gridCol w:w="3774"/>
              <w:gridCol w:w="2396"/>
              <w:gridCol w:w="694"/>
            </w:tblGrid>
            <w:tr w14:paraId="1DC21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 w:type="pct"/>
                  <w:vAlign w:val="center"/>
                </w:tcPr>
                <w:p w14:paraId="479C4E9C">
                  <w:pPr>
                    <w:spacing w:line="240" w:lineRule="auto"/>
                    <w:ind w:firstLine="0" w:firstLineChars="0"/>
                    <w:contextualSpacing/>
                    <w:jc w:val="center"/>
                    <w:rPr>
                      <w:rFonts w:cs="Times New Roman"/>
                      <w:sz w:val="21"/>
                      <w:szCs w:val="21"/>
                    </w:rPr>
                  </w:pPr>
                  <w:r>
                    <w:rPr>
                      <w:rFonts w:hint="eastAsia" w:cs="Times New Roman"/>
                      <w:sz w:val="21"/>
                      <w:szCs w:val="21"/>
                    </w:rPr>
                    <w:t>名称</w:t>
                  </w:r>
                </w:p>
              </w:tc>
              <w:tc>
                <w:tcPr>
                  <w:tcW w:w="2799" w:type="pct"/>
                  <w:gridSpan w:val="3"/>
                  <w:vAlign w:val="center"/>
                </w:tcPr>
                <w:p w14:paraId="1CF42E93">
                  <w:pPr>
                    <w:spacing w:line="240" w:lineRule="auto"/>
                    <w:ind w:firstLine="0" w:firstLineChars="0"/>
                    <w:contextualSpacing/>
                    <w:jc w:val="center"/>
                    <w:rPr>
                      <w:rFonts w:cs="Times New Roman"/>
                      <w:sz w:val="21"/>
                      <w:szCs w:val="21"/>
                    </w:rPr>
                  </w:pPr>
                  <w:r>
                    <w:rPr>
                      <w:rFonts w:hint="eastAsia" w:cs="Times New Roman"/>
                      <w:sz w:val="21"/>
                      <w:szCs w:val="21"/>
                    </w:rPr>
                    <w:t>文件要求</w:t>
                  </w:r>
                </w:p>
              </w:tc>
              <w:tc>
                <w:tcPr>
                  <w:tcW w:w="1456" w:type="pct"/>
                  <w:vAlign w:val="center"/>
                </w:tcPr>
                <w:p w14:paraId="4623674E">
                  <w:pPr>
                    <w:spacing w:line="240" w:lineRule="auto"/>
                    <w:ind w:firstLine="0" w:firstLineChars="0"/>
                    <w:contextualSpacing/>
                    <w:jc w:val="center"/>
                    <w:rPr>
                      <w:rFonts w:cs="Times New Roman"/>
                      <w:sz w:val="21"/>
                      <w:szCs w:val="21"/>
                    </w:rPr>
                  </w:pPr>
                  <w:r>
                    <w:rPr>
                      <w:rFonts w:hint="eastAsia" w:cs="Times New Roman"/>
                      <w:sz w:val="21"/>
                      <w:szCs w:val="21"/>
                    </w:rPr>
                    <w:t>本项目</w:t>
                  </w:r>
                </w:p>
              </w:tc>
              <w:tc>
                <w:tcPr>
                  <w:tcW w:w="421" w:type="pct"/>
                  <w:vAlign w:val="center"/>
                </w:tcPr>
                <w:p w14:paraId="66D61E17">
                  <w:pPr>
                    <w:spacing w:line="240" w:lineRule="auto"/>
                    <w:ind w:firstLine="0" w:firstLineChars="0"/>
                    <w:contextualSpacing/>
                    <w:jc w:val="center"/>
                    <w:rPr>
                      <w:rFonts w:cs="Times New Roman"/>
                      <w:sz w:val="21"/>
                      <w:szCs w:val="21"/>
                    </w:rPr>
                  </w:pPr>
                  <w:r>
                    <w:rPr>
                      <w:rFonts w:hint="eastAsia" w:cs="Times New Roman"/>
                      <w:sz w:val="21"/>
                      <w:szCs w:val="21"/>
                    </w:rPr>
                    <w:t>符合性</w:t>
                  </w:r>
                </w:p>
              </w:tc>
            </w:tr>
            <w:tr w14:paraId="2FA7A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 w:type="pct"/>
                  <w:vMerge w:val="restart"/>
                  <w:vAlign w:val="center"/>
                </w:tcPr>
                <w:p w14:paraId="5151D097">
                  <w:pPr>
                    <w:spacing w:line="240" w:lineRule="auto"/>
                    <w:ind w:firstLine="0" w:firstLineChars="0"/>
                    <w:contextualSpacing/>
                    <w:jc w:val="center"/>
                    <w:rPr>
                      <w:rFonts w:cs="Times New Roman"/>
                      <w:sz w:val="21"/>
                      <w:szCs w:val="21"/>
                    </w:rPr>
                  </w:pPr>
                  <w:r>
                    <w:rPr>
                      <w:rFonts w:hint="eastAsia" w:cs="Times New Roman"/>
                      <w:sz w:val="21"/>
                      <w:szCs w:val="21"/>
                    </w:rPr>
                    <w:t>《新疆维吾尔自治区生态环境分区管控方案》</w:t>
                  </w:r>
                </w:p>
              </w:tc>
              <w:tc>
                <w:tcPr>
                  <w:tcW w:w="505" w:type="pct"/>
                  <w:gridSpan w:val="2"/>
                  <w:vAlign w:val="center"/>
                </w:tcPr>
                <w:p w14:paraId="1C0AC68A">
                  <w:pPr>
                    <w:spacing w:line="240" w:lineRule="auto"/>
                    <w:ind w:firstLine="0" w:firstLineChars="0"/>
                    <w:contextualSpacing/>
                    <w:jc w:val="center"/>
                    <w:rPr>
                      <w:rFonts w:cs="Times New Roman"/>
                      <w:sz w:val="21"/>
                      <w:szCs w:val="21"/>
                    </w:rPr>
                  </w:pPr>
                  <w:r>
                    <w:rPr>
                      <w:rFonts w:hint="eastAsia" w:cs="Times New Roman"/>
                      <w:sz w:val="21"/>
                      <w:szCs w:val="21"/>
                    </w:rPr>
                    <w:t>生态保护红线</w:t>
                  </w:r>
                </w:p>
              </w:tc>
              <w:tc>
                <w:tcPr>
                  <w:tcW w:w="2294" w:type="pct"/>
                  <w:vAlign w:val="center"/>
                </w:tcPr>
                <w:p w14:paraId="6EFDA345">
                  <w:pPr>
                    <w:spacing w:line="240" w:lineRule="auto"/>
                    <w:ind w:firstLine="0" w:firstLineChars="0"/>
                    <w:contextualSpacing/>
                    <w:jc w:val="center"/>
                    <w:rPr>
                      <w:rFonts w:cs="Times New Roman"/>
                      <w:sz w:val="21"/>
                      <w:szCs w:val="21"/>
                    </w:rPr>
                  </w:pPr>
                  <w:r>
                    <w:rPr>
                      <w:rFonts w:hint="eastAsia" w:cs="Times New Roman"/>
                      <w:sz w:val="21"/>
                      <w:szCs w:val="21"/>
                    </w:rPr>
                    <w:t>按照</w:t>
                  </w:r>
                  <w:r>
                    <w:rPr>
                      <w:rFonts w:hint="eastAsia" w:cs="Times New Roman"/>
                      <w:sz w:val="21"/>
                      <w:szCs w:val="21"/>
                      <w:lang w:eastAsia="zh-CN"/>
                    </w:rPr>
                    <w:t>“</w:t>
                  </w:r>
                  <w:r>
                    <w:rPr>
                      <w:rFonts w:hint="eastAsia" w:cs="Times New Roman"/>
                      <w:sz w:val="21"/>
                      <w:szCs w:val="21"/>
                    </w:rPr>
                    <w:t>生态功能不降低、面积不减少、性质不改变</w:t>
                  </w:r>
                  <w:r>
                    <w:rPr>
                      <w:rFonts w:hint="eastAsia" w:cs="Times New Roman"/>
                      <w:sz w:val="21"/>
                      <w:szCs w:val="21"/>
                      <w:lang w:eastAsia="zh-CN"/>
                    </w:rPr>
                    <w:t>”</w:t>
                  </w:r>
                  <w:r>
                    <w:rPr>
                      <w:rFonts w:hint="eastAsia" w:cs="Times New Roman"/>
                      <w:sz w:val="21"/>
                      <w:szCs w:val="21"/>
                    </w:rPr>
                    <w:t>的基本要求，对划定的生态保护红线实施严格管控，保障和维护国家生态安全的底线和生命线</w:t>
                  </w:r>
                </w:p>
              </w:tc>
              <w:tc>
                <w:tcPr>
                  <w:tcW w:w="1456" w:type="pct"/>
                  <w:vAlign w:val="center"/>
                </w:tcPr>
                <w:p w14:paraId="381D1B9C">
                  <w:pPr>
                    <w:spacing w:line="240" w:lineRule="auto"/>
                    <w:ind w:firstLine="0" w:firstLineChars="0"/>
                    <w:contextualSpacing/>
                    <w:jc w:val="center"/>
                    <w:rPr>
                      <w:rFonts w:cs="Times New Roman"/>
                      <w:sz w:val="21"/>
                      <w:szCs w:val="21"/>
                    </w:rPr>
                  </w:pPr>
                  <w:r>
                    <w:rPr>
                      <w:rFonts w:hint="eastAsia" w:cs="Times New Roman"/>
                      <w:sz w:val="21"/>
                      <w:szCs w:val="21"/>
                    </w:rPr>
                    <w:t>本项目不在生态保护红线范围内</w:t>
                  </w:r>
                </w:p>
              </w:tc>
              <w:tc>
                <w:tcPr>
                  <w:tcW w:w="421" w:type="pct"/>
                  <w:vAlign w:val="center"/>
                </w:tcPr>
                <w:p w14:paraId="0F732BFA">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7586A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1" w:type="pct"/>
                  <w:vMerge w:val="continue"/>
                  <w:vAlign w:val="center"/>
                </w:tcPr>
                <w:p w14:paraId="5B0A53E2">
                  <w:pPr>
                    <w:spacing w:line="240" w:lineRule="auto"/>
                    <w:ind w:firstLine="0" w:firstLineChars="0"/>
                    <w:contextualSpacing/>
                    <w:jc w:val="center"/>
                    <w:rPr>
                      <w:rFonts w:cs="Times New Roman"/>
                      <w:sz w:val="21"/>
                      <w:szCs w:val="21"/>
                    </w:rPr>
                  </w:pPr>
                </w:p>
              </w:tc>
              <w:tc>
                <w:tcPr>
                  <w:tcW w:w="505" w:type="pct"/>
                  <w:gridSpan w:val="2"/>
                  <w:vAlign w:val="center"/>
                </w:tcPr>
                <w:p w14:paraId="7ED12C5D">
                  <w:pPr>
                    <w:spacing w:line="240" w:lineRule="auto"/>
                    <w:ind w:firstLine="0" w:firstLineChars="0"/>
                    <w:contextualSpacing/>
                    <w:jc w:val="center"/>
                    <w:rPr>
                      <w:rFonts w:cs="Times New Roman"/>
                      <w:sz w:val="21"/>
                      <w:szCs w:val="21"/>
                    </w:rPr>
                  </w:pPr>
                  <w:r>
                    <w:rPr>
                      <w:rFonts w:hint="eastAsia" w:cs="Times New Roman"/>
                      <w:sz w:val="21"/>
                      <w:szCs w:val="21"/>
                    </w:rPr>
                    <w:t>环境质量底线</w:t>
                  </w:r>
                </w:p>
              </w:tc>
              <w:tc>
                <w:tcPr>
                  <w:tcW w:w="2294" w:type="pct"/>
                  <w:vAlign w:val="center"/>
                </w:tcPr>
                <w:p w14:paraId="3B5AE9C7">
                  <w:pPr>
                    <w:spacing w:line="240" w:lineRule="auto"/>
                    <w:ind w:firstLine="0" w:firstLineChars="0"/>
                    <w:contextualSpacing/>
                    <w:jc w:val="center"/>
                    <w:rPr>
                      <w:rFonts w:cs="Times New Roman"/>
                      <w:sz w:val="21"/>
                      <w:szCs w:val="21"/>
                    </w:rPr>
                  </w:pPr>
                  <w:r>
                    <w:rPr>
                      <w:rFonts w:hint="eastAsia" w:cs="Times New Roman"/>
                      <w:sz w:val="21"/>
                      <w:szCs w:val="21"/>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456" w:type="pct"/>
                  <w:vAlign w:val="center"/>
                </w:tcPr>
                <w:p w14:paraId="615695EB">
                  <w:pPr>
                    <w:spacing w:line="240" w:lineRule="auto"/>
                    <w:ind w:firstLine="0" w:firstLineChars="0"/>
                    <w:contextualSpacing/>
                    <w:jc w:val="center"/>
                    <w:rPr>
                      <w:rFonts w:cs="Times New Roman"/>
                      <w:sz w:val="21"/>
                      <w:szCs w:val="21"/>
                    </w:rPr>
                  </w:pPr>
                  <w:r>
                    <w:rPr>
                      <w:rFonts w:hint="eastAsia" w:ascii="宋体" w:hAnsi="宋体" w:cs="宋体"/>
                      <w:color w:val="000000"/>
                      <w:sz w:val="21"/>
                      <w:szCs w:val="21"/>
                    </w:rPr>
                    <w:t>本项</w:t>
                  </w:r>
                  <w:r>
                    <w:rPr>
                      <w:rFonts w:hint="eastAsia" w:cs="Times New Roman"/>
                      <w:sz w:val="21"/>
                      <w:szCs w:val="21"/>
                    </w:rPr>
                    <w:t>目</w:t>
                  </w:r>
                  <w:r>
                    <w:rPr>
                      <w:rFonts w:hint="eastAsia" w:ascii="宋体" w:hAnsi="宋体" w:cs="宋体"/>
                      <w:color w:val="000000"/>
                      <w:sz w:val="21"/>
                      <w:szCs w:val="21"/>
                    </w:rPr>
                    <w:t>属于机动车燃油零售行业</w:t>
                  </w:r>
                  <w:r>
                    <w:rPr>
                      <w:rFonts w:hint="eastAsia" w:ascii="宋体" w:hAnsi="宋体" w:eastAsia="宋体" w:cs="宋体"/>
                      <w:color w:val="000000"/>
                      <w:sz w:val="21"/>
                      <w:szCs w:val="21"/>
                      <w:lang w:eastAsia="zh-CN"/>
                    </w:rPr>
                    <w:t>，</w:t>
                  </w:r>
                  <w:r>
                    <w:rPr>
                      <w:rFonts w:hint="eastAsia" w:ascii="宋体" w:hAnsi="宋体" w:cs="宋体"/>
                      <w:color w:val="000000"/>
                      <w:sz w:val="21"/>
                      <w:szCs w:val="21"/>
                      <w:lang w:val="en-US" w:eastAsia="zh-CN"/>
                    </w:rPr>
                    <w:t>配套二次</w:t>
                  </w:r>
                  <w:r>
                    <w:rPr>
                      <w:rFonts w:hint="eastAsia" w:cs="Times New Roman"/>
                      <w:sz w:val="21"/>
                      <w:szCs w:val="21"/>
                    </w:rPr>
                    <w:t>油气回收装置，用于控制挥发的油气（以非甲烷总烃计）无组织排放</w:t>
                  </w:r>
                  <w:r>
                    <w:rPr>
                      <w:rFonts w:hint="eastAsia" w:ascii="宋体" w:hAnsi="宋体" w:cs="宋体"/>
                      <w:color w:val="000000"/>
                      <w:sz w:val="21"/>
                      <w:szCs w:val="21"/>
                    </w:rPr>
                    <w:t>，危险废物集中收集</w:t>
                  </w:r>
                  <w:r>
                    <w:rPr>
                      <w:rFonts w:hint="eastAsia" w:ascii="宋体" w:hAnsi="宋体" w:cs="宋体"/>
                      <w:color w:val="000000"/>
                      <w:sz w:val="21"/>
                      <w:szCs w:val="21"/>
                      <w:lang w:val="en-US" w:eastAsia="zh-CN"/>
                    </w:rPr>
                    <w:t>贮存</w:t>
                  </w:r>
                  <w:r>
                    <w:rPr>
                      <w:rFonts w:hint="eastAsia" w:ascii="宋体" w:hAnsi="宋体" w:cs="宋体"/>
                      <w:color w:val="000000"/>
                      <w:sz w:val="21"/>
                      <w:szCs w:val="21"/>
                    </w:rPr>
                    <w:t>于危险废物贮存点并委托有资质单位拉运处置，</w:t>
                  </w:r>
                  <w:r>
                    <w:rPr>
                      <w:rFonts w:hint="eastAsia" w:ascii="宋体" w:hAnsi="宋体" w:cs="宋体"/>
                      <w:color w:val="000000"/>
                      <w:sz w:val="21"/>
                      <w:szCs w:val="21"/>
                      <w:lang w:val="en-US" w:eastAsia="zh-CN"/>
                    </w:rPr>
                    <w:t>严格落实各项环保措施，</w:t>
                  </w:r>
                  <w:r>
                    <w:rPr>
                      <w:rFonts w:hint="eastAsia" w:ascii="宋体" w:hAnsi="宋体" w:cs="宋体"/>
                      <w:color w:val="000000"/>
                      <w:sz w:val="21"/>
                      <w:szCs w:val="21"/>
                    </w:rPr>
                    <w:t>不会对区域大气环境、水环境、土壤环境产生影响</w:t>
                  </w:r>
                </w:p>
              </w:tc>
              <w:tc>
                <w:tcPr>
                  <w:tcW w:w="421" w:type="pct"/>
                  <w:vAlign w:val="center"/>
                </w:tcPr>
                <w:p w14:paraId="3337BC06">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5DE29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 w:type="pct"/>
                  <w:vMerge w:val="continue"/>
                  <w:vAlign w:val="center"/>
                </w:tcPr>
                <w:p w14:paraId="74CAF295">
                  <w:pPr>
                    <w:spacing w:line="240" w:lineRule="auto"/>
                    <w:ind w:firstLine="0" w:firstLineChars="0"/>
                    <w:contextualSpacing/>
                    <w:jc w:val="center"/>
                    <w:rPr>
                      <w:rFonts w:cs="Times New Roman"/>
                      <w:sz w:val="21"/>
                      <w:szCs w:val="21"/>
                    </w:rPr>
                  </w:pPr>
                </w:p>
              </w:tc>
              <w:tc>
                <w:tcPr>
                  <w:tcW w:w="505" w:type="pct"/>
                  <w:gridSpan w:val="2"/>
                  <w:vAlign w:val="center"/>
                </w:tcPr>
                <w:p w14:paraId="5B8B9C31">
                  <w:pPr>
                    <w:spacing w:line="240" w:lineRule="auto"/>
                    <w:ind w:firstLine="0" w:firstLineChars="0"/>
                    <w:contextualSpacing/>
                    <w:jc w:val="center"/>
                    <w:rPr>
                      <w:rFonts w:cs="Times New Roman"/>
                      <w:sz w:val="21"/>
                      <w:szCs w:val="21"/>
                    </w:rPr>
                  </w:pPr>
                  <w:r>
                    <w:rPr>
                      <w:rFonts w:hint="eastAsia" w:cs="Times New Roman"/>
                      <w:sz w:val="21"/>
                      <w:szCs w:val="21"/>
                    </w:rPr>
                    <w:t>资源利用上线</w:t>
                  </w:r>
                </w:p>
              </w:tc>
              <w:tc>
                <w:tcPr>
                  <w:tcW w:w="2294" w:type="pct"/>
                  <w:vAlign w:val="center"/>
                </w:tcPr>
                <w:p w14:paraId="5D0ED6A2">
                  <w:pPr>
                    <w:spacing w:line="240" w:lineRule="auto"/>
                    <w:ind w:firstLine="0" w:firstLineChars="0"/>
                    <w:contextualSpacing/>
                    <w:jc w:val="center"/>
                    <w:rPr>
                      <w:rFonts w:cs="Times New Roman"/>
                      <w:sz w:val="21"/>
                      <w:szCs w:val="21"/>
                    </w:rPr>
                  </w:pPr>
                  <w:r>
                    <w:rPr>
                      <w:rFonts w:hint="eastAsia" w:cs="Times New Roman"/>
                      <w:sz w:val="21"/>
                      <w:szCs w:val="21"/>
                    </w:rPr>
                    <w:t>强化节约集约利用，持续提升资源能源利用效率，水资源、土地资源、能源消耗等达到国家、自治区下达的总量和强度控制目标</w:t>
                  </w:r>
                </w:p>
              </w:tc>
              <w:tc>
                <w:tcPr>
                  <w:tcW w:w="1456" w:type="pct"/>
                  <w:vAlign w:val="center"/>
                </w:tcPr>
                <w:p w14:paraId="18C3B55C">
                  <w:pPr>
                    <w:spacing w:line="240" w:lineRule="auto"/>
                    <w:ind w:firstLine="0" w:firstLineChars="0"/>
                    <w:contextualSpacing/>
                    <w:jc w:val="both"/>
                    <w:rPr>
                      <w:rFonts w:cs="Times New Roman"/>
                      <w:sz w:val="21"/>
                      <w:szCs w:val="21"/>
                    </w:rPr>
                  </w:pPr>
                  <w:r>
                    <w:rPr>
                      <w:rFonts w:hint="eastAsia" w:cs="Times New Roman"/>
                      <w:sz w:val="21"/>
                      <w:szCs w:val="21"/>
                    </w:rPr>
                    <w:t>本项目</w:t>
                  </w:r>
                  <w:r>
                    <w:rPr>
                      <w:rFonts w:hint="eastAsia" w:ascii="宋体" w:hAnsi="宋体" w:cs="宋体"/>
                      <w:color w:val="000000"/>
                      <w:sz w:val="21"/>
                      <w:szCs w:val="21"/>
                    </w:rPr>
                    <w:t>属于机动车燃油零售行业</w:t>
                  </w:r>
                  <w:r>
                    <w:rPr>
                      <w:rFonts w:hint="eastAsia" w:cs="Times New Roman"/>
                      <w:sz w:val="21"/>
                      <w:szCs w:val="21"/>
                    </w:rPr>
                    <w:t>，主要是</w:t>
                  </w:r>
                  <w:r>
                    <w:rPr>
                      <w:rFonts w:hint="eastAsia" w:cs="Times New Roman"/>
                      <w:sz w:val="21"/>
                      <w:szCs w:val="21"/>
                      <w:lang w:val="en-US" w:eastAsia="zh-CN"/>
                    </w:rPr>
                    <w:t>成品油</w:t>
                  </w:r>
                  <w:r>
                    <w:rPr>
                      <w:rFonts w:hint="eastAsia" w:cs="Times New Roman"/>
                      <w:sz w:val="21"/>
                      <w:szCs w:val="21"/>
                    </w:rPr>
                    <w:t>的销售，项目本身能源消耗较少，占地面积小，同时在生产工艺、设备等方面采取了节能措施，降低了单位产品能耗</w:t>
                  </w:r>
                  <w:r>
                    <w:rPr>
                      <w:rFonts w:hint="eastAsia" w:cs="Times New Roman"/>
                      <w:sz w:val="21"/>
                      <w:szCs w:val="21"/>
                      <w:lang w:eastAsia="zh-CN"/>
                    </w:rPr>
                    <w:t>，</w:t>
                  </w:r>
                  <w:r>
                    <w:rPr>
                      <w:rFonts w:hint="eastAsia" w:cs="Times New Roman"/>
                      <w:sz w:val="21"/>
                      <w:szCs w:val="21"/>
                    </w:rPr>
                    <w:t>不会超过资源利用上线</w:t>
                  </w:r>
                </w:p>
              </w:tc>
              <w:tc>
                <w:tcPr>
                  <w:tcW w:w="421" w:type="pct"/>
                  <w:vAlign w:val="center"/>
                </w:tcPr>
                <w:p w14:paraId="53F25BEA">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44654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 w:type="pct"/>
                  <w:vMerge w:val="continue"/>
                  <w:vAlign w:val="center"/>
                </w:tcPr>
                <w:p w14:paraId="3F3D663C">
                  <w:pPr>
                    <w:spacing w:line="240" w:lineRule="auto"/>
                    <w:ind w:firstLine="0" w:firstLineChars="0"/>
                    <w:contextualSpacing/>
                    <w:jc w:val="center"/>
                    <w:rPr>
                      <w:rFonts w:cs="Times New Roman"/>
                      <w:sz w:val="21"/>
                      <w:szCs w:val="21"/>
                    </w:rPr>
                  </w:pPr>
                </w:p>
              </w:tc>
              <w:tc>
                <w:tcPr>
                  <w:tcW w:w="210" w:type="pct"/>
                  <w:vAlign w:val="center"/>
                </w:tcPr>
                <w:p w14:paraId="1BD84F25">
                  <w:pPr>
                    <w:spacing w:line="240" w:lineRule="auto"/>
                    <w:ind w:firstLine="0" w:firstLineChars="0"/>
                    <w:contextualSpacing/>
                    <w:jc w:val="center"/>
                    <w:rPr>
                      <w:rFonts w:cs="Times New Roman"/>
                      <w:sz w:val="21"/>
                      <w:szCs w:val="21"/>
                    </w:rPr>
                  </w:pPr>
                  <w:r>
                    <w:rPr>
                      <w:rFonts w:hint="eastAsia" w:cs="Times New Roman"/>
                      <w:sz w:val="21"/>
                      <w:szCs w:val="21"/>
                    </w:rPr>
                    <w:t>环境管控单元</w:t>
                  </w:r>
                </w:p>
              </w:tc>
              <w:tc>
                <w:tcPr>
                  <w:tcW w:w="294" w:type="pct"/>
                  <w:vAlign w:val="center"/>
                </w:tcPr>
                <w:p w14:paraId="70FD56BB">
                  <w:pPr>
                    <w:spacing w:line="240" w:lineRule="auto"/>
                    <w:ind w:firstLine="0" w:firstLineChars="0"/>
                    <w:contextualSpacing/>
                    <w:jc w:val="center"/>
                    <w:rPr>
                      <w:rFonts w:cs="Times New Roman"/>
                      <w:sz w:val="21"/>
                      <w:szCs w:val="21"/>
                    </w:rPr>
                  </w:pPr>
                  <w:r>
                    <w:rPr>
                      <w:rFonts w:cs="Times New Roman"/>
                      <w:sz w:val="21"/>
                      <w:szCs w:val="21"/>
                    </w:rPr>
                    <w:t>本项目属于重点管控单元</w:t>
                  </w:r>
                </w:p>
              </w:tc>
              <w:tc>
                <w:tcPr>
                  <w:tcW w:w="2294" w:type="pct"/>
                  <w:vAlign w:val="center"/>
                </w:tcPr>
                <w:p w14:paraId="283B7DF7">
                  <w:pPr>
                    <w:spacing w:line="240" w:lineRule="auto"/>
                    <w:ind w:firstLine="0" w:firstLineChars="0"/>
                    <w:contextualSpacing/>
                    <w:jc w:val="center"/>
                    <w:rPr>
                      <w:rFonts w:cs="Times New Roman"/>
                      <w:sz w:val="21"/>
                      <w:szCs w:val="21"/>
                    </w:rPr>
                  </w:pPr>
                  <w:r>
                    <w:rPr>
                      <w:rFonts w:hint="eastAsia" w:cs="Times New Roman"/>
                      <w:sz w:val="21"/>
                      <w:szCs w:val="21"/>
                    </w:rPr>
                    <w:t>自治区划定环境管控单元，分为优先保护单元、重点管控单元和一般管控单元三类，实施分类管控。重点管控单元主要针对环境质量是否达标以及经济社会发展水平等因素，制定差别化的生态环境准入要求，对环境质量不达标区域，提出污染物削减比例要求，对环境质量达标区域，提出允许排放量建议指标</w:t>
                  </w:r>
                </w:p>
              </w:tc>
              <w:tc>
                <w:tcPr>
                  <w:tcW w:w="1456" w:type="pct"/>
                  <w:vAlign w:val="center"/>
                </w:tcPr>
                <w:p w14:paraId="21EB9420">
                  <w:pPr>
                    <w:spacing w:line="240" w:lineRule="auto"/>
                    <w:ind w:firstLine="0" w:firstLineChars="0"/>
                    <w:contextualSpacing/>
                    <w:jc w:val="center"/>
                    <w:rPr>
                      <w:rFonts w:cs="Times New Roman"/>
                      <w:sz w:val="21"/>
                      <w:szCs w:val="21"/>
                    </w:rPr>
                  </w:pPr>
                  <w:r>
                    <w:rPr>
                      <w:rFonts w:hint="eastAsia" w:cs="Times New Roman"/>
                      <w:sz w:val="21"/>
                      <w:szCs w:val="21"/>
                    </w:rPr>
                    <w:t>本</w:t>
                  </w:r>
                  <w:r>
                    <w:rPr>
                      <w:rFonts w:hint="eastAsia" w:cs="Times New Roman"/>
                      <w:sz w:val="21"/>
                      <w:szCs w:val="21"/>
                      <w:lang w:val="en-US" w:eastAsia="zh-CN"/>
                    </w:rPr>
                    <w:t>项目</w:t>
                  </w:r>
                  <w:r>
                    <w:rPr>
                      <w:rFonts w:hint="eastAsia" w:cs="Times New Roman"/>
                      <w:sz w:val="21"/>
                      <w:szCs w:val="21"/>
                    </w:rPr>
                    <w:t>实施后通过采取完善的污染治理措施，不会对厂区周围大气环境、地表水环境、声环境、地下水、土壤环境产生明显影响</w:t>
                  </w:r>
                </w:p>
              </w:tc>
              <w:tc>
                <w:tcPr>
                  <w:tcW w:w="421" w:type="pct"/>
                  <w:vAlign w:val="center"/>
                </w:tcPr>
                <w:p w14:paraId="79F63912">
                  <w:pPr>
                    <w:spacing w:line="240" w:lineRule="auto"/>
                    <w:ind w:firstLine="0" w:firstLineChars="0"/>
                    <w:contextualSpacing/>
                    <w:jc w:val="center"/>
                    <w:rPr>
                      <w:rFonts w:cs="Times New Roman"/>
                      <w:sz w:val="21"/>
                      <w:szCs w:val="21"/>
                    </w:rPr>
                  </w:pPr>
                  <w:r>
                    <w:rPr>
                      <w:rFonts w:hint="eastAsia" w:cs="Times New Roman"/>
                      <w:sz w:val="21"/>
                      <w:szCs w:val="21"/>
                    </w:rPr>
                    <w:t>符合</w:t>
                  </w:r>
                </w:p>
              </w:tc>
            </w:tr>
          </w:tbl>
          <w:p w14:paraId="12697A2F">
            <w:pPr>
              <w:adjustRightInd w:val="0"/>
              <w:spacing w:before="163" w:beforeLines="50" w:line="240" w:lineRule="auto"/>
              <w:ind w:firstLine="0" w:firstLineChars="0"/>
              <w:jc w:val="center"/>
              <w:textAlignment w:val="baseline"/>
              <w:rPr>
                <w:rFonts w:hint="eastAsia" w:cs="Times New Roman"/>
                <w:b/>
                <w:kern w:val="0"/>
                <w:sz w:val="21"/>
                <w:szCs w:val="20"/>
              </w:rPr>
            </w:pPr>
            <w:r>
              <w:rPr>
                <w:rFonts w:hint="eastAsia" w:cs="Times New Roman"/>
                <w:b/>
                <w:kern w:val="0"/>
                <w:sz w:val="21"/>
                <w:szCs w:val="20"/>
              </w:rPr>
              <w:t>表</w:t>
            </w:r>
            <w:r>
              <w:rPr>
                <w:rFonts w:cs="Times New Roman"/>
                <w:b/>
                <w:kern w:val="0"/>
                <w:sz w:val="21"/>
                <w:szCs w:val="20"/>
              </w:rPr>
              <w:t xml:space="preserve">1-2  </w:t>
            </w:r>
            <w:r>
              <w:rPr>
                <w:rFonts w:hint="eastAsia" w:cs="Times New Roman"/>
                <w:b/>
                <w:kern w:val="0"/>
                <w:sz w:val="21"/>
                <w:szCs w:val="20"/>
              </w:rPr>
              <w:t>本项目与自治区总体管控要求中关于地下水重点管控区的污染物排放管控要求符合性分析一览表</w:t>
            </w:r>
          </w:p>
          <w:tbl>
            <w:tblPr>
              <w:tblStyle w:val="20"/>
              <w:tblW w:w="83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54"/>
              <w:gridCol w:w="555"/>
              <w:gridCol w:w="4454"/>
              <w:gridCol w:w="2335"/>
              <w:gridCol w:w="514"/>
            </w:tblGrid>
            <w:tr w14:paraId="704FF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restart"/>
                  <w:tcBorders>
                    <w:top w:val="single" w:color="auto" w:sz="12" w:space="0"/>
                    <w:left w:val="single" w:color="auto" w:sz="12" w:space="0"/>
                    <w:bottom w:val="single" w:color="auto" w:sz="8" w:space="0"/>
                    <w:right w:val="single" w:color="auto" w:sz="4" w:space="0"/>
                  </w:tcBorders>
                  <w:vAlign w:val="center"/>
                </w:tcPr>
                <w:p w14:paraId="5D97228C">
                  <w:pPr>
                    <w:autoSpaceDE w:val="0"/>
                    <w:autoSpaceDN w:val="0"/>
                    <w:spacing w:line="240" w:lineRule="atLeast"/>
                    <w:ind w:firstLine="0" w:firstLineChars="0"/>
                    <w:jc w:val="center"/>
                    <w:rPr>
                      <w:rFonts w:cs="Times New Roman"/>
                      <w:sz w:val="21"/>
                      <w:szCs w:val="21"/>
                    </w:rPr>
                  </w:pPr>
                  <w:r>
                    <w:rPr>
                      <w:rFonts w:cs="Times New Roman"/>
                      <w:sz w:val="21"/>
                      <w:szCs w:val="21"/>
                    </w:rPr>
                    <w:t>A6</w:t>
                  </w:r>
                  <w:r>
                    <w:rPr>
                      <w:rFonts w:hint="eastAsia" w:cs="Times New Roman"/>
                      <w:sz w:val="21"/>
                      <w:szCs w:val="21"/>
                    </w:rPr>
                    <w:t>重点管控单元</w:t>
                  </w:r>
                </w:p>
              </w:tc>
              <w:tc>
                <w:tcPr>
                  <w:tcW w:w="3013" w:type="pct"/>
                  <w:gridSpan w:val="2"/>
                  <w:tcBorders>
                    <w:top w:val="single" w:color="auto" w:sz="12" w:space="0"/>
                    <w:left w:val="single" w:color="auto" w:sz="4" w:space="0"/>
                    <w:bottom w:val="single" w:color="auto" w:sz="4" w:space="0"/>
                    <w:right w:val="single" w:color="auto" w:sz="4" w:space="0"/>
                  </w:tcBorders>
                  <w:vAlign w:val="center"/>
                </w:tcPr>
                <w:p w14:paraId="1EDE70F6">
                  <w:pPr>
                    <w:autoSpaceDE w:val="0"/>
                    <w:autoSpaceDN w:val="0"/>
                    <w:spacing w:line="240" w:lineRule="atLeast"/>
                    <w:ind w:firstLine="0" w:firstLineChars="0"/>
                    <w:jc w:val="center"/>
                    <w:rPr>
                      <w:rFonts w:cs="Times New Roman"/>
                      <w:sz w:val="21"/>
                      <w:szCs w:val="21"/>
                    </w:rPr>
                  </w:pPr>
                  <w:r>
                    <w:rPr>
                      <w:rFonts w:cs="Times New Roman"/>
                      <w:sz w:val="21"/>
                      <w:szCs w:val="21"/>
                    </w:rPr>
                    <w:t>管控要求</w:t>
                  </w:r>
                </w:p>
              </w:tc>
              <w:tc>
                <w:tcPr>
                  <w:tcW w:w="1404" w:type="pct"/>
                  <w:tcBorders>
                    <w:top w:val="single" w:color="auto" w:sz="12" w:space="0"/>
                    <w:left w:val="single" w:color="auto" w:sz="4" w:space="0"/>
                    <w:bottom w:val="single" w:color="auto" w:sz="4" w:space="0"/>
                    <w:right w:val="single" w:color="auto" w:sz="4" w:space="0"/>
                  </w:tcBorders>
                  <w:vAlign w:val="center"/>
                </w:tcPr>
                <w:p w14:paraId="69360AC9">
                  <w:pPr>
                    <w:autoSpaceDE w:val="0"/>
                    <w:autoSpaceDN w:val="0"/>
                    <w:spacing w:line="240" w:lineRule="atLeast"/>
                    <w:ind w:firstLine="0" w:firstLineChars="0"/>
                    <w:jc w:val="center"/>
                    <w:rPr>
                      <w:rFonts w:cs="Times New Roman"/>
                      <w:sz w:val="21"/>
                      <w:szCs w:val="21"/>
                    </w:rPr>
                  </w:pPr>
                  <w:r>
                    <w:rPr>
                      <w:rFonts w:cs="Times New Roman"/>
                      <w:sz w:val="21"/>
                      <w:szCs w:val="21"/>
                    </w:rPr>
                    <w:t>本项目</w:t>
                  </w:r>
                </w:p>
              </w:tc>
              <w:tc>
                <w:tcPr>
                  <w:tcW w:w="309" w:type="pct"/>
                  <w:tcBorders>
                    <w:top w:val="single" w:color="auto" w:sz="12" w:space="0"/>
                    <w:left w:val="single" w:color="auto" w:sz="4" w:space="0"/>
                    <w:bottom w:val="single" w:color="auto" w:sz="4" w:space="0"/>
                    <w:right w:val="single" w:color="auto" w:sz="12" w:space="0"/>
                  </w:tcBorders>
                  <w:vAlign w:val="center"/>
                </w:tcPr>
                <w:p w14:paraId="65CD7D86">
                  <w:pPr>
                    <w:autoSpaceDE w:val="0"/>
                    <w:autoSpaceDN w:val="0"/>
                    <w:spacing w:line="240" w:lineRule="atLeast"/>
                    <w:ind w:firstLine="0" w:firstLineChars="0"/>
                    <w:jc w:val="center"/>
                    <w:rPr>
                      <w:rFonts w:cs="Times New Roman"/>
                      <w:sz w:val="21"/>
                      <w:szCs w:val="21"/>
                    </w:rPr>
                  </w:pPr>
                  <w:r>
                    <w:rPr>
                      <w:rFonts w:cs="Times New Roman"/>
                      <w:sz w:val="21"/>
                      <w:szCs w:val="21"/>
                    </w:rPr>
                    <w:t>符合性</w:t>
                  </w:r>
                </w:p>
              </w:tc>
            </w:tr>
            <w:tr w14:paraId="6EB6E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052C5E34">
                  <w:pPr>
                    <w:widowControl/>
                    <w:spacing w:line="240" w:lineRule="atLeast"/>
                    <w:ind w:firstLine="0" w:firstLineChars="0"/>
                    <w:jc w:val="center"/>
                    <w:rPr>
                      <w:rFonts w:cs="Times New Roman"/>
                      <w:sz w:val="21"/>
                      <w:szCs w:val="21"/>
                    </w:rPr>
                  </w:pPr>
                </w:p>
              </w:tc>
              <w:tc>
                <w:tcPr>
                  <w:tcW w:w="333" w:type="pct"/>
                  <w:vMerge w:val="restart"/>
                  <w:tcBorders>
                    <w:top w:val="single" w:color="auto" w:sz="4" w:space="0"/>
                    <w:left w:val="single" w:color="auto" w:sz="4" w:space="0"/>
                    <w:bottom w:val="single" w:color="auto" w:sz="4" w:space="0"/>
                    <w:right w:val="single" w:color="auto" w:sz="4" w:space="0"/>
                  </w:tcBorders>
                  <w:vAlign w:val="center"/>
                </w:tcPr>
                <w:p w14:paraId="51358C0E">
                  <w:pPr>
                    <w:autoSpaceDE w:val="0"/>
                    <w:autoSpaceDN w:val="0"/>
                    <w:spacing w:line="240" w:lineRule="atLeast"/>
                    <w:ind w:firstLine="0" w:firstLineChars="0"/>
                    <w:jc w:val="center"/>
                    <w:rPr>
                      <w:rFonts w:cs="Times New Roman"/>
                      <w:sz w:val="21"/>
                      <w:szCs w:val="21"/>
                    </w:rPr>
                  </w:pPr>
                  <w:r>
                    <w:rPr>
                      <w:rFonts w:hint="eastAsia" w:cs="Times New Roman"/>
                      <w:sz w:val="21"/>
                      <w:szCs w:val="21"/>
                    </w:rPr>
                    <w:t>A6.1空间布局约束</w:t>
                  </w:r>
                </w:p>
              </w:tc>
              <w:tc>
                <w:tcPr>
                  <w:tcW w:w="2679" w:type="pct"/>
                  <w:tcBorders>
                    <w:top w:val="single" w:color="auto" w:sz="4" w:space="0"/>
                    <w:left w:val="single" w:color="auto" w:sz="4" w:space="0"/>
                    <w:bottom w:val="single" w:color="auto" w:sz="4" w:space="0"/>
                    <w:right w:val="single" w:color="auto" w:sz="4" w:space="0"/>
                  </w:tcBorders>
                  <w:vAlign w:val="center"/>
                </w:tcPr>
                <w:p w14:paraId="7371822C">
                  <w:pPr>
                    <w:autoSpaceDE w:val="0"/>
                    <w:autoSpaceDN w:val="0"/>
                    <w:spacing w:line="240" w:lineRule="atLeast"/>
                    <w:ind w:firstLine="0" w:firstLineChars="0"/>
                    <w:jc w:val="center"/>
                    <w:rPr>
                      <w:rFonts w:cs="Times New Roman"/>
                      <w:sz w:val="21"/>
                      <w:szCs w:val="21"/>
                    </w:rPr>
                  </w:pPr>
                  <w:r>
                    <w:rPr>
                      <w:rFonts w:cs="Times New Roman"/>
                      <w:sz w:val="21"/>
                      <w:szCs w:val="21"/>
                    </w:rPr>
                    <w:t>【A6.1-1】</w:t>
                  </w:r>
                  <w:r>
                    <w:rPr>
                      <w:rFonts w:hint="eastAsia" w:cs="Times New Roman"/>
                      <w:sz w:val="21"/>
                      <w:szCs w:val="21"/>
                    </w:rPr>
                    <w:t>根据产业集聚区块的功能定位，建立分区差别化的产业准入条件。严格控制重要水系源头地区和重要生态功能区“高污染、高环境风险产品”工业项目准入。优化完善区域产业布局，合理规划布局“高污染、高环境风险产品”工业项目，鼓励对“高污染、高环境风险产品”工业项目进行淘汰和提升改造。合理规划居住区与工业功能区，在居住区和工业区、工业企业之间设置防护绿化隔离带</w:t>
                  </w:r>
                </w:p>
              </w:tc>
              <w:tc>
                <w:tcPr>
                  <w:tcW w:w="1404" w:type="pct"/>
                  <w:tcBorders>
                    <w:top w:val="single" w:color="auto" w:sz="4" w:space="0"/>
                    <w:left w:val="single" w:color="auto" w:sz="4" w:space="0"/>
                    <w:right w:val="single" w:color="auto" w:sz="4" w:space="0"/>
                  </w:tcBorders>
                  <w:vAlign w:val="center"/>
                </w:tcPr>
                <w:p w14:paraId="13FA908D">
                  <w:pPr>
                    <w:spacing w:line="240" w:lineRule="atLeast"/>
                    <w:ind w:firstLine="0" w:firstLineChars="0"/>
                    <w:rPr>
                      <w:rFonts w:hint="eastAsia" w:eastAsia="宋体" w:cs="Times New Roman"/>
                      <w:sz w:val="21"/>
                      <w:szCs w:val="21"/>
                      <w:lang w:eastAsia="zh-CN"/>
                    </w:rPr>
                  </w:pPr>
                  <w:r>
                    <w:rPr>
                      <w:rFonts w:hint="eastAsia" w:ascii="宋体" w:hAnsi="宋体" w:cs="宋体"/>
                      <w:color w:val="000000"/>
                      <w:sz w:val="21"/>
                      <w:szCs w:val="21"/>
                    </w:rPr>
                    <w:t>本项目</w:t>
                  </w:r>
                  <w:r>
                    <w:rPr>
                      <w:rFonts w:hint="eastAsia" w:ascii="宋体" w:hAnsi="宋体" w:eastAsia="宋体" w:cs="宋体"/>
                      <w:color w:val="000000"/>
                      <w:sz w:val="21"/>
                      <w:szCs w:val="21"/>
                    </w:rPr>
                    <w:t>属于机动车燃油零售行业，不属于高污染、高环境风险项目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项目区</w:t>
                  </w:r>
                  <w:r>
                    <w:rPr>
                      <w:rFonts w:hint="eastAsia" w:ascii="宋体" w:hAnsi="宋体" w:eastAsia="宋体" w:cs="宋体"/>
                      <w:color w:val="000000"/>
                      <w:sz w:val="21"/>
                      <w:szCs w:val="21"/>
                    </w:rPr>
                    <w:t>周边</w:t>
                  </w:r>
                  <w:r>
                    <w:rPr>
                      <w:rFonts w:hint="default" w:ascii="Times New Roman" w:hAnsi="Times New Roman" w:eastAsia="宋体" w:cs="Times New Roman"/>
                      <w:color w:val="000000"/>
                      <w:sz w:val="21"/>
                      <w:szCs w:val="21"/>
                    </w:rPr>
                    <w:t>50m内无居民区、商业中心、公园等人口密集区域</w:t>
                  </w:r>
                </w:p>
              </w:tc>
              <w:tc>
                <w:tcPr>
                  <w:tcW w:w="309" w:type="pct"/>
                  <w:tcBorders>
                    <w:top w:val="single" w:color="auto" w:sz="4" w:space="0"/>
                    <w:left w:val="single" w:color="auto" w:sz="4" w:space="0"/>
                    <w:right w:val="single" w:color="auto" w:sz="12" w:space="0"/>
                  </w:tcBorders>
                  <w:vAlign w:val="center"/>
                </w:tcPr>
                <w:p w14:paraId="2F7C5FD4">
                  <w:pPr>
                    <w:autoSpaceDE w:val="0"/>
                    <w:autoSpaceDN w:val="0"/>
                    <w:spacing w:line="240" w:lineRule="atLeast"/>
                    <w:ind w:firstLine="0" w:firstLineChars="0"/>
                    <w:jc w:val="center"/>
                    <w:rPr>
                      <w:rFonts w:cs="Times New Roman"/>
                      <w:sz w:val="21"/>
                      <w:szCs w:val="21"/>
                    </w:rPr>
                  </w:pPr>
                  <w:r>
                    <w:rPr>
                      <w:rFonts w:cs="Times New Roman"/>
                      <w:sz w:val="21"/>
                      <w:szCs w:val="21"/>
                    </w:rPr>
                    <w:t>符合</w:t>
                  </w:r>
                </w:p>
                <w:p w14:paraId="32CC717F">
                  <w:pPr>
                    <w:autoSpaceDE w:val="0"/>
                    <w:autoSpaceDN w:val="0"/>
                    <w:spacing w:line="240" w:lineRule="atLeast"/>
                    <w:ind w:firstLine="420"/>
                    <w:jc w:val="center"/>
                    <w:rPr>
                      <w:rFonts w:cs="Times New Roman"/>
                      <w:sz w:val="21"/>
                      <w:szCs w:val="21"/>
                    </w:rPr>
                  </w:pPr>
                </w:p>
              </w:tc>
            </w:tr>
            <w:tr w14:paraId="1FA53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494C885E">
                  <w:pPr>
                    <w:widowControl/>
                    <w:spacing w:line="240" w:lineRule="atLeast"/>
                    <w:ind w:firstLine="0" w:firstLineChars="0"/>
                    <w:jc w:val="center"/>
                    <w:rPr>
                      <w:rFonts w:cs="Times New Roman"/>
                      <w:sz w:val="21"/>
                      <w:szCs w:val="21"/>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1857B798">
                  <w:pPr>
                    <w:widowControl/>
                    <w:spacing w:line="240" w:lineRule="atLeast"/>
                    <w:ind w:firstLine="0" w:firstLineChars="0"/>
                    <w:jc w:val="center"/>
                    <w:rPr>
                      <w:rFonts w:cs="Times New Roman"/>
                      <w:sz w:val="21"/>
                      <w:szCs w:val="21"/>
                    </w:rPr>
                  </w:pPr>
                </w:p>
              </w:tc>
              <w:tc>
                <w:tcPr>
                  <w:tcW w:w="2679" w:type="pct"/>
                  <w:tcBorders>
                    <w:top w:val="single" w:color="auto" w:sz="4" w:space="0"/>
                    <w:left w:val="single" w:color="auto" w:sz="4" w:space="0"/>
                    <w:bottom w:val="single" w:color="auto" w:sz="4" w:space="0"/>
                    <w:right w:val="single" w:color="auto" w:sz="4" w:space="0"/>
                  </w:tcBorders>
                  <w:vAlign w:val="center"/>
                </w:tcPr>
                <w:p w14:paraId="652DC997">
                  <w:pPr>
                    <w:autoSpaceDE w:val="0"/>
                    <w:autoSpaceDN w:val="0"/>
                    <w:spacing w:line="240" w:lineRule="atLeast"/>
                    <w:ind w:firstLine="0" w:firstLineChars="0"/>
                    <w:jc w:val="center"/>
                    <w:rPr>
                      <w:rFonts w:cs="Times New Roman"/>
                      <w:sz w:val="21"/>
                      <w:szCs w:val="21"/>
                    </w:rPr>
                  </w:pPr>
                  <w:r>
                    <w:rPr>
                      <w:rFonts w:cs="Times New Roman"/>
                      <w:sz w:val="21"/>
                      <w:szCs w:val="21"/>
                    </w:rPr>
                    <w:t>【A6.1-2】</w:t>
                  </w:r>
                  <w:r>
                    <w:rPr>
                      <w:rFonts w:hint="eastAsia" w:cs="Times New Roman"/>
                      <w:sz w:val="21"/>
                      <w:szCs w:val="21"/>
                    </w:rPr>
                    <w:t>大气环境重点管控区内：禁止引进国家和自治区明令禁止或淘汰的产业及工艺、园区规划的项目；引进符合国家产业政策和清洁生产要求的、采用先进生产工艺和设备的、自动化程度高的、具有可靠先进的污染治理技术的生产项目</w:t>
                  </w:r>
                </w:p>
              </w:tc>
              <w:tc>
                <w:tcPr>
                  <w:tcW w:w="1404" w:type="pct"/>
                  <w:tcBorders>
                    <w:left w:val="single" w:color="auto" w:sz="4" w:space="0"/>
                    <w:right w:val="single" w:color="auto" w:sz="4" w:space="0"/>
                  </w:tcBorders>
                  <w:vAlign w:val="center"/>
                </w:tcPr>
                <w:p w14:paraId="761FECF9">
                  <w:pPr>
                    <w:spacing w:line="240" w:lineRule="atLeast"/>
                    <w:ind w:left="0" w:leftChars="0" w:firstLine="0" w:firstLineChars="0"/>
                    <w:jc w:val="both"/>
                    <w:rPr>
                      <w:rFonts w:hint="eastAsia" w:eastAsia="宋体" w:cs="Times New Roman"/>
                      <w:sz w:val="21"/>
                      <w:szCs w:val="21"/>
                      <w:lang w:eastAsia="zh-CN"/>
                    </w:rPr>
                  </w:pPr>
                  <w:r>
                    <w:rPr>
                      <w:rFonts w:hint="eastAsia" w:ascii="宋体" w:hAnsi="宋体" w:cs="宋体"/>
                      <w:color w:val="000000"/>
                      <w:sz w:val="21"/>
                      <w:szCs w:val="21"/>
                      <w:lang w:val="en-US" w:eastAsia="zh-CN"/>
                    </w:rPr>
                    <w:t>本项目</w:t>
                  </w:r>
                  <w:r>
                    <w:rPr>
                      <w:rFonts w:hint="eastAsia" w:ascii="宋体" w:hAnsi="宋体" w:cs="宋体"/>
                      <w:color w:val="000000"/>
                      <w:sz w:val="21"/>
                      <w:szCs w:val="21"/>
                    </w:rPr>
                    <w:t>不使用国家和自治区明令禁止或淘汰的工艺</w:t>
                  </w:r>
                  <w:r>
                    <w:rPr>
                      <w:rFonts w:hint="eastAsia" w:ascii="宋体" w:hAnsi="宋体" w:cs="宋体"/>
                      <w:color w:val="000000"/>
                      <w:sz w:val="21"/>
                      <w:szCs w:val="21"/>
                      <w:lang w:val="en-US" w:eastAsia="zh-CN"/>
                    </w:rPr>
                    <w:t>和设备，</w:t>
                  </w:r>
                  <w:r>
                    <w:rPr>
                      <w:rFonts w:hint="eastAsia" w:ascii="宋体" w:hAnsi="宋体" w:eastAsia="宋体" w:cs="宋体"/>
                      <w:color w:val="000000"/>
                      <w:sz w:val="21"/>
                      <w:szCs w:val="21"/>
                    </w:rPr>
                    <w:t>配</w:t>
                  </w:r>
                  <w:r>
                    <w:rPr>
                      <w:rFonts w:hint="eastAsia" w:cs="Times New Roman"/>
                      <w:sz w:val="21"/>
                      <w:szCs w:val="21"/>
                    </w:rPr>
                    <w:t>套</w:t>
                  </w:r>
                  <w:r>
                    <w:rPr>
                      <w:rFonts w:hint="eastAsia" w:cs="Times New Roman"/>
                      <w:sz w:val="21"/>
                      <w:szCs w:val="21"/>
                      <w:lang w:val="en-US" w:eastAsia="zh-CN"/>
                    </w:rPr>
                    <w:t>二次</w:t>
                  </w:r>
                  <w:r>
                    <w:rPr>
                      <w:rFonts w:hint="eastAsia" w:cs="Times New Roman"/>
                      <w:sz w:val="21"/>
                      <w:szCs w:val="21"/>
                    </w:rPr>
                    <w:t>油气回收装置，用于控制挥发的油气（以非甲烷总烃计）无组织排放</w:t>
                  </w:r>
                </w:p>
              </w:tc>
              <w:tc>
                <w:tcPr>
                  <w:tcW w:w="309" w:type="pct"/>
                  <w:tcBorders>
                    <w:left w:val="single" w:color="auto" w:sz="4" w:space="0"/>
                    <w:right w:val="single" w:color="auto" w:sz="12" w:space="0"/>
                  </w:tcBorders>
                  <w:vAlign w:val="center"/>
                </w:tcPr>
                <w:p w14:paraId="40D5A1F5">
                  <w:pPr>
                    <w:autoSpaceDE w:val="0"/>
                    <w:autoSpaceDN w:val="0"/>
                    <w:spacing w:line="240" w:lineRule="atLeast"/>
                    <w:ind w:firstLine="420"/>
                    <w:jc w:val="center"/>
                    <w:rPr>
                      <w:rFonts w:cs="Times New Roman"/>
                      <w:sz w:val="21"/>
                      <w:szCs w:val="21"/>
                    </w:rPr>
                  </w:pPr>
                </w:p>
              </w:tc>
            </w:tr>
            <w:tr w14:paraId="19EBA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13C3BF25">
                  <w:pPr>
                    <w:widowControl/>
                    <w:spacing w:line="240" w:lineRule="atLeast"/>
                    <w:ind w:firstLine="0" w:firstLineChars="0"/>
                    <w:jc w:val="center"/>
                    <w:rPr>
                      <w:rFonts w:cs="Times New Roman"/>
                      <w:sz w:val="21"/>
                      <w:szCs w:val="21"/>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12AD6628">
                  <w:pPr>
                    <w:widowControl/>
                    <w:spacing w:line="240" w:lineRule="atLeast"/>
                    <w:ind w:firstLine="0" w:firstLineChars="0"/>
                    <w:jc w:val="center"/>
                    <w:rPr>
                      <w:rFonts w:cs="Times New Roman"/>
                      <w:sz w:val="21"/>
                      <w:szCs w:val="21"/>
                    </w:rPr>
                  </w:pPr>
                </w:p>
              </w:tc>
              <w:tc>
                <w:tcPr>
                  <w:tcW w:w="2679" w:type="pct"/>
                  <w:tcBorders>
                    <w:top w:val="single" w:color="auto" w:sz="4" w:space="0"/>
                    <w:left w:val="single" w:color="auto" w:sz="4" w:space="0"/>
                    <w:bottom w:val="single" w:color="auto" w:sz="4" w:space="0"/>
                    <w:right w:val="single" w:color="auto" w:sz="4" w:space="0"/>
                  </w:tcBorders>
                  <w:vAlign w:val="center"/>
                </w:tcPr>
                <w:p w14:paraId="3559F666">
                  <w:pPr>
                    <w:autoSpaceDE w:val="0"/>
                    <w:autoSpaceDN w:val="0"/>
                    <w:spacing w:line="240" w:lineRule="atLeast"/>
                    <w:ind w:firstLine="0" w:firstLineChars="0"/>
                    <w:jc w:val="center"/>
                    <w:rPr>
                      <w:rFonts w:cs="Times New Roman"/>
                      <w:sz w:val="21"/>
                      <w:szCs w:val="21"/>
                    </w:rPr>
                  </w:pPr>
                  <w:r>
                    <w:rPr>
                      <w:rFonts w:cs="Times New Roman"/>
                      <w:sz w:val="21"/>
                      <w:szCs w:val="21"/>
                    </w:rPr>
                    <w:t>【A6.1-3】</w:t>
                  </w:r>
                  <w:r>
                    <w:rPr>
                      <w:rFonts w:hint="eastAsia" w:cs="Times New Roman"/>
                      <w:sz w:val="21"/>
                      <w:szCs w:val="21"/>
                    </w:rPr>
                    <w:t>水环境重点管控区内：制定产业准入对污染排放不达标的企业限期整改，确保水污染物达标排放；加快推进生态园区建设和循环化改造，完善污水集中处理设施及再生水回用系统，加强配套管网建设，并确保稳定运行，工业废水必须经预处理达到集中处理要求后，方可进入污水集中处理设施，不断提高污水集中处理中水回用率。加强城镇配套管网建设，提高城镇生活污水出水排放标准，推进城镇生活污水深度治理，提高污水厂脱氮除磷效率。对农业污染重点管控区，推进畜禽养殖禁养区、限养区的划定，限期依法关闭或搬迁禁养区内的畜禽养殖场，对现有规模化畜禽养殖配套建设粪便污水贮存、处理、利用设施，鼓励设施农业循环发展模式，推进养殖废弃物资源化利用。控制化肥农药使用量，推进农膜回收及加工再利用，农药化肥等包装废弃物的安全收集处置设施建设，降低农业污染负荷</w:t>
                  </w:r>
                </w:p>
              </w:tc>
              <w:tc>
                <w:tcPr>
                  <w:tcW w:w="1404" w:type="pct"/>
                  <w:tcBorders>
                    <w:left w:val="single" w:color="auto" w:sz="4" w:space="0"/>
                    <w:right w:val="single" w:color="auto" w:sz="4" w:space="0"/>
                  </w:tcBorders>
                  <w:vAlign w:val="center"/>
                </w:tcPr>
                <w:p w14:paraId="7747DD34">
                  <w:pPr>
                    <w:spacing w:line="240" w:lineRule="atLeast"/>
                    <w:ind w:firstLine="0" w:firstLineChars="0"/>
                    <w:jc w:val="center"/>
                    <w:rPr>
                      <w:rFonts w:hint="eastAsia" w:eastAsia="宋体" w:cs="Times New Roman"/>
                      <w:sz w:val="21"/>
                      <w:szCs w:val="21"/>
                      <w:lang w:val="en-US" w:eastAsia="zh-CN"/>
                    </w:rPr>
                  </w:pPr>
                  <w:r>
                    <w:rPr>
                      <w:rFonts w:hint="eastAsia" w:cs="Times New Roman"/>
                      <w:sz w:val="21"/>
                      <w:szCs w:val="21"/>
                      <w:lang w:val="en-US" w:eastAsia="zh-CN"/>
                    </w:rPr>
                    <w:t>本项目不涉及</w:t>
                  </w:r>
                  <w:r>
                    <w:rPr>
                      <w:rFonts w:hint="eastAsia" w:cs="Times New Roman"/>
                      <w:sz w:val="21"/>
                      <w:szCs w:val="21"/>
                    </w:rPr>
                    <w:t>水环境重点管控</w:t>
                  </w:r>
                  <w:r>
                    <w:rPr>
                      <w:rFonts w:hint="eastAsia" w:ascii="Times New Roman" w:hAnsi="Times New Roman" w:eastAsia="宋体" w:cs="Times New Roman"/>
                      <w:sz w:val="21"/>
                      <w:szCs w:val="21"/>
                      <w:lang w:val="en-US" w:eastAsia="zh-CN"/>
                    </w:rPr>
                    <w:t>区。产生废水主要为生活污水经排水系统收集至化粪池（1</w:t>
                  </w:r>
                  <w:r>
                    <w:rPr>
                      <w:rFonts w:hint="eastAsia" w:cs="Times New Roman"/>
                      <w:sz w:val="21"/>
                      <w:szCs w:val="21"/>
                      <w:lang w:val="en-US" w:eastAsia="zh-CN"/>
                    </w:rPr>
                    <w:t>9</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）处理后排放至市政排水管道</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最终进入</w:t>
                  </w:r>
                  <w:r>
                    <w:rPr>
                      <w:rFonts w:hint="eastAsia" w:cs="Times New Roman"/>
                      <w:sz w:val="21"/>
                      <w:szCs w:val="21"/>
                      <w:lang w:val="en-US" w:eastAsia="zh-CN"/>
                    </w:rPr>
                    <w:t>库尔勒经济技术开发区工业废水处理厂</w:t>
                  </w:r>
                  <w:r>
                    <w:rPr>
                      <w:rFonts w:hint="eastAsia" w:ascii="Times New Roman" w:hAnsi="Times New Roman" w:eastAsia="宋体" w:cs="Times New Roman"/>
                      <w:sz w:val="21"/>
                      <w:szCs w:val="21"/>
                      <w:lang w:val="en-US" w:eastAsia="zh-CN"/>
                    </w:rPr>
                    <w:t>深度处理</w:t>
                  </w:r>
                </w:p>
              </w:tc>
              <w:tc>
                <w:tcPr>
                  <w:tcW w:w="309" w:type="pct"/>
                  <w:tcBorders>
                    <w:left w:val="single" w:color="auto" w:sz="4" w:space="0"/>
                    <w:right w:val="single" w:color="auto" w:sz="12" w:space="0"/>
                  </w:tcBorders>
                  <w:vAlign w:val="center"/>
                </w:tcPr>
                <w:p w14:paraId="7E1205A7">
                  <w:pPr>
                    <w:autoSpaceDE w:val="0"/>
                    <w:autoSpaceDN w:val="0"/>
                    <w:spacing w:line="240" w:lineRule="atLeast"/>
                    <w:ind w:firstLine="0" w:firstLineChars="0"/>
                    <w:jc w:val="center"/>
                    <w:rPr>
                      <w:rFonts w:hint="eastAsia" w:eastAsia="宋体" w:cs="Times New Roman"/>
                      <w:sz w:val="21"/>
                      <w:szCs w:val="21"/>
                      <w:lang w:val="en-US" w:eastAsia="zh-CN"/>
                    </w:rPr>
                  </w:pPr>
                  <w:r>
                    <w:rPr>
                      <w:rFonts w:hint="eastAsia" w:cs="Times New Roman"/>
                      <w:sz w:val="21"/>
                      <w:szCs w:val="21"/>
                      <w:lang w:val="en-US" w:eastAsia="zh-CN"/>
                    </w:rPr>
                    <w:t>符合</w:t>
                  </w:r>
                </w:p>
              </w:tc>
            </w:tr>
            <w:tr w14:paraId="4299A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1CBF439E">
                  <w:pPr>
                    <w:widowControl/>
                    <w:spacing w:line="240" w:lineRule="atLeast"/>
                    <w:ind w:firstLine="0" w:firstLineChars="0"/>
                    <w:jc w:val="center"/>
                    <w:rPr>
                      <w:rFonts w:cs="Times New Roman"/>
                      <w:sz w:val="21"/>
                      <w:szCs w:val="21"/>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7CBABBE">
                  <w:pPr>
                    <w:widowControl/>
                    <w:spacing w:line="240" w:lineRule="atLeast"/>
                    <w:ind w:firstLine="0" w:firstLineChars="0"/>
                    <w:jc w:val="center"/>
                    <w:rPr>
                      <w:rFonts w:cs="Times New Roman"/>
                      <w:sz w:val="21"/>
                      <w:szCs w:val="21"/>
                    </w:rPr>
                  </w:pPr>
                </w:p>
              </w:tc>
              <w:tc>
                <w:tcPr>
                  <w:tcW w:w="2679" w:type="pct"/>
                  <w:tcBorders>
                    <w:top w:val="single" w:color="auto" w:sz="4" w:space="0"/>
                    <w:left w:val="single" w:color="auto" w:sz="4" w:space="0"/>
                    <w:bottom w:val="single" w:color="auto" w:sz="4" w:space="0"/>
                    <w:right w:val="single" w:color="auto" w:sz="4" w:space="0"/>
                  </w:tcBorders>
                  <w:vAlign w:val="center"/>
                </w:tcPr>
                <w:p w14:paraId="34B14321">
                  <w:pPr>
                    <w:autoSpaceDE w:val="0"/>
                    <w:autoSpaceDN w:val="0"/>
                    <w:spacing w:line="240" w:lineRule="atLeast"/>
                    <w:ind w:firstLine="0" w:firstLineChars="0"/>
                    <w:jc w:val="center"/>
                    <w:rPr>
                      <w:rFonts w:cs="Times New Roman"/>
                      <w:sz w:val="21"/>
                      <w:szCs w:val="21"/>
                    </w:rPr>
                  </w:pPr>
                  <w:r>
                    <w:rPr>
                      <w:rFonts w:cs="Times New Roman"/>
                      <w:sz w:val="21"/>
                      <w:szCs w:val="21"/>
                    </w:rPr>
                    <w:t>【A6.1-4】</w:t>
                  </w:r>
                  <w:r>
                    <w:rPr>
                      <w:rFonts w:hint="eastAsia" w:cs="Times New Roman"/>
                      <w:sz w:val="21"/>
                      <w:szCs w:val="21"/>
                    </w:rPr>
                    <w:t>土壤环境重点管控区内：引入新建产业或企业时，应结合产业发展规划，充分考虑企业类型、污染物排放特征以及外环境情况等因素，避免企业形成交叉污染；涉重金属、持久性有机物等有毒有害污染物工业企业退出用地，须经评估、治理，满足后续相应用地土壤环境质量要求</w:t>
                  </w:r>
                </w:p>
              </w:tc>
              <w:tc>
                <w:tcPr>
                  <w:tcW w:w="1404" w:type="pct"/>
                  <w:tcBorders>
                    <w:left w:val="single" w:color="auto" w:sz="4" w:space="0"/>
                    <w:bottom w:val="single" w:color="auto" w:sz="4" w:space="0"/>
                    <w:right w:val="single" w:color="auto" w:sz="4" w:space="0"/>
                  </w:tcBorders>
                  <w:vAlign w:val="center"/>
                </w:tcPr>
                <w:p w14:paraId="17FDD4EF">
                  <w:pPr>
                    <w:autoSpaceDE w:val="0"/>
                    <w:autoSpaceDN w:val="0"/>
                    <w:spacing w:line="240" w:lineRule="atLeast"/>
                    <w:ind w:firstLine="0" w:firstLineChars="0"/>
                    <w:jc w:val="center"/>
                    <w:rPr>
                      <w:rFonts w:cs="Times New Roman"/>
                      <w:sz w:val="21"/>
                      <w:szCs w:val="21"/>
                    </w:rPr>
                  </w:pPr>
                  <w:r>
                    <w:rPr>
                      <w:rFonts w:hint="eastAsia" w:ascii="宋体" w:hAnsi="宋体" w:cs="宋体"/>
                      <w:color w:val="000000"/>
                      <w:sz w:val="21"/>
                      <w:szCs w:val="21"/>
                      <w:lang w:val="en-US" w:eastAsia="zh-CN"/>
                    </w:rPr>
                    <w:t>本项目不属于土壤环境重点管控区，不</w:t>
                  </w:r>
                  <w:r>
                    <w:rPr>
                      <w:rFonts w:hint="eastAsia" w:ascii="宋体" w:hAnsi="宋体" w:cs="宋体"/>
                      <w:color w:val="000000"/>
                      <w:sz w:val="21"/>
                      <w:szCs w:val="21"/>
                    </w:rPr>
                    <w:t>涉及重金属、持久性有机物等有毒有害污染物</w:t>
                  </w:r>
                </w:p>
              </w:tc>
              <w:tc>
                <w:tcPr>
                  <w:tcW w:w="309" w:type="pct"/>
                  <w:tcBorders>
                    <w:left w:val="single" w:color="auto" w:sz="4" w:space="0"/>
                    <w:bottom w:val="single" w:color="auto" w:sz="4" w:space="0"/>
                    <w:right w:val="single" w:color="auto" w:sz="12" w:space="0"/>
                  </w:tcBorders>
                  <w:vAlign w:val="center"/>
                </w:tcPr>
                <w:p w14:paraId="07CA9576">
                  <w:pPr>
                    <w:widowControl/>
                    <w:spacing w:line="240" w:lineRule="atLeast"/>
                    <w:ind w:firstLine="0" w:firstLineChars="0"/>
                    <w:jc w:val="center"/>
                    <w:rPr>
                      <w:rFonts w:cs="Times New Roman"/>
                      <w:sz w:val="21"/>
                      <w:szCs w:val="21"/>
                    </w:rPr>
                  </w:pPr>
                  <w:r>
                    <w:rPr>
                      <w:rFonts w:hint="eastAsia" w:cs="Times New Roman"/>
                      <w:sz w:val="21"/>
                      <w:szCs w:val="21"/>
                      <w:lang w:val="en-US" w:eastAsia="zh-CN"/>
                    </w:rPr>
                    <w:t>符合</w:t>
                  </w:r>
                </w:p>
              </w:tc>
            </w:tr>
            <w:tr w14:paraId="10DC8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04CC7ECE">
                  <w:pPr>
                    <w:widowControl/>
                    <w:spacing w:line="240" w:lineRule="atLeast"/>
                    <w:ind w:firstLine="0" w:firstLineChars="0"/>
                    <w:jc w:val="center"/>
                    <w:rPr>
                      <w:rFonts w:cs="Times New Roman"/>
                      <w:sz w:val="21"/>
                      <w:szCs w:val="21"/>
                    </w:rPr>
                  </w:pPr>
                </w:p>
              </w:tc>
              <w:tc>
                <w:tcPr>
                  <w:tcW w:w="333" w:type="pct"/>
                  <w:tcBorders>
                    <w:top w:val="single" w:color="auto" w:sz="4" w:space="0"/>
                    <w:left w:val="single" w:color="auto" w:sz="4" w:space="0"/>
                    <w:bottom w:val="single" w:color="auto" w:sz="4" w:space="0"/>
                    <w:right w:val="single" w:color="auto" w:sz="4" w:space="0"/>
                  </w:tcBorders>
                  <w:vAlign w:val="center"/>
                </w:tcPr>
                <w:p w14:paraId="0C4610F9">
                  <w:pPr>
                    <w:autoSpaceDE w:val="0"/>
                    <w:autoSpaceDN w:val="0"/>
                    <w:spacing w:line="240" w:lineRule="atLeast"/>
                    <w:ind w:firstLine="0" w:firstLineChars="0"/>
                    <w:jc w:val="center"/>
                    <w:rPr>
                      <w:rFonts w:cs="Times New Roman"/>
                      <w:sz w:val="21"/>
                      <w:szCs w:val="21"/>
                    </w:rPr>
                  </w:pPr>
                  <w:r>
                    <w:rPr>
                      <w:rFonts w:hint="eastAsia" w:cs="Times New Roman"/>
                      <w:sz w:val="21"/>
                      <w:szCs w:val="21"/>
                    </w:rPr>
                    <w:t>A6.2污染物排放管控</w:t>
                  </w:r>
                </w:p>
              </w:tc>
              <w:tc>
                <w:tcPr>
                  <w:tcW w:w="2679" w:type="pct"/>
                  <w:tcBorders>
                    <w:top w:val="single" w:color="auto" w:sz="4" w:space="0"/>
                    <w:left w:val="single" w:color="auto" w:sz="4" w:space="0"/>
                    <w:bottom w:val="single" w:color="auto" w:sz="4" w:space="0"/>
                    <w:right w:val="single" w:color="auto" w:sz="4" w:space="0"/>
                  </w:tcBorders>
                  <w:vAlign w:val="center"/>
                </w:tcPr>
                <w:p w14:paraId="3B431CD3">
                  <w:pPr>
                    <w:widowControl/>
                    <w:spacing w:line="240" w:lineRule="atLeast"/>
                    <w:ind w:firstLine="0" w:firstLineChars="0"/>
                    <w:jc w:val="center"/>
                    <w:rPr>
                      <w:rFonts w:cs="Times New Roman"/>
                      <w:sz w:val="21"/>
                      <w:szCs w:val="21"/>
                    </w:rPr>
                  </w:pPr>
                  <w:r>
                    <w:rPr>
                      <w:rFonts w:hint="eastAsia" w:cs="Times New Roman"/>
                      <w:sz w:val="21"/>
                      <w:szCs w:val="21"/>
                    </w:rPr>
                    <w:t>【A6.2-1】严格实施污染物总量控制制度，根据区域环境质量改善目标，削减污染物排放总量。新建工业项目污染物排放水平要达到同行业国内先进水平。加快落实污水处理厂建设及提升改造，推进工业园区（工业企业）污水处理综合利用设施建设，所有企业实现稳定达标排放。加强土壤和地下水污染防治与修复</w:t>
                  </w:r>
                </w:p>
              </w:tc>
              <w:tc>
                <w:tcPr>
                  <w:tcW w:w="1404" w:type="pct"/>
                  <w:tcBorders>
                    <w:top w:val="single" w:color="auto" w:sz="4" w:space="0"/>
                    <w:left w:val="single" w:color="auto" w:sz="4" w:space="0"/>
                    <w:bottom w:val="single" w:color="auto" w:sz="4" w:space="0"/>
                    <w:right w:val="single" w:color="auto" w:sz="4" w:space="0"/>
                  </w:tcBorders>
                  <w:vAlign w:val="center"/>
                </w:tcPr>
                <w:p w14:paraId="10AA52C4">
                  <w:pPr>
                    <w:spacing w:line="240" w:lineRule="atLeast"/>
                    <w:ind w:firstLine="0" w:firstLineChars="0"/>
                    <w:jc w:val="center"/>
                    <w:rPr>
                      <w:rFonts w:hint="eastAsia" w:eastAsia="宋体" w:cs="Times New Roman"/>
                      <w:sz w:val="21"/>
                      <w:szCs w:val="21"/>
                      <w:lang w:val="en-US" w:eastAsia="zh-CN"/>
                    </w:rPr>
                  </w:pPr>
                  <w:r>
                    <w:rPr>
                      <w:rFonts w:hint="eastAsia" w:ascii="宋体" w:hAnsi="宋体" w:cs="宋体"/>
                      <w:color w:val="000000"/>
                      <w:sz w:val="21"/>
                      <w:szCs w:val="21"/>
                    </w:rPr>
                    <w:t>本项目产生的污染物较少，在严格落实各项污染治理措施后可实现稳定达标排放</w:t>
                  </w:r>
                  <w:r>
                    <w:rPr>
                      <w:rFonts w:hint="eastAsia" w:cs="Times New Roman"/>
                      <w:color w:val="000000"/>
                      <w:sz w:val="21"/>
                      <w:szCs w:val="21"/>
                      <w:lang w:eastAsia="zh-CN"/>
                    </w:rPr>
                    <w:t>，</w:t>
                  </w:r>
                  <w:r>
                    <w:rPr>
                      <w:rFonts w:hint="eastAsia" w:cs="Times New Roman"/>
                      <w:color w:val="000000"/>
                      <w:sz w:val="21"/>
                      <w:szCs w:val="21"/>
                    </w:rPr>
                    <w:t>不涉及总量控制指标</w:t>
                  </w:r>
                  <w:r>
                    <w:rPr>
                      <w:rFonts w:hint="eastAsia" w:cs="Times New Roman"/>
                      <w:color w:val="000000"/>
                      <w:sz w:val="21"/>
                      <w:szCs w:val="21"/>
                      <w:lang w:val="en-US" w:eastAsia="zh-CN"/>
                    </w:rPr>
                    <w:t>申请</w:t>
                  </w:r>
                </w:p>
              </w:tc>
              <w:tc>
                <w:tcPr>
                  <w:tcW w:w="309" w:type="pct"/>
                  <w:tcBorders>
                    <w:top w:val="single" w:color="auto" w:sz="4" w:space="0"/>
                    <w:left w:val="single" w:color="auto" w:sz="4" w:space="0"/>
                    <w:bottom w:val="single" w:color="auto" w:sz="4" w:space="0"/>
                    <w:right w:val="single" w:color="auto" w:sz="12" w:space="0"/>
                  </w:tcBorders>
                  <w:vAlign w:val="center"/>
                </w:tcPr>
                <w:p w14:paraId="00384FD5">
                  <w:pPr>
                    <w:autoSpaceDE w:val="0"/>
                    <w:autoSpaceDN w:val="0"/>
                    <w:spacing w:line="240" w:lineRule="atLeast"/>
                    <w:ind w:firstLine="0" w:firstLineChars="0"/>
                    <w:jc w:val="center"/>
                    <w:rPr>
                      <w:rFonts w:cs="Times New Roman"/>
                      <w:sz w:val="21"/>
                      <w:szCs w:val="21"/>
                    </w:rPr>
                  </w:pPr>
                  <w:r>
                    <w:rPr>
                      <w:rFonts w:cs="Times New Roman"/>
                      <w:sz w:val="21"/>
                      <w:szCs w:val="21"/>
                    </w:rPr>
                    <w:t>符合</w:t>
                  </w:r>
                </w:p>
              </w:tc>
            </w:tr>
            <w:tr w14:paraId="4A5D2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3A779E90">
                  <w:pPr>
                    <w:widowControl/>
                    <w:spacing w:line="240" w:lineRule="atLeast"/>
                    <w:ind w:firstLine="0" w:firstLineChars="0"/>
                    <w:jc w:val="center"/>
                    <w:rPr>
                      <w:rFonts w:cs="Times New Roman"/>
                      <w:sz w:val="21"/>
                      <w:szCs w:val="21"/>
                    </w:rPr>
                  </w:pPr>
                </w:p>
              </w:tc>
              <w:tc>
                <w:tcPr>
                  <w:tcW w:w="333" w:type="pct"/>
                  <w:tcBorders>
                    <w:top w:val="single" w:color="auto" w:sz="4" w:space="0"/>
                    <w:left w:val="single" w:color="auto" w:sz="4" w:space="0"/>
                    <w:bottom w:val="single" w:color="auto" w:sz="4" w:space="0"/>
                    <w:right w:val="single" w:color="auto" w:sz="4" w:space="0"/>
                  </w:tcBorders>
                  <w:vAlign w:val="center"/>
                </w:tcPr>
                <w:p w14:paraId="2B9FC3A6">
                  <w:pPr>
                    <w:autoSpaceDE w:val="0"/>
                    <w:autoSpaceDN w:val="0"/>
                    <w:spacing w:line="240" w:lineRule="atLeast"/>
                    <w:ind w:firstLine="0" w:firstLineChars="0"/>
                    <w:jc w:val="center"/>
                    <w:rPr>
                      <w:rFonts w:cs="Times New Roman"/>
                      <w:sz w:val="21"/>
                      <w:szCs w:val="21"/>
                    </w:rPr>
                  </w:pPr>
                  <w:r>
                    <w:rPr>
                      <w:rFonts w:hint="eastAsia" w:cs="Times New Roman"/>
                      <w:sz w:val="21"/>
                      <w:szCs w:val="21"/>
                    </w:rPr>
                    <w:t>A6.3环境风险防控</w:t>
                  </w:r>
                </w:p>
              </w:tc>
              <w:tc>
                <w:tcPr>
                  <w:tcW w:w="2679" w:type="pct"/>
                  <w:tcBorders>
                    <w:top w:val="single" w:color="auto" w:sz="4" w:space="0"/>
                    <w:left w:val="single" w:color="auto" w:sz="4" w:space="0"/>
                    <w:bottom w:val="single" w:color="auto" w:sz="4" w:space="0"/>
                    <w:right w:val="single" w:color="auto" w:sz="4" w:space="0"/>
                  </w:tcBorders>
                  <w:vAlign w:val="center"/>
                </w:tcPr>
                <w:p w14:paraId="03D4E41A">
                  <w:pPr>
                    <w:autoSpaceDE w:val="0"/>
                    <w:autoSpaceDN w:val="0"/>
                    <w:spacing w:line="240" w:lineRule="atLeast"/>
                    <w:ind w:firstLine="0" w:firstLineChars="0"/>
                    <w:jc w:val="center"/>
                    <w:rPr>
                      <w:rFonts w:cs="Times New Roman"/>
                      <w:sz w:val="21"/>
                      <w:szCs w:val="21"/>
                    </w:rPr>
                  </w:pPr>
                  <w:r>
                    <w:rPr>
                      <w:rFonts w:hint="eastAsia" w:cs="Times New Roman"/>
                      <w:sz w:val="21"/>
                      <w:szCs w:val="21"/>
                    </w:rPr>
                    <w:t>【A6.3-1】定期评估邻近环境敏感区的工业企业、工业集聚区环境和健康风险。强化工业集聚区企业环境风险防范设施设备建设和正常运行监管，加强重点环境风险管控企业应急预案制定，建立常态化的企业隐患排查整治监管机制，加强风险防控体系建设</w:t>
                  </w:r>
                </w:p>
              </w:tc>
              <w:tc>
                <w:tcPr>
                  <w:tcW w:w="1404" w:type="pct"/>
                  <w:tcBorders>
                    <w:top w:val="single" w:color="auto" w:sz="4" w:space="0"/>
                    <w:left w:val="single" w:color="auto" w:sz="4" w:space="0"/>
                    <w:bottom w:val="single" w:color="auto" w:sz="4" w:space="0"/>
                    <w:right w:val="single" w:color="auto" w:sz="4" w:space="0"/>
                  </w:tcBorders>
                  <w:vAlign w:val="center"/>
                </w:tcPr>
                <w:p w14:paraId="7DE97882">
                  <w:pPr>
                    <w:spacing w:line="240" w:lineRule="atLeast"/>
                    <w:ind w:firstLine="0" w:firstLineChars="0"/>
                    <w:rPr>
                      <w:rFonts w:cs="Times New Roman"/>
                      <w:sz w:val="21"/>
                      <w:szCs w:val="21"/>
                    </w:rPr>
                  </w:pPr>
                  <w:r>
                    <w:rPr>
                      <w:rFonts w:hint="eastAsia" w:ascii="宋体" w:hAnsi="宋体" w:cs="宋体"/>
                      <w:color w:val="000000"/>
                      <w:sz w:val="21"/>
                      <w:szCs w:val="21"/>
                    </w:rPr>
                    <w:t>本项目要求企业环境风险物质制定风险防范措施，严格进行监管，建立常态化的企业隐患排查整治监管机制</w:t>
                  </w:r>
                </w:p>
              </w:tc>
              <w:tc>
                <w:tcPr>
                  <w:tcW w:w="309" w:type="pct"/>
                  <w:tcBorders>
                    <w:top w:val="single" w:color="auto" w:sz="4" w:space="0"/>
                    <w:left w:val="single" w:color="auto" w:sz="4" w:space="0"/>
                    <w:bottom w:val="single" w:color="auto" w:sz="4" w:space="0"/>
                    <w:right w:val="single" w:color="auto" w:sz="12" w:space="0"/>
                  </w:tcBorders>
                  <w:vAlign w:val="center"/>
                </w:tcPr>
                <w:p w14:paraId="4123AD43">
                  <w:pPr>
                    <w:autoSpaceDE w:val="0"/>
                    <w:autoSpaceDN w:val="0"/>
                    <w:spacing w:line="240" w:lineRule="atLeast"/>
                    <w:ind w:firstLine="0" w:firstLineChars="0"/>
                    <w:jc w:val="center"/>
                    <w:rPr>
                      <w:rFonts w:cs="Times New Roman"/>
                      <w:sz w:val="21"/>
                      <w:szCs w:val="21"/>
                    </w:rPr>
                  </w:pPr>
                  <w:r>
                    <w:rPr>
                      <w:rFonts w:cs="Times New Roman"/>
                      <w:sz w:val="21"/>
                      <w:szCs w:val="21"/>
                    </w:rPr>
                    <w:t>符合</w:t>
                  </w:r>
                </w:p>
              </w:tc>
            </w:tr>
            <w:tr w14:paraId="0CC9B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12" w:space="0"/>
                    <w:right w:val="single" w:color="auto" w:sz="4" w:space="0"/>
                  </w:tcBorders>
                  <w:vAlign w:val="center"/>
                </w:tcPr>
                <w:p w14:paraId="59FB8F56">
                  <w:pPr>
                    <w:widowControl/>
                    <w:spacing w:line="240" w:lineRule="atLeast"/>
                    <w:ind w:firstLine="0" w:firstLineChars="0"/>
                    <w:jc w:val="center"/>
                    <w:rPr>
                      <w:rFonts w:cs="Times New Roman"/>
                      <w:sz w:val="21"/>
                      <w:szCs w:val="21"/>
                    </w:rPr>
                  </w:pPr>
                </w:p>
              </w:tc>
              <w:tc>
                <w:tcPr>
                  <w:tcW w:w="333" w:type="pct"/>
                  <w:tcBorders>
                    <w:top w:val="single" w:color="auto" w:sz="4" w:space="0"/>
                    <w:left w:val="single" w:color="auto" w:sz="4" w:space="0"/>
                    <w:bottom w:val="single" w:color="auto" w:sz="12" w:space="0"/>
                    <w:right w:val="single" w:color="auto" w:sz="4" w:space="0"/>
                  </w:tcBorders>
                  <w:vAlign w:val="center"/>
                </w:tcPr>
                <w:p w14:paraId="6522D552">
                  <w:pPr>
                    <w:widowControl/>
                    <w:spacing w:line="240" w:lineRule="atLeast"/>
                    <w:ind w:firstLine="0" w:firstLineChars="0"/>
                    <w:jc w:val="center"/>
                    <w:rPr>
                      <w:rFonts w:cs="Times New Roman"/>
                      <w:sz w:val="21"/>
                      <w:szCs w:val="21"/>
                    </w:rPr>
                  </w:pPr>
                  <w:r>
                    <w:rPr>
                      <w:rFonts w:hint="eastAsia" w:cs="Times New Roman"/>
                      <w:sz w:val="21"/>
                      <w:szCs w:val="21"/>
                    </w:rPr>
                    <w:t>A6.4资源利用要求</w:t>
                  </w:r>
                </w:p>
              </w:tc>
              <w:tc>
                <w:tcPr>
                  <w:tcW w:w="2679" w:type="pct"/>
                  <w:tcBorders>
                    <w:top w:val="single" w:color="auto" w:sz="4" w:space="0"/>
                    <w:left w:val="single" w:color="auto" w:sz="4" w:space="0"/>
                    <w:bottom w:val="single" w:color="auto" w:sz="12" w:space="0"/>
                    <w:right w:val="single" w:color="auto" w:sz="4" w:space="0"/>
                  </w:tcBorders>
                  <w:vAlign w:val="center"/>
                </w:tcPr>
                <w:p w14:paraId="5F17946E">
                  <w:pPr>
                    <w:widowControl/>
                    <w:spacing w:line="240" w:lineRule="atLeast"/>
                    <w:ind w:firstLine="0" w:firstLineChars="0"/>
                    <w:jc w:val="center"/>
                    <w:rPr>
                      <w:rFonts w:cs="Times New Roman"/>
                      <w:sz w:val="21"/>
                      <w:szCs w:val="21"/>
                    </w:rPr>
                  </w:pPr>
                  <w:r>
                    <w:rPr>
                      <w:rFonts w:hint="eastAsia" w:cs="Times New Roman"/>
                      <w:sz w:val="21"/>
                      <w:szCs w:val="21"/>
                    </w:rPr>
                    <w:t>【A6.4-1】推进工业集聚区生态化改造，强化企业清洁生产改造，推进节水型企业、节水型工业园区建设，提高资源能源利用效率</w:t>
                  </w:r>
                </w:p>
              </w:tc>
              <w:tc>
                <w:tcPr>
                  <w:tcW w:w="1404" w:type="pct"/>
                  <w:tcBorders>
                    <w:top w:val="single" w:color="auto" w:sz="4" w:space="0"/>
                    <w:left w:val="single" w:color="auto" w:sz="4" w:space="0"/>
                    <w:bottom w:val="single" w:color="auto" w:sz="12" w:space="0"/>
                    <w:right w:val="single" w:color="auto" w:sz="4" w:space="0"/>
                  </w:tcBorders>
                  <w:vAlign w:val="center"/>
                </w:tcPr>
                <w:p w14:paraId="776A413D">
                  <w:pPr>
                    <w:widowControl/>
                    <w:spacing w:line="240" w:lineRule="atLeast"/>
                    <w:ind w:firstLine="0" w:firstLineChars="0"/>
                    <w:jc w:val="center"/>
                    <w:rPr>
                      <w:rFonts w:cs="Times New Roman"/>
                      <w:sz w:val="21"/>
                      <w:szCs w:val="21"/>
                    </w:rPr>
                  </w:pPr>
                  <w:bookmarkStart w:id="3" w:name="OLE_LINK24"/>
                  <w:r>
                    <w:rPr>
                      <w:rFonts w:hint="eastAsia" w:cs="Times New Roman"/>
                      <w:sz w:val="21"/>
                      <w:szCs w:val="21"/>
                    </w:rPr>
                    <w:t>本项目主要利用资源为生产、生活用水及生产用电，本项目用水量及耗电量较小，占地面积较小，对区域水资源、土地资源、能源消耗较小</w:t>
                  </w:r>
                  <w:bookmarkEnd w:id="3"/>
                </w:p>
              </w:tc>
              <w:tc>
                <w:tcPr>
                  <w:tcW w:w="309" w:type="pct"/>
                  <w:tcBorders>
                    <w:top w:val="single" w:color="auto" w:sz="4" w:space="0"/>
                    <w:left w:val="single" w:color="auto" w:sz="4" w:space="0"/>
                    <w:bottom w:val="single" w:color="auto" w:sz="12" w:space="0"/>
                    <w:right w:val="single" w:color="auto" w:sz="12" w:space="0"/>
                  </w:tcBorders>
                  <w:vAlign w:val="center"/>
                </w:tcPr>
                <w:p w14:paraId="0923E521">
                  <w:pPr>
                    <w:widowControl/>
                    <w:spacing w:line="240" w:lineRule="atLeast"/>
                    <w:ind w:firstLine="0" w:firstLineChars="0"/>
                    <w:jc w:val="center"/>
                    <w:rPr>
                      <w:rFonts w:cs="Times New Roman"/>
                      <w:sz w:val="21"/>
                      <w:szCs w:val="21"/>
                    </w:rPr>
                  </w:pPr>
                  <w:r>
                    <w:rPr>
                      <w:rFonts w:cs="Times New Roman"/>
                      <w:sz w:val="21"/>
                      <w:szCs w:val="21"/>
                    </w:rPr>
                    <w:t>符合</w:t>
                  </w:r>
                </w:p>
              </w:tc>
            </w:tr>
          </w:tbl>
          <w:p w14:paraId="427357AE">
            <w:pPr>
              <w:spacing w:before="120" w:beforeLines="50" w:line="240" w:lineRule="auto"/>
              <w:ind w:firstLine="0" w:firstLineChars="0"/>
              <w:contextualSpacing/>
              <w:jc w:val="center"/>
              <w:textAlignment w:val="auto"/>
              <w:rPr>
                <w:rFonts w:cs="Times New Roman"/>
                <w:b/>
                <w:bCs/>
                <w:sz w:val="21"/>
                <w:szCs w:val="21"/>
              </w:rPr>
            </w:pPr>
            <w:r>
              <w:rPr>
                <w:rFonts w:cs="Times New Roman"/>
                <w:b/>
                <w:bCs/>
                <w:sz w:val="21"/>
                <w:szCs w:val="21"/>
              </w:rPr>
              <w:t xml:space="preserve">表1-3  </w:t>
            </w:r>
            <w:r>
              <w:rPr>
                <w:rFonts w:hint="eastAsia" w:cs="Times New Roman"/>
                <w:b/>
                <w:bCs/>
                <w:sz w:val="21"/>
                <w:szCs w:val="21"/>
                <w:lang w:val="en-US" w:eastAsia="zh-CN"/>
              </w:rPr>
              <w:t>本</w:t>
            </w:r>
            <w:r>
              <w:rPr>
                <w:rFonts w:cs="Times New Roman"/>
                <w:b/>
                <w:bCs/>
                <w:sz w:val="21"/>
                <w:szCs w:val="21"/>
              </w:rPr>
              <w:t>项目与天山南坡片区总体管控要求符合性分析一览表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1"/>
              <w:gridCol w:w="4352"/>
              <w:gridCol w:w="2046"/>
              <w:gridCol w:w="734"/>
            </w:tblGrid>
            <w:tr w14:paraId="5B557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3" w:type="pct"/>
                  <w:vMerge w:val="restart"/>
                  <w:vAlign w:val="center"/>
                </w:tcPr>
                <w:p w14:paraId="5AA55F3D">
                  <w:pPr>
                    <w:spacing w:line="240" w:lineRule="auto"/>
                    <w:ind w:firstLine="0" w:firstLineChars="0"/>
                    <w:contextualSpacing/>
                    <w:jc w:val="center"/>
                    <w:textAlignment w:val="auto"/>
                    <w:rPr>
                      <w:rFonts w:cs="Times New Roman"/>
                      <w:sz w:val="21"/>
                      <w:szCs w:val="21"/>
                    </w:rPr>
                  </w:pPr>
                  <w:r>
                    <w:rPr>
                      <w:rFonts w:cs="Times New Roman"/>
                      <w:sz w:val="21"/>
                      <w:szCs w:val="21"/>
                    </w:rPr>
                    <w:t>天山南坡片区总体管控要求</w:t>
                  </w:r>
                </w:p>
              </w:tc>
              <w:tc>
                <w:tcPr>
                  <w:tcW w:w="2646" w:type="pct"/>
                  <w:vAlign w:val="center"/>
                </w:tcPr>
                <w:p w14:paraId="2E2F4C2D">
                  <w:pPr>
                    <w:spacing w:line="240" w:lineRule="auto"/>
                    <w:ind w:firstLine="0" w:firstLineChars="0"/>
                    <w:contextualSpacing/>
                    <w:jc w:val="center"/>
                    <w:textAlignment w:val="auto"/>
                    <w:rPr>
                      <w:rFonts w:cs="Times New Roman"/>
                      <w:sz w:val="21"/>
                      <w:szCs w:val="21"/>
                    </w:rPr>
                  </w:pPr>
                  <w:r>
                    <w:rPr>
                      <w:rFonts w:cs="Times New Roman"/>
                      <w:sz w:val="21"/>
                      <w:szCs w:val="21"/>
                    </w:rPr>
                    <w:t>管控要求</w:t>
                  </w:r>
                </w:p>
              </w:tc>
              <w:tc>
                <w:tcPr>
                  <w:tcW w:w="1244" w:type="pct"/>
                  <w:vAlign w:val="center"/>
                </w:tcPr>
                <w:p w14:paraId="203A829D">
                  <w:pPr>
                    <w:spacing w:line="240" w:lineRule="auto"/>
                    <w:ind w:firstLine="0" w:firstLineChars="0"/>
                    <w:contextualSpacing/>
                    <w:jc w:val="center"/>
                    <w:textAlignment w:val="auto"/>
                    <w:rPr>
                      <w:rFonts w:cs="Times New Roman"/>
                      <w:sz w:val="21"/>
                      <w:szCs w:val="21"/>
                    </w:rPr>
                  </w:pPr>
                  <w:r>
                    <w:rPr>
                      <w:rFonts w:cs="Times New Roman"/>
                      <w:sz w:val="21"/>
                      <w:szCs w:val="21"/>
                    </w:rPr>
                    <w:t>本项目</w:t>
                  </w:r>
                </w:p>
              </w:tc>
              <w:tc>
                <w:tcPr>
                  <w:tcW w:w="446" w:type="pct"/>
                  <w:vAlign w:val="center"/>
                </w:tcPr>
                <w:p w14:paraId="3B6B5E48">
                  <w:pPr>
                    <w:spacing w:line="240" w:lineRule="auto"/>
                    <w:ind w:firstLine="0" w:firstLineChars="0"/>
                    <w:contextualSpacing/>
                    <w:jc w:val="center"/>
                    <w:textAlignment w:val="auto"/>
                    <w:rPr>
                      <w:rFonts w:cs="Times New Roman"/>
                      <w:sz w:val="21"/>
                      <w:szCs w:val="21"/>
                    </w:rPr>
                  </w:pPr>
                  <w:r>
                    <w:rPr>
                      <w:rFonts w:cs="Times New Roman"/>
                      <w:sz w:val="21"/>
                      <w:szCs w:val="21"/>
                    </w:rPr>
                    <w:t>符合性</w:t>
                  </w:r>
                </w:p>
              </w:tc>
            </w:tr>
            <w:tr w14:paraId="519C2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3" w:type="pct"/>
                  <w:vMerge w:val="continue"/>
                  <w:vAlign w:val="center"/>
                </w:tcPr>
                <w:p w14:paraId="69936D33">
                  <w:pPr>
                    <w:spacing w:line="240" w:lineRule="auto"/>
                    <w:ind w:firstLine="420" w:firstLineChars="0"/>
                    <w:contextualSpacing/>
                    <w:jc w:val="center"/>
                    <w:textAlignment w:val="auto"/>
                    <w:rPr>
                      <w:rFonts w:cs="Times New Roman"/>
                      <w:sz w:val="21"/>
                      <w:szCs w:val="21"/>
                    </w:rPr>
                  </w:pPr>
                </w:p>
              </w:tc>
              <w:tc>
                <w:tcPr>
                  <w:tcW w:w="2646" w:type="pct"/>
                  <w:vAlign w:val="center"/>
                </w:tcPr>
                <w:p w14:paraId="33429ECD">
                  <w:pPr>
                    <w:spacing w:line="240" w:lineRule="auto"/>
                    <w:ind w:firstLine="0" w:firstLineChars="0"/>
                    <w:contextualSpacing/>
                    <w:jc w:val="center"/>
                    <w:textAlignment w:val="auto"/>
                    <w:rPr>
                      <w:rFonts w:cs="Times New Roman"/>
                      <w:sz w:val="21"/>
                      <w:szCs w:val="21"/>
                    </w:rPr>
                  </w:pPr>
                  <w:r>
                    <w:rPr>
                      <w:rFonts w:cs="Times New Roman"/>
                      <w:sz w:val="21"/>
                      <w:szCs w:val="21"/>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244" w:type="pct"/>
                  <w:vAlign w:val="center"/>
                </w:tcPr>
                <w:p w14:paraId="4DA73B87">
                  <w:pPr>
                    <w:spacing w:line="240" w:lineRule="auto"/>
                    <w:ind w:firstLine="0" w:firstLineChars="0"/>
                    <w:contextualSpacing/>
                    <w:jc w:val="center"/>
                    <w:textAlignment w:val="auto"/>
                    <w:rPr>
                      <w:rFonts w:cs="Times New Roman"/>
                      <w:sz w:val="21"/>
                      <w:szCs w:val="21"/>
                    </w:rPr>
                  </w:pPr>
                  <w:r>
                    <w:rPr>
                      <w:rFonts w:cs="Times New Roman"/>
                      <w:sz w:val="21"/>
                      <w:szCs w:val="21"/>
                    </w:rPr>
                    <w:t>本项目不在托木尔峰和天山南坡中段冰雪水源及生物多样性保护生态功能区</w:t>
                  </w:r>
                </w:p>
              </w:tc>
              <w:tc>
                <w:tcPr>
                  <w:tcW w:w="446" w:type="pct"/>
                  <w:vAlign w:val="center"/>
                </w:tcPr>
                <w:p w14:paraId="0A2E1417">
                  <w:pPr>
                    <w:spacing w:line="240" w:lineRule="auto"/>
                    <w:ind w:firstLine="0" w:firstLineChars="0"/>
                    <w:contextualSpacing/>
                    <w:jc w:val="center"/>
                    <w:textAlignment w:val="auto"/>
                    <w:rPr>
                      <w:rFonts w:cs="Times New Roman"/>
                      <w:sz w:val="21"/>
                      <w:szCs w:val="21"/>
                    </w:rPr>
                  </w:pPr>
                  <w:r>
                    <w:rPr>
                      <w:rFonts w:cs="Times New Roman"/>
                      <w:sz w:val="21"/>
                      <w:szCs w:val="21"/>
                    </w:rPr>
                    <w:t>符合</w:t>
                  </w:r>
                </w:p>
              </w:tc>
            </w:tr>
            <w:tr w14:paraId="36C4A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3" w:type="pct"/>
                  <w:vMerge w:val="continue"/>
                  <w:vAlign w:val="center"/>
                </w:tcPr>
                <w:p w14:paraId="6A2B206B">
                  <w:pPr>
                    <w:spacing w:line="240" w:lineRule="auto"/>
                    <w:ind w:firstLine="420" w:firstLineChars="0"/>
                    <w:contextualSpacing/>
                    <w:jc w:val="center"/>
                    <w:textAlignment w:val="auto"/>
                    <w:rPr>
                      <w:rFonts w:cs="Times New Roman"/>
                      <w:sz w:val="21"/>
                      <w:szCs w:val="21"/>
                    </w:rPr>
                  </w:pPr>
                </w:p>
              </w:tc>
              <w:tc>
                <w:tcPr>
                  <w:tcW w:w="2646" w:type="pct"/>
                  <w:vAlign w:val="center"/>
                </w:tcPr>
                <w:p w14:paraId="0FA3681B">
                  <w:pPr>
                    <w:spacing w:line="240" w:lineRule="auto"/>
                    <w:ind w:firstLine="0" w:firstLineChars="0"/>
                    <w:contextualSpacing/>
                    <w:jc w:val="center"/>
                    <w:textAlignment w:val="auto"/>
                    <w:rPr>
                      <w:rFonts w:cs="Times New Roman"/>
                      <w:sz w:val="21"/>
                      <w:szCs w:val="21"/>
                    </w:rPr>
                  </w:pPr>
                  <w:r>
                    <w:rPr>
                      <w:rFonts w:cs="Times New Roman"/>
                      <w:sz w:val="21"/>
                      <w:szCs w:val="21"/>
                    </w:rPr>
                    <w:t>重点做好塔里木盆地北缘荒漠化防治。加强荒漠植被及河岸荒漠林保护，规范油气勘探开发作业，建立油田和公路扰动区域工程与生物相结合的防风固沙体系，逐步形成生态屏障。</w:t>
                  </w:r>
                </w:p>
              </w:tc>
              <w:tc>
                <w:tcPr>
                  <w:tcW w:w="1244" w:type="pct"/>
                  <w:vAlign w:val="center"/>
                </w:tcPr>
                <w:p w14:paraId="781336E6">
                  <w:pPr>
                    <w:spacing w:line="240" w:lineRule="auto"/>
                    <w:ind w:firstLine="0" w:firstLineChars="0"/>
                    <w:contextualSpacing/>
                    <w:jc w:val="center"/>
                    <w:textAlignment w:val="auto"/>
                    <w:rPr>
                      <w:rFonts w:cs="Times New Roman"/>
                      <w:sz w:val="21"/>
                      <w:szCs w:val="21"/>
                    </w:rPr>
                  </w:pPr>
                  <w:r>
                    <w:rPr>
                      <w:rFonts w:cs="Times New Roman"/>
                      <w:sz w:val="21"/>
                      <w:szCs w:val="21"/>
                    </w:rPr>
                    <w:t>本项目不涉及油气勘探开发</w:t>
                  </w:r>
                </w:p>
              </w:tc>
              <w:tc>
                <w:tcPr>
                  <w:tcW w:w="446" w:type="pct"/>
                  <w:vAlign w:val="center"/>
                </w:tcPr>
                <w:p w14:paraId="4296BFF6">
                  <w:pPr>
                    <w:spacing w:line="240" w:lineRule="auto"/>
                    <w:ind w:firstLine="0" w:firstLineChars="0"/>
                    <w:contextualSpacing/>
                    <w:jc w:val="center"/>
                    <w:textAlignment w:val="auto"/>
                    <w:rPr>
                      <w:rFonts w:cs="Times New Roman"/>
                      <w:sz w:val="21"/>
                      <w:szCs w:val="21"/>
                    </w:rPr>
                  </w:pPr>
                  <w:r>
                    <w:rPr>
                      <w:rFonts w:cs="Times New Roman"/>
                      <w:sz w:val="21"/>
                      <w:szCs w:val="21"/>
                    </w:rPr>
                    <w:t>符合</w:t>
                  </w:r>
                </w:p>
              </w:tc>
            </w:tr>
            <w:tr w14:paraId="04A26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3" w:type="pct"/>
                  <w:vMerge w:val="continue"/>
                  <w:vAlign w:val="center"/>
                </w:tcPr>
                <w:p w14:paraId="42093834">
                  <w:pPr>
                    <w:spacing w:line="240" w:lineRule="auto"/>
                    <w:ind w:firstLine="420" w:firstLineChars="0"/>
                    <w:contextualSpacing/>
                    <w:jc w:val="center"/>
                    <w:textAlignment w:val="auto"/>
                    <w:rPr>
                      <w:rFonts w:cs="Times New Roman"/>
                      <w:sz w:val="21"/>
                      <w:szCs w:val="21"/>
                    </w:rPr>
                  </w:pPr>
                </w:p>
              </w:tc>
              <w:tc>
                <w:tcPr>
                  <w:tcW w:w="2646" w:type="pct"/>
                  <w:vAlign w:val="center"/>
                </w:tcPr>
                <w:p w14:paraId="7170C1D5">
                  <w:pPr>
                    <w:spacing w:line="240" w:lineRule="auto"/>
                    <w:ind w:firstLine="0" w:firstLineChars="0"/>
                    <w:contextualSpacing/>
                    <w:jc w:val="center"/>
                    <w:textAlignment w:val="auto"/>
                    <w:rPr>
                      <w:rFonts w:cs="Times New Roman"/>
                      <w:sz w:val="21"/>
                      <w:szCs w:val="21"/>
                    </w:rPr>
                  </w:pPr>
                  <w:r>
                    <w:rPr>
                      <w:rFonts w:cs="Times New Roman"/>
                      <w:sz w:val="21"/>
                      <w:szCs w:val="21"/>
                    </w:rPr>
                    <w:t>推进塔里木河流域用水结构调整，维护塔里木河、博斯腾湖基本生态用水</w:t>
                  </w:r>
                </w:p>
              </w:tc>
              <w:tc>
                <w:tcPr>
                  <w:tcW w:w="1244" w:type="pct"/>
                  <w:vAlign w:val="center"/>
                </w:tcPr>
                <w:p w14:paraId="47FFF09C">
                  <w:pPr>
                    <w:spacing w:line="240" w:lineRule="auto"/>
                    <w:ind w:firstLine="0" w:firstLineChars="0"/>
                    <w:contextualSpacing/>
                    <w:jc w:val="center"/>
                    <w:textAlignment w:val="auto"/>
                    <w:rPr>
                      <w:rFonts w:cs="Times New Roman"/>
                      <w:sz w:val="21"/>
                      <w:szCs w:val="21"/>
                    </w:rPr>
                  </w:pPr>
                  <w:r>
                    <w:rPr>
                      <w:rFonts w:cs="Times New Roman"/>
                      <w:sz w:val="21"/>
                      <w:szCs w:val="21"/>
                    </w:rPr>
                    <w:t>本项目不涉及塔里木河、博斯腾湖生态用水</w:t>
                  </w:r>
                </w:p>
              </w:tc>
              <w:tc>
                <w:tcPr>
                  <w:tcW w:w="446" w:type="pct"/>
                  <w:vAlign w:val="center"/>
                </w:tcPr>
                <w:p w14:paraId="0B831D14">
                  <w:pPr>
                    <w:spacing w:line="240" w:lineRule="auto"/>
                    <w:ind w:firstLine="0" w:firstLineChars="0"/>
                    <w:contextualSpacing/>
                    <w:jc w:val="center"/>
                    <w:textAlignment w:val="auto"/>
                    <w:rPr>
                      <w:rFonts w:cs="Times New Roman"/>
                      <w:sz w:val="21"/>
                      <w:szCs w:val="21"/>
                    </w:rPr>
                  </w:pPr>
                  <w:r>
                    <w:rPr>
                      <w:rFonts w:cs="Times New Roman"/>
                      <w:sz w:val="21"/>
                      <w:szCs w:val="21"/>
                    </w:rPr>
                    <w:t>符合</w:t>
                  </w:r>
                </w:p>
              </w:tc>
            </w:tr>
            <w:tr w14:paraId="13AD7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3" w:type="pct"/>
                  <w:vMerge w:val="continue"/>
                  <w:vAlign w:val="center"/>
                </w:tcPr>
                <w:p w14:paraId="79747DE4">
                  <w:pPr>
                    <w:spacing w:line="240" w:lineRule="auto"/>
                    <w:ind w:firstLine="420" w:firstLineChars="0"/>
                    <w:contextualSpacing/>
                    <w:jc w:val="center"/>
                    <w:textAlignment w:val="auto"/>
                    <w:rPr>
                      <w:rFonts w:cs="Times New Roman"/>
                      <w:sz w:val="21"/>
                      <w:szCs w:val="21"/>
                    </w:rPr>
                  </w:pPr>
                </w:p>
              </w:tc>
              <w:tc>
                <w:tcPr>
                  <w:tcW w:w="2646" w:type="pct"/>
                  <w:vAlign w:val="center"/>
                </w:tcPr>
                <w:p w14:paraId="319199DF">
                  <w:pPr>
                    <w:spacing w:line="240" w:lineRule="auto"/>
                    <w:ind w:firstLine="0" w:firstLineChars="0"/>
                    <w:contextualSpacing/>
                    <w:jc w:val="center"/>
                    <w:textAlignment w:val="auto"/>
                    <w:rPr>
                      <w:rFonts w:cs="Times New Roman"/>
                      <w:sz w:val="21"/>
                      <w:szCs w:val="21"/>
                    </w:rPr>
                  </w:pPr>
                  <w:r>
                    <w:rPr>
                      <w:rFonts w:cs="Times New Roman"/>
                      <w:sz w:val="21"/>
                      <w:szCs w:val="21"/>
                    </w:rPr>
                    <w:t>加强塔里木河流域水环境风险管控。加大博斯腾湖污染源头达标排放治理和监督力度，实施博斯腾湖综合治理。</w:t>
                  </w:r>
                </w:p>
              </w:tc>
              <w:tc>
                <w:tcPr>
                  <w:tcW w:w="1244" w:type="pct"/>
                  <w:vAlign w:val="center"/>
                </w:tcPr>
                <w:p w14:paraId="51E17DC2">
                  <w:pPr>
                    <w:spacing w:line="240" w:lineRule="auto"/>
                    <w:ind w:firstLine="0" w:firstLineChars="0"/>
                    <w:contextualSpacing/>
                    <w:jc w:val="center"/>
                    <w:textAlignment w:val="auto"/>
                    <w:rPr>
                      <w:rFonts w:cs="Times New Roman"/>
                      <w:sz w:val="21"/>
                      <w:szCs w:val="21"/>
                    </w:rPr>
                  </w:pPr>
                  <w:r>
                    <w:rPr>
                      <w:rFonts w:cs="Times New Roman"/>
                      <w:sz w:val="21"/>
                      <w:szCs w:val="21"/>
                    </w:rPr>
                    <w:t>本项目不涉及</w:t>
                  </w:r>
                </w:p>
              </w:tc>
              <w:tc>
                <w:tcPr>
                  <w:tcW w:w="446" w:type="pct"/>
                  <w:vAlign w:val="center"/>
                </w:tcPr>
                <w:p w14:paraId="4CF422AD">
                  <w:pPr>
                    <w:spacing w:line="240" w:lineRule="auto"/>
                    <w:ind w:firstLine="0" w:firstLineChars="0"/>
                    <w:contextualSpacing/>
                    <w:jc w:val="center"/>
                    <w:textAlignment w:val="auto"/>
                    <w:rPr>
                      <w:rFonts w:cs="Times New Roman"/>
                      <w:sz w:val="21"/>
                      <w:szCs w:val="21"/>
                    </w:rPr>
                  </w:pPr>
                  <w:r>
                    <w:rPr>
                      <w:rFonts w:cs="Times New Roman"/>
                      <w:sz w:val="21"/>
                      <w:szCs w:val="21"/>
                    </w:rPr>
                    <w:t>符合</w:t>
                  </w:r>
                </w:p>
              </w:tc>
            </w:tr>
            <w:tr w14:paraId="4012E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3" w:type="pct"/>
                  <w:vMerge w:val="continue"/>
                  <w:vAlign w:val="center"/>
                </w:tcPr>
                <w:p w14:paraId="1DFBE989">
                  <w:pPr>
                    <w:spacing w:line="240" w:lineRule="auto"/>
                    <w:ind w:firstLine="420" w:firstLineChars="0"/>
                    <w:contextualSpacing/>
                    <w:jc w:val="center"/>
                    <w:textAlignment w:val="auto"/>
                    <w:rPr>
                      <w:rFonts w:cs="Times New Roman"/>
                      <w:sz w:val="21"/>
                      <w:szCs w:val="21"/>
                    </w:rPr>
                  </w:pPr>
                </w:p>
              </w:tc>
              <w:tc>
                <w:tcPr>
                  <w:tcW w:w="2646" w:type="pct"/>
                  <w:vAlign w:val="center"/>
                </w:tcPr>
                <w:p w14:paraId="26C14EF5">
                  <w:pPr>
                    <w:spacing w:line="240" w:lineRule="auto"/>
                    <w:ind w:firstLine="0" w:firstLineChars="0"/>
                    <w:contextualSpacing/>
                    <w:jc w:val="center"/>
                    <w:textAlignment w:val="auto"/>
                    <w:rPr>
                      <w:rFonts w:cs="Times New Roman"/>
                      <w:sz w:val="21"/>
                      <w:szCs w:val="21"/>
                    </w:rPr>
                  </w:pPr>
                  <w:r>
                    <w:rPr>
                      <w:rFonts w:cs="Times New Roman"/>
                      <w:sz w:val="21"/>
                      <w:szCs w:val="21"/>
                    </w:rPr>
                    <w:t>加强油（气）资源开发区土壤环境污染综合整治。强化涉重金属行业污染防控与工业废物处理处置。</w:t>
                  </w:r>
                </w:p>
              </w:tc>
              <w:tc>
                <w:tcPr>
                  <w:tcW w:w="1244" w:type="pct"/>
                  <w:vAlign w:val="center"/>
                </w:tcPr>
                <w:p w14:paraId="3E59F667">
                  <w:pPr>
                    <w:spacing w:line="240" w:lineRule="auto"/>
                    <w:ind w:firstLine="0" w:firstLineChars="0"/>
                    <w:contextualSpacing/>
                    <w:jc w:val="center"/>
                    <w:textAlignment w:val="auto"/>
                    <w:rPr>
                      <w:rFonts w:cs="Times New Roman"/>
                      <w:sz w:val="21"/>
                      <w:szCs w:val="21"/>
                    </w:rPr>
                  </w:pPr>
                  <w:r>
                    <w:rPr>
                      <w:rFonts w:cs="Times New Roman"/>
                      <w:sz w:val="21"/>
                      <w:szCs w:val="21"/>
                    </w:rPr>
                    <w:t>本项目不涉及油气开发，不涉及重金属排放</w:t>
                  </w:r>
                </w:p>
              </w:tc>
              <w:tc>
                <w:tcPr>
                  <w:tcW w:w="446" w:type="pct"/>
                  <w:vAlign w:val="center"/>
                </w:tcPr>
                <w:p w14:paraId="24028809">
                  <w:pPr>
                    <w:spacing w:line="240" w:lineRule="auto"/>
                    <w:ind w:firstLine="0" w:firstLineChars="0"/>
                    <w:contextualSpacing/>
                    <w:jc w:val="center"/>
                    <w:textAlignment w:val="auto"/>
                    <w:rPr>
                      <w:rFonts w:cs="Times New Roman"/>
                      <w:sz w:val="21"/>
                      <w:szCs w:val="21"/>
                    </w:rPr>
                  </w:pPr>
                  <w:r>
                    <w:rPr>
                      <w:rFonts w:cs="Times New Roman"/>
                      <w:sz w:val="21"/>
                      <w:szCs w:val="21"/>
                    </w:rPr>
                    <w:t>符合</w:t>
                  </w:r>
                </w:p>
              </w:tc>
            </w:tr>
          </w:tbl>
          <w:p w14:paraId="3562AB81">
            <w:pPr>
              <w:ind w:left="0" w:leftChars="0" w:firstLine="0" w:firstLineChars="0"/>
              <w:rPr>
                <w:rFonts w:hint="default" w:eastAsia="宋体"/>
                <w:b/>
                <w:bCs/>
                <w:lang w:val="en-US" w:eastAsia="zh-CN"/>
              </w:rPr>
            </w:pPr>
            <w:r>
              <w:rPr>
                <w:rFonts w:hint="eastAsia"/>
                <w:b/>
                <w:bCs/>
                <w:lang w:val="en-US" w:eastAsia="zh-CN"/>
              </w:rPr>
              <w:t>1.4巴州生态环境分区管控符合性分析</w:t>
            </w:r>
          </w:p>
          <w:p w14:paraId="17511182">
            <w:pPr>
              <w:ind w:firstLine="480"/>
              <w:rPr>
                <w:rFonts w:cs="Times New Roman"/>
              </w:rPr>
            </w:pPr>
            <w:r>
              <w:t>根据2024年12月9日发布的《关于印发巴音郭楞蒙古自治州</w:t>
            </w:r>
            <w:r>
              <w:rPr>
                <w:rFonts w:hint="eastAsia"/>
                <w:lang w:eastAsia="zh-CN"/>
              </w:rPr>
              <w:t>“</w:t>
            </w:r>
            <w:r>
              <w:t>三线一单</w:t>
            </w:r>
            <w:r>
              <w:rPr>
                <w:rFonts w:hint="eastAsia"/>
                <w:lang w:eastAsia="zh-CN"/>
              </w:rPr>
              <w:t>”</w:t>
            </w:r>
            <w:r>
              <w:t>生态环境分区管控动态更新成果（2023年）的通知》（巴政办发〔2024〕32号</w:t>
            </w:r>
            <w:r>
              <w:rPr>
                <w:rFonts w:hint="eastAsia"/>
              </w:rPr>
              <w:t>），分析本项目与巴州生态环境分区管控符</w:t>
            </w:r>
            <w:r>
              <w:rPr>
                <w:rFonts w:cs="Times New Roman"/>
              </w:rPr>
              <w:t>合性分析见表1-4。</w:t>
            </w:r>
          </w:p>
          <w:p w14:paraId="72233697">
            <w:pPr>
              <w:spacing w:before="163" w:beforeLines="50" w:line="240" w:lineRule="auto"/>
              <w:ind w:firstLine="0" w:firstLineChars="0"/>
              <w:jc w:val="center"/>
              <w:rPr>
                <w:rFonts w:cs="Times New Roman"/>
                <w:b/>
                <w:color w:val="000000"/>
                <w:sz w:val="21"/>
              </w:rPr>
            </w:pPr>
            <w:r>
              <w:rPr>
                <w:rFonts w:hint="eastAsia" w:cs="Times New Roman"/>
                <w:b/>
                <w:color w:val="000000"/>
                <w:sz w:val="21"/>
              </w:rPr>
              <w:t>表1</w:t>
            </w:r>
            <w:r>
              <w:rPr>
                <w:rFonts w:cs="Times New Roman"/>
                <w:b/>
                <w:color w:val="000000"/>
                <w:sz w:val="21"/>
              </w:rPr>
              <w:t>-</w:t>
            </w:r>
            <w:r>
              <w:rPr>
                <w:rFonts w:hint="eastAsia" w:cs="Times New Roman"/>
                <w:b/>
                <w:color w:val="000000"/>
                <w:sz w:val="21"/>
                <w:lang w:val="en-US" w:eastAsia="zh-CN"/>
              </w:rPr>
              <w:t>3</w:t>
            </w:r>
            <w:r>
              <w:rPr>
                <w:rFonts w:cs="Times New Roman"/>
                <w:b/>
                <w:color w:val="000000"/>
                <w:sz w:val="21"/>
              </w:rPr>
              <w:t xml:space="preserve">  </w:t>
            </w:r>
            <w:r>
              <w:rPr>
                <w:rFonts w:hint="eastAsia" w:cs="Times New Roman"/>
                <w:b/>
                <w:bCs/>
                <w:spacing w:val="-20"/>
                <w:kern w:val="21"/>
                <w:sz w:val="21"/>
                <w:szCs w:val="24"/>
              </w:rPr>
              <w:t>本项目与《巴音郭楞蒙古自治州生态环境分区管控方案》符合性一览表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4011"/>
              <w:gridCol w:w="2794"/>
              <w:gridCol w:w="673"/>
            </w:tblGrid>
            <w:tr w14:paraId="71B1F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3" w:type="pct"/>
                  <w:tcBorders>
                    <w:top w:val="single" w:color="auto" w:sz="12" w:space="0"/>
                    <w:left w:val="single" w:color="auto" w:sz="12" w:space="0"/>
                    <w:bottom w:val="single" w:color="auto" w:sz="6" w:space="0"/>
                    <w:right w:val="single" w:color="auto" w:sz="6" w:space="0"/>
                  </w:tcBorders>
                  <w:vAlign w:val="center"/>
                </w:tcPr>
                <w:p w14:paraId="1D533F04">
                  <w:pPr>
                    <w:spacing w:line="240" w:lineRule="auto"/>
                    <w:ind w:firstLine="0" w:firstLineChars="0"/>
                    <w:contextualSpacing/>
                    <w:jc w:val="center"/>
                    <w:rPr>
                      <w:rFonts w:cs="Times New Roman"/>
                      <w:sz w:val="21"/>
                    </w:rPr>
                  </w:pPr>
                  <w:r>
                    <w:rPr>
                      <w:rFonts w:hint="eastAsia" w:cs="Times New Roman"/>
                      <w:sz w:val="21"/>
                    </w:rPr>
                    <w:t>名称</w:t>
                  </w:r>
                </w:p>
              </w:tc>
              <w:tc>
                <w:tcPr>
                  <w:tcW w:w="2438" w:type="pct"/>
                  <w:tcBorders>
                    <w:top w:val="single" w:color="auto" w:sz="12" w:space="0"/>
                    <w:left w:val="single" w:color="auto" w:sz="6" w:space="0"/>
                    <w:bottom w:val="single" w:color="auto" w:sz="6" w:space="0"/>
                    <w:right w:val="single" w:color="auto" w:sz="6" w:space="0"/>
                  </w:tcBorders>
                  <w:vAlign w:val="center"/>
                </w:tcPr>
                <w:p w14:paraId="6DF72AD1">
                  <w:pPr>
                    <w:spacing w:line="240" w:lineRule="auto"/>
                    <w:ind w:firstLine="0" w:firstLineChars="0"/>
                    <w:contextualSpacing/>
                    <w:jc w:val="center"/>
                    <w:rPr>
                      <w:rFonts w:cs="Times New Roman"/>
                      <w:sz w:val="21"/>
                    </w:rPr>
                  </w:pPr>
                  <w:r>
                    <w:rPr>
                      <w:rFonts w:hint="eastAsia" w:cs="Times New Roman"/>
                      <w:sz w:val="21"/>
                    </w:rPr>
                    <w:t>符合性分析</w:t>
                  </w:r>
                </w:p>
              </w:tc>
              <w:tc>
                <w:tcPr>
                  <w:tcW w:w="1698" w:type="pct"/>
                  <w:tcBorders>
                    <w:top w:val="single" w:color="auto" w:sz="12" w:space="0"/>
                    <w:left w:val="single" w:color="auto" w:sz="6" w:space="0"/>
                    <w:bottom w:val="single" w:color="auto" w:sz="6" w:space="0"/>
                    <w:right w:val="single" w:color="auto" w:sz="6" w:space="0"/>
                  </w:tcBorders>
                  <w:vAlign w:val="center"/>
                </w:tcPr>
                <w:p w14:paraId="1B9CDF7E">
                  <w:pPr>
                    <w:spacing w:line="240" w:lineRule="auto"/>
                    <w:ind w:firstLine="0" w:firstLineChars="0"/>
                    <w:contextualSpacing/>
                    <w:jc w:val="center"/>
                    <w:rPr>
                      <w:rFonts w:cs="Times New Roman"/>
                      <w:sz w:val="21"/>
                    </w:rPr>
                  </w:pPr>
                  <w:r>
                    <w:rPr>
                      <w:rFonts w:hint="eastAsia" w:cs="Times New Roman"/>
                      <w:sz w:val="21"/>
                    </w:rPr>
                    <w:t>本项目</w:t>
                  </w:r>
                </w:p>
              </w:tc>
              <w:tc>
                <w:tcPr>
                  <w:tcW w:w="409" w:type="pct"/>
                  <w:tcBorders>
                    <w:top w:val="single" w:color="auto" w:sz="12" w:space="0"/>
                    <w:left w:val="single" w:color="auto" w:sz="6" w:space="0"/>
                    <w:bottom w:val="single" w:color="auto" w:sz="6" w:space="0"/>
                    <w:right w:val="single" w:color="auto" w:sz="12" w:space="0"/>
                  </w:tcBorders>
                  <w:vAlign w:val="center"/>
                </w:tcPr>
                <w:p w14:paraId="77AB4B51">
                  <w:pPr>
                    <w:spacing w:line="240" w:lineRule="auto"/>
                    <w:ind w:firstLine="0" w:firstLineChars="0"/>
                    <w:contextualSpacing/>
                    <w:jc w:val="center"/>
                    <w:rPr>
                      <w:rFonts w:cs="Times New Roman"/>
                      <w:sz w:val="21"/>
                    </w:rPr>
                  </w:pPr>
                  <w:r>
                    <w:rPr>
                      <w:rFonts w:hint="eastAsia" w:cs="Times New Roman"/>
                      <w:sz w:val="21"/>
                    </w:rPr>
                    <w:t>符合性</w:t>
                  </w:r>
                </w:p>
              </w:tc>
            </w:tr>
            <w:tr w14:paraId="16CF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3" w:type="pct"/>
                  <w:tcBorders>
                    <w:top w:val="single" w:color="auto" w:sz="6" w:space="0"/>
                    <w:left w:val="single" w:color="auto" w:sz="12" w:space="0"/>
                    <w:bottom w:val="single" w:color="auto" w:sz="6" w:space="0"/>
                    <w:right w:val="single" w:color="auto" w:sz="6" w:space="0"/>
                  </w:tcBorders>
                  <w:vAlign w:val="center"/>
                </w:tcPr>
                <w:p w14:paraId="0028BFB5">
                  <w:pPr>
                    <w:spacing w:line="240" w:lineRule="auto"/>
                    <w:ind w:firstLine="0" w:firstLineChars="0"/>
                    <w:contextualSpacing/>
                    <w:rPr>
                      <w:rFonts w:cs="Times New Roman"/>
                      <w:sz w:val="21"/>
                    </w:rPr>
                  </w:pPr>
                  <w:r>
                    <w:rPr>
                      <w:rFonts w:hint="eastAsia" w:cs="Times New Roman"/>
                      <w:sz w:val="21"/>
                    </w:rPr>
                    <w:t>生态保护红线</w:t>
                  </w:r>
                </w:p>
              </w:tc>
              <w:tc>
                <w:tcPr>
                  <w:tcW w:w="2438" w:type="pct"/>
                  <w:tcBorders>
                    <w:top w:val="single" w:color="auto" w:sz="6" w:space="0"/>
                    <w:left w:val="single" w:color="auto" w:sz="6" w:space="0"/>
                    <w:bottom w:val="single" w:color="auto" w:sz="6" w:space="0"/>
                    <w:right w:val="single" w:color="auto" w:sz="6" w:space="0"/>
                  </w:tcBorders>
                  <w:vAlign w:val="center"/>
                </w:tcPr>
                <w:p w14:paraId="16CA6C07">
                  <w:pPr>
                    <w:spacing w:line="240" w:lineRule="auto"/>
                    <w:ind w:firstLine="0" w:firstLineChars="0"/>
                    <w:contextualSpacing/>
                    <w:rPr>
                      <w:rFonts w:cs="Times New Roman"/>
                      <w:sz w:val="21"/>
                    </w:rPr>
                  </w:pPr>
                  <w:r>
                    <w:rPr>
                      <w:rFonts w:hint="eastAsia" w:hAnsi="宋体" w:cs="宋体"/>
                      <w:sz w:val="21"/>
                    </w:rPr>
                    <w:t>按照</w:t>
                  </w:r>
                  <w:r>
                    <w:rPr>
                      <w:rFonts w:hint="eastAsia" w:hAnsi="宋体" w:cs="宋体"/>
                      <w:sz w:val="21"/>
                      <w:lang w:eastAsia="zh-CN"/>
                    </w:rPr>
                    <w:t>“</w:t>
                  </w:r>
                  <w:r>
                    <w:rPr>
                      <w:rFonts w:hint="eastAsia" w:hAnsi="宋体" w:cs="宋体"/>
                      <w:sz w:val="21"/>
                    </w:rPr>
                    <w:t>生态功能不降低、面积不减少、性质不改变</w:t>
                  </w:r>
                  <w:r>
                    <w:rPr>
                      <w:rFonts w:hint="eastAsia" w:hAnsi="宋体" w:cs="宋体"/>
                      <w:sz w:val="21"/>
                      <w:lang w:eastAsia="zh-CN"/>
                    </w:rPr>
                    <w:t>”</w:t>
                  </w:r>
                  <w:r>
                    <w:rPr>
                      <w:rFonts w:hint="eastAsia" w:hAnsi="宋体" w:cs="宋体"/>
                      <w:sz w:val="21"/>
                    </w:rPr>
                    <w:t>的基本要求，对划定的生态保护红线实施严格管控，保障和维护国家生态安全的底线和生命线</w:t>
                  </w:r>
                </w:p>
              </w:tc>
              <w:tc>
                <w:tcPr>
                  <w:tcW w:w="1698" w:type="pct"/>
                  <w:tcBorders>
                    <w:top w:val="single" w:color="auto" w:sz="6" w:space="0"/>
                    <w:left w:val="single" w:color="auto" w:sz="6" w:space="0"/>
                    <w:bottom w:val="single" w:color="auto" w:sz="6" w:space="0"/>
                    <w:right w:val="single" w:color="auto" w:sz="6" w:space="0"/>
                  </w:tcBorders>
                  <w:vAlign w:val="center"/>
                </w:tcPr>
                <w:p w14:paraId="070A612C">
                  <w:pPr>
                    <w:spacing w:line="240" w:lineRule="auto"/>
                    <w:ind w:firstLine="0" w:firstLineChars="0"/>
                    <w:contextualSpacing/>
                    <w:rPr>
                      <w:rFonts w:hint="eastAsia" w:eastAsia="宋体" w:cs="Times New Roman"/>
                      <w:sz w:val="21"/>
                      <w:lang w:eastAsia="zh-CN"/>
                    </w:rPr>
                  </w:pPr>
                  <w:r>
                    <w:rPr>
                      <w:rFonts w:hint="eastAsia" w:hAnsi="宋体" w:cs="宋体"/>
                      <w:sz w:val="21"/>
                    </w:rPr>
                    <w:t>本项目不在生态保护红线范围内</w:t>
                  </w:r>
                </w:p>
              </w:tc>
              <w:tc>
                <w:tcPr>
                  <w:tcW w:w="409" w:type="pct"/>
                  <w:tcBorders>
                    <w:top w:val="single" w:color="auto" w:sz="6" w:space="0"/>
                    <w:left w:val="single" w:color="auto" w:sz="6" w:space="0"/>
                    <w:bottom w:val="single" w:color="auto" w:sz="6" w:space="0"/>
                    <w:right w:val="single" w:color="auto" w:sz="12" w:space="0"/>
                  </w:tcBorders>
                  <w:vAlign w:val="center"/>
                </w:tcPr>
                <w:p w14:paraId="1D534EF8">
                  <w:pPr>
                    <w:spacing w:line="240" w:lineRule="auto"/>
                    <w:ind w:firstLine="0" w:firstLineChars="0"/>
                    <w:contextualSpacing/>
                    <w:rPr>
                      <w:rFonts w:cs="Times New Roman"/>
                      <w:sz w:val="21"/>
                    </w:rPr>
                  </w:pPr>
                  <w:r>
                    <w:rPr>
                      <w:rFonts w:hint="eastAsia" w:cs="Times New Roman"/>
                      <w:sz w:val="21"/>
                    </w:rPr>
                    <w:t>符合</w:t>
                  </w:r>
                </w:p>
              </w:tc>
            </w:tr>
            <w:tr w14:paraId="4BDB8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3" w:type="pct"/>
                  <w:tcBorders>
                    <w:top w:val="single" w:color="auto" w:sz="6" w:space="0"/>
                    <w:left w:val="single" w:color="auto" w:sz="12" w:space="0"/>
                    <w:bottom w:val="single" w:color="auto" w:sz="6" w:space="0"/>
                    <w:right w:val="single" w:color="auto" w:sz="6" w:space="0"/>
                  </w:tcBorders>
                  <w:vAlign w:val="center"/>
                </w:tcPr>
                <w:p w14:paraId="4A8B9EA3">
                  <w:pPr>
                    <w:spacing w:line="240" w:lineRule="auto"/>
                    <w:ind w:firstLine="0" w:firstLineChars="0"/>
                    <w:contextualSpacing/>
                    <w:rPr>
                      <w:rFonts w:cs="Times New Roman"/>
                      <w:sz w:val="21"/>
                    </w:rPr>
                  </w:pPr>
                  <w:r>
                    <w:rPr>
                      <w:rFonts w:cs="Times New Roman"/>
                      <w:sz w:val="21"/>
                    </w:rPr>
                    <w:t>环境质量底线</w:t>
                  </w:r>
                </w:p>
              </w:tc>
              <w:tc>
                <w:tcPr>
                  <w:tcW w:w="2438" w:type="pct"/>
                  <w:tcBorders>
                    <w:top w:val="single" w:color="auto" w:sz="6" w:space="0"/>
                    <w:left w:val="single" w:color="auto" w:sz="6" w:space="0"/>
                    <w:bottom w:val="single" w:color="auto" w:sz="6" w:space="0"/>
                    <w:right w:val="single" w:color="auto" w:sz="6" w:space="0"/>
                  </w:tcBorders>
                  <w:vAlign w:val="center"/>
                </w:tcPr>
                <w:p w14:paraId="056B28DA">
                  <w:pPr>
                    <w:spacing w:line="240" w:lineRule="auto"/>
                    <w:ind w:firstLine="0" w:firstLineChars="0"/>
                    <w:contextualSpacing/>
                    <w:rPr>
                      <w:rFonts w:cs="Times New Roman"/>
                      <w:color w:val="000000"/>
                      <w:sz w:val="21"/>
                    </w:rPr>
                  </w:pPr>
                  <w:r>
                    <w:rPr>
                      <w:rFonts w:cs="Times New Roman"/>
                      <w:color w:val="000000"/>
                      <w:sz w:val="21"/>
                    </w:rPr>
                    <w:t>全州水环境质量持续改善，</w:t>
                  </w:r>
                  <w:r>
                    <w:rPr>
                      <w:rFonts w:hint="eastAsia" w:cs="Times New Roman"/>
                      <w:color w:val="000000"/>
                      <w:sz w:val="21"/>
                      <w:lang w:val="en-US" w:eastAsia="zh-CN"/>
                    </w:rPr>
                    <w:t>开都河</w:t>
                  </w:r>
                  <w:r>
                    <w:rPr>
                      <w:rFonts w:cs="Times New Roman"/>
                      <w:color w:val="000000"/>
                      <w:sz w:val="21"/>
                    </w:rPr>
                    <w:t>、塔里木河、迪那河、车尔臣河、黄水沟5条河流13个监测断面稳定达到Ⅱ类水（塔里木河氟化物不参与考核，其他指标均为Ⅱ类），孔雀河4个监测断面达到II类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cs="Times New Roman"/>
                      <w:color w:val="000000"/>
                      <w:sz w:val="21"/>
                      <w:vertAlign w:val="subscript"/>
                    </w:rPr>
                    <w:t>2</w:t>
                  </w:r>
                  <w:r>
                    <w:rPr>
                      <w:rFonts w:cs="Times New Roman"/>
                      <w:color w:val="000000"/>
                      <w:sz w:val="21"/>
                    </w:rPr>
                    <w:t>、NO</w:t>
                  </w:r>
                  <w:r>
                    <w:rPr>
                      <w:rFonts w:cs="Times New Roman"/>
                      <w:color w:val="000000"/>
                      <w:sz w:val="21"/>
                      <w:vertAlign w:val="subscript"/>
                    </w:rPr>
                    <w:t>2</w:t>
                  </w:r>
                  <w:r>
                    <w:rPr>
                      <w:rFonts w:cs="Times New Roman"/>
                      <w:color w:val="000000"/>
                      <w:sz w:val="21"/>
                    </w:rPr>
                    <w:t>浓度长期维持在较低水平，达到环境空气质量一级标准；逐步减少颗粒物排放，PM</w:t>
                  </w:r>
                  <w:r>
                    <w:rPr>
                      <w:rFonts w:cs="Times New Roman"/>
                      <w:color w:val="000000"/>
                      <w:sz w:val="21"/>
                      <w:vertAlign w:val="subscript"/>
                    </w:rPr>
                    <w:t>10</w:t>
                  </w:r>
                  <w:r>
                    <w:rPr>
                      <w:rFonts w:cs="Times New Roman"/>
                      <w:color w:val="000000"/>
                      <w:sz w:val="21"/>
                    </w:rPr>
                    <w:t>、PM</w:t>
                  </w:r>
                  <w:r>
                    <w:rPr>
                      <w:rFonts w:cs="Times New Roman"/>
                      <w:color w:val="000000"/>
                      <w:sz w:val="21"/>
                      <w:vertAlign w:val="subscript"/>
                    </w:rPr>
                    <w:t>2.5</w:t>
                  </w:r>
                  <w:r>
                    <w:rPr>
                      <w:rFonts w:cs="Times New Roman"/>
                      <w:color w:val="000000"/>
                      <w:sz w:val="21"/>
                    </w:rPr>
                    <w:t>平均浓度分别低于81μg/m</w:t>
                  </w:r>
                  <w:r>
                    <w:rPr>
                      <w:rFonts w:cs="Times New Roman"/>
                      <w:color w:val="000000"/>
                      <w:sz w:val="21"/>
                      <w:vertAlign w:val="superscript"/>
                    </w:rPr>
                    <w:t>3</w:t>
                  </w:r>
                  <w:r>
                    <w:rPr>
                      <w:rFonts w:cs="Times New Roman"/>
                      <w:color w:val="000000"/>
                      <w:sz w:val="21"/>
                    </w:rPr>
                    <w:t>、31.5μg/m</w:t>
                  </w:r>
                  <w:r>
                    <w:rPr>
                      <w:rFonts w:cs="Times New Roman"/>
                      <w:color w:val="000000"/>
                      <w:sz w:val="21"/>
                      <w:vertAlign w:val="superscript"/>
                    </w:rPr>
                    <w:t>3</w:t>
                  </w:r>
                  <w:r>
                    <w:rPr>
                      <w:rFonts w:hint="eastAsia" w:cs="Times New Roman"/>
                      <w:color w:val="000000"/>
                      <w:sz w:val="21"/>
                      <w:lang w:eastAsia="zh-CN"/>
                    </w:rPr>
                    <w:t>（</w:t>
                  </w:r>
                  <w:r>
                    <w:rPr>
                      <w:rFonts w:cs="Times New Roman"/>
                      <w:color w:val="000000"/>
                      <w:sz w:val="21"/>
                    </w:rPr>
                    <w:t>库尔勒市，扣除沙尘天气影响</w:t>
                  </w:r>
                  <w:r>
                    <w:rPr>
                      <w:rFonts w:hint="eastAsia" w:cs="Times New Roman"/>
                      <w:color w:val="000000"/>
                      <w:sz w:val="21"/>
                      <w:lang w:eastAsia="zh-CN"/>
                    </w:rPr>
                    <w:t>）</w:t>
                  </w:r>
                  <w:r>
                    <w:rPr>
                      <w:rFonts w:cs="Times New Roman"/>
                      <w:color w:val="000000"/>
                      <w:sz w:val="21"/>
                    </w:rPr>
                    <w:t>，空气优良天数比例大于75.2%</w:t>
                  </w:r>
                  <w:r>
                    <w:rPr>
                      <w:rFonts w:hint="eastAsia" w:cs="Times New Roman"/>
                      <w:color w:val="000000"/>
                      <w:sz w:val="21"/>
                      <w:lang w:eastAsia="zh-CN"/>
                    </w:rPr>
                    <w:t>（</w:t>
                  </w:r>
                  <w:r>
                    <w:rPr>
                      <w:rFonts w:cs="Times New Roman"/>
                      <w:color w:val="000000"/>
                      <w:sz w:val="21"/>
                    </w:rPr>
                    <w:t>库尔勒市</w:t>
                  </w:r>
                  <w:r>
                    <w:rPr>
                      <w:rFonts w:hint="eastAsia" w:cs="Times New Roman"/>
                      <w:color w:val="000000"/>
                      <w:sz w:val="21"/>
                      <w:lang w:eastAsia="zh-CN"/>
                    </w:rPr>
                    <w:t>）</w:t>
                  </w:r>
                  <w:r>
                    <w:rPr>
                      <w:rFonts w:cs="Times New Roman"/>
                      <w:color w:val="000000"/>
                      <w:sz w:val="21"/>
                    </w:rPr>
                    <w:t>，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1698" w:type="pct"/>
                  <w:tcBorders>
                    <w:top w:val="single" w:color="auto" w:sz="6" w:space="0"/>
                    <w:left w:val="single" w:color="auto" w:sz="6" w:space="0"/>
                    <w:bottom w:val="single" w:color="auto" w:sz="6" w:space="0"/>
                    <w:right w:val="single" w:color="auto" w:sz="6" w:space="0"/>
                  </w:tcBorders>
                  <w:vAlign w:val="center"/>
                </w:tcPr>
                <w:p w14:paraId="3BCF61CB">
                  <w:pPr>
                    <w:spacing w:line="240" w:lineRule="auto"/>
                    <w:ind w:firstLine="0" w:firstLineChars="0"/>
                    <w:contextualSpacing/>
                    <w:rPr>
                      <w:rFonts w:hint="eastAsia" w:eastAsia="宋体" w:cs="Times New Roman"/>
                      <w:color w:val="000000"/>
                      <w:sz w:val="21"/>
                      <w:lang w:eastAsia="zh-CN"/>
                    </w:rPr>
                  </w:pPr>
                  <w:r>
                    <w:rPr>
                      <w:rFonts w:hint="eastAsia"/>
                      <w:sz w:val="21"/>
                      <w:szCs w:val="21"/>
                    </w:rPr>
                    <w:t>根据库尔勒经济技术开发区国控空气自动监测站2024年</w:t>
                  </w:r>
                  <w:r>
                    <w:rPr>
                      <w:kern w:val="0"/>
                      <w:sz w:val="21"/>
                      <w:szCs w:val="21"/>
                    </w:rPr>
                    <w:t>各项污染物除PM</w:t>
                  </w:r>
                  <w:r>
                    <w:rPr>
                      <w:kern w:val="0"/>
                      <w:sz w:val="21"/>
                      <w:szCs w:val="21"/>
                      <w:vertAlign w:val="subscript"/>
                    </w:rPr>
                    <w:t>10</w:t>
                  </w:r>
                  <w:r>
                    <w:rPr>
                      <w:kern w:val="0"/>
                      <w:sz w:val="21"/>
                      <w:szCs w:val="21"/>
                    </w:rPr>
                    <w:t>、PM</w:t>
                  </w:r>
                  <w:r>
                    <w:rPr>
                      <w:kern w:val="0"/>
                      <w:sz w:val="21"/>
                      <w:szCs w:val="21"/>
                      <w:vertAlign w:val="subscript"/>
                    </w:rPr>
                    <w:t>2.5</w:t>
                  </w:r>
                  <w:r>
                    <w:rPr>
                      <w:kern w:val="0"/>
                      <w:sz w:val="21"/>
                      <w:szCs w:val="21"/>
                    </w:rPr>
                    <w:t>外，SO</w:t>
                  </w:r>
                  <w:r>
                    <w:rPr>
                      <w:kern w:val="0"/>
                      <w:sz w:val="21"/>
                      <w:szCs w:val="21"/>
                      <w:vertAlign w:val="subscript"/>
                    </w:rPr>
                    <w:t>2</w:t>
                  </w:r>
                  <w:r>
                    <w:rPr>
                      <w:kern w:val="0"/>
                      <w:sz w:val="21"/>
                      <w:szCs w:val="21"/>
                    </w:rPr>
                    <w:t>日均浓度、NO</w:t>
                  </w:r>
                  <w:r>
                    <w:rPr>
                      <w:kern w:val="0"/>
                      <w:sz w:val="21"/>
                      <w:szCs w:val="21"/>
                      <w:vertAlign w:val="subscript"/>
                    </w:rPr>
                    <w:t>2</w:t>
                  </w:r>
                  <w:r>
                    <w:rPr>
                      <w:kern w:val="0"/>
                      <w:sz w:val="21"/>
                      <w:szCs w:val="21"/>
                    </w:rPr>
                    <w:t>日均浓度及CO日平均第95百分位数浓度、O</w:t>
                  </w:r>
                  <w:r>
                    <w:rPr>
                      <w:kern w:val="0"/>
                      <w:sz w:val="21"/>
                      <w:szCs w:val="21"/>
                      <w:vertAlign w:val="subscript"/>
                    </w:rPr>
                    <w:t>3</w:t>
                  </w:r>
                  <w:r>
                    <w:rPr>
                      <w:rFonts w:hint="eastAsia"/>
                      <w:kern w:val="0"/>
                      <w:sz w:val="21"/>
                      <w:szCs w:val="21"/>
                    </w:rPr>
                    <w:t>-</w:t>
                  </w:r>
                  <w:r>
                    <w:rPr>
                      <w:kern w:val="0"/>
                      <w:sz w:val="21"/>
                      <w:szCs w:val="21"/>
                    </w:rPr>
                    <w:t>8小时第90百分位数浓度满足《环境空气质量标准》（GB3095-20</w:t>
                  </w:r>
                  <w:r>
                    <w:rPr>
                      <w:rFonts w:hint="eastAsia"/>
                      <w:kern w:val="0"/>
                      <w:sz w:val="21"/>
                      <w:szCs w:val="21"/>
                      <w:lang w:val="en-US" w:eastAsia="zh-CN"/>
                    </w:rPr>
                    <w:t>26</w:t>
                  </w:r>
                  <w:r>
                    <w:rPr>
                      <w:kern w:val="0"/>
                      <w:sz w:val="21"/>
                      <w:szCs w:val="21"/>
                    </w:rPr>
                    <w:t>）中二级标准限值要求，除PM</w:t>
                  </w:r>
                  <w:r>
                    <w:rPr>
                      <w:kern w:val="0"/>
                      <w:sz w:val="21"/>
                      <w:szCs w:val="21"/>
                      <w:vertAlign w:val="subscript"/>
                    </w:rPr>
                    <w:t>10</w:t>
                  </w:r>
                  <w:r>
                    <w:rPr>
                      <w:kern w:val="0"/>
                      <w:sz w:val="21"/>
                      <w:szCs w:val="21"/>
                    </w:rPr>
                    <w:t>、PM</w:t>
                  </w:r>
                  <w:r>
                    <w:rPr>
                      <w:kern w:val="0"/>
                      <w:sz w:val="21"/>
                      <w:szCs w:val="21"/>
                      <w:vertAlign w:val="subscript"/>
                    </w:rPr>
                    <w:t>2.5</w:t>
                  </w:r>
                  <w:r>
                    <w:rPr>
                      <w:kern w:val="0"/>
                      <w:sz w:val="21"/>
                      <w:szCs w:val="21"/>
                    </w:rPr>
                    <w:t>外，</w:t>
                  </w:r>
                  <w:r>
                    <w:rPr>
                      <w:rFonts w:hint="eastAsia"/>
                      <w:kern w:val="0"/>
                      <w:sz w:val="21"/>
                      <w:szCs w:val="21"/>
                    </w:rPr>
                    <w:t>SO</w:t>
                  </w:r>
                  <w:r>
                    <w:rPr>
                      <w:rFonts w:hint="eastAsia"/>
                      <w:kern w:val="0"/>
                      <w:sz w:val="21"/>
                      <w:szCs w:val="21"/>
                      <w:vertAlign w:val="subscript"/>
                    </w:rPr>
                    <w:t>2</w:t>
                  </w:r>
                  <w:r>
                    <w:rPr>
                      <w:rFonts w:hint="eastAsia"/>
                      <w:kern w:val="0"/>
                      <w:sz w:val="21"/>
                      <w:szCs w:val="21"/>
                    </w:rPr>
                    <w:t>、NO</w:t>
                  </w:r>
                  <w:r>
                    <w:rPr>
                      <w:rFonts w:hint="eastAsia"/>
                      <w:kern w:val="0"/>
                      <w:sz w:val="21"/>
                      <w:szCs w:val="21"/>
                      <w:vertAlign w:val="subscript"/>
                    </w:rPr>
                    <w:t>2</w:t>
                  </w:r>
                  <w:r>
                    <w:rPr>
                      <w:kern w:val="0"/>
                      <w:sz w:val="21"/>
                      <w:szCs w:val="21"/>
                    </w:rPr>
                    <w:t>年平均值浓度满足《环境空气质量标准》（GB3095-20</w:t>
                  </w:r>
                  <w:r>
                    <w:rPr>
                      <w:rFonts w:hint="eastAsia"/>
                      <w:kern w:val="0"/>
                      <w:sz w:val="21"/>
                      <w:szCs w:val="21"/>
                      <w:lang w:val="en-US" w:eastAsia="zh-CN"/>
                    </w:rPr>
                    <w:t>26</w:t>
                  </w:r>
                  <w:r>
                    <w:rPr>
                      <w:kern w:val="0"/>
                      <w:sz w:val="21"/>
                      <w:szCs w:val="21"/>
                    </w:rPr>
                    <w:t>）</w:t>
                  </w:r>
                  <w:r>
                    <w:rPr>
                      <w:sz w:val="21"/>
                      <w:szCs w:val="21"/>
                    </w:rPr>
                    <w:t>中</w:t>
                  </w:r>
                  <w:r>
                    <w:rPr>
                      <w:rFonts w:hint="eastAsia"/>
                      <w:sz w:val="21"/>
                      <w:szCs w:val="21"/>
                      <w:lang w:val="en-US" w:eastAsia="zh-CN"/>
                    </w:rPr>
                    <w:t>过渡阶段</w:t>
                  </w:r>
                  <w:r>
                    <w:rPr>
                      <w:sz w:val="21"/>
                      <w:szCs w:val="21"/>
                    </w:rPr>
                    <w:t>二级标准</w:t>
                  </w:r>
                  <w:r>
                    <w:rPr>
                      <w:rFonts w:hint="eastAsia"/>
                      <w:sz w:val="21"/>
                      <w:szCs w:val="21"/>
                      <w:lang w:val="en-US" w:eastAsia="zh-CN"/>
                    </w:rPr>
                    <w:t>浓度限制</w:t>
                  </w:r>
                  <w:r>
                    <w:rPr>
                      <w:kern w:val="0"/>
                      <w:sz w:val="21"/>
                      <w:szCs w:val="21"/>
                    </w:rPr>
                    <w:t>，超标原因主要为当地干旱、大风、扬尘等气候原因。</w:t>
                  </w:r>
                  <w:r>
                    <w:rPr>
                      <w:rFonts w:cs="Times New Roman"/>
                      <w:sz w:val="21"/>
                      <w:szCs w:val="21"/>
                    </w:rPr>
                    <w:t>项目运营期废气</w:t>
                  </w:r>
                  <w:r>
                    <w:rPr>
                      <w:rFonts w:hint="eastAsia" w:ascii="宋体" w:hAnsi="宋体" w:eastAsia="宋体" w:cs="宋体"/>
                      <w:color w:val="000000"/>
                      <w:sz w:val="21"/>
                      <w:szCs w:val="21"/>
                    </w:rPr>
                    <w:t>配</w:t>
                  </w:r>
                  <w:r>
                    <w:rPr>
                      <w:rFonts w:hint="eastAsia" w:cs="Times New Roman"/>
                      <w:sz w:val="21"/>
                      <w:szCs w:val="21"/>
                    </w:rPr>
                    <w:t>套</w:t>
                  </w:r>
                  <w:r>
                    <w:rPr>
                      <w:rFonts w:hint="eastAsia" w:cs="Times New Roman"/>
                      <w:sz w:val="21"/>
                      <w:szCs w:val="21"/>
                      <w:lang w:val="en-US" w:eastAsia="zh-CN"/>
                    </w:rPr>
                    <w:t>二次</w:t>
                  </w:r>
                  <w:r>
                    <w:rPr>
                      <w:rFonts w:hint="eastAsia" w:cs="Times New Roman"/>
                      <w:sz w:val="21"/>
                      <w:szCs w:val="21"/>
                    </w:rPr>
                    <w:t>油气回收装置，用于控制挥发的油气无组织排放</w:t>
                  </w:r>
                  <w:r>
                    <w:rPr>
                      <w:rFonts w:cs="Times New Roman"/>
                      <w:sz w:val="21"/>
                      <w:szCs w:val="21"/>
                    </w:rPr>
                    <w:t>，可满足相应污染物排放限值；</w:t>
                  </w:r>
                  <w:r>
                    <w:rPr>
                      <w:rFonts w:hint="eastAsia" w:cs="Times New Roman"/>
                      <w:sz w:val="21"/>
                    </w:rPr>
                    <w:t>项目所在区域地表水满足《地表水</w:t>
                  </w:r>
                  <w:r>
                    <w:rPr>
                      <w:rFonts w:hint="eastAsia" w:cs="Times New Roman"/>
                      <w:sz w:val="21"/>
                      <w:lang w:val="en-US" w:eastAsia="zh-CN"/>
                    </w:rPr>
                    <w:t>环境</w:t>
                  </w:r>
                  <w:r>
                    <w:rPr>
                      <w:rFonts w:hint="eastAsia" w:cs="Times New Roman"/>
                      <w:sz w:val="21"/>
                    </w:rPr>
                    <w:t>质量标准》（GB3838-2002）Ⅱ类标准要求；项目所在区域声环境质量满足《声环境质量标准》（GB3096-2008）</w:t>
                  </w:r>
                  <w:r>
                    <w:rPr>
                      <w:rFonts w:hint="eastAsia" w:cs="Times New Roman"/>
                      <w:sz w:val="21"/>
                      <w:lang w:val="en-US" w:eastAsia="zh-CN"/>
                    </w:rPr>
                    <w:t>2</w:t>
                  </w:r>
                  <w:r>
                    <w:rPr>
                      <w:rFonts w:hint="eastAsia" w:cs="Times New Roman"/>
                      <w:sz w:val="21"/>
                    </w:rPr>
                    <w:t>类标准</w:t>
                  </w:r>
                </w:p>
              </w:tc>
              <w:tc>
                <w:tcPr>
                  <w:tcW w:w="409" w:type="pct"/>
                  <w:tcBorders>
                    <w:top w:val="single" w:color="auto" w:sz="6" w:space="0"/>
                    <w:left w:val="single" w:color="auto" w:sz="6" w:space="0"/>
                    <w:bottom w:val="single" w:color="auto" w:sz="6" w:space="0"/>
                    <w:right w:val="single" w:color="auto" w:sz="12" w:space="0"/>
                  </w:tcBorders>
                  <w:vAlign w:val="center"/>
                </w:tcPr>
                <w:p w14:paraId="34C776A6">
                  <w:pPr>
                    <w:spacing w:line="240" w:lineRule="auto"/>
                    <w:ind w:firstLine="0" w:firstLineChars="0"/>
                    <w:contextualSpacing/>
                    <w:rPr>
                      <w:rFonts w:cs="Times New Roman"/>
                      <w:sz w:val="21"/>
                    </w:rPr>
                  </w:pPr>
                  <w:r>
                    <w:rPr>
                      <w:rFonts w:hint="eastAsia" w:cs="Times New Roman"/>
                      <w:sz w:val="21"/>
                    </w:rPr>
                    <w:t>符合</w:t>
                  </w:r>
                </w:p>
              </w:tc>
            </w:tr>
            <w:tr w14:paraId="101F2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3" w:type="pct"/>
                  <w:tcBorders>
                    <w:top w:val="single" w:color="auto" w:sz="6" w:space="0"/>
                    <w:left w:val="single" w:color="auto" w:sz="12" w:space="0"/>
                    <w:bottom w:val="single" w:color="auto" w:sz="6" w:space="0"/>
                    <w:right w:val="single" w:color="auto" w:sz="6" w:space="0"/>
                  </w:tcBorders>
                  <w:vAlign w:val="center"/>
                </w:tcPr>
                <w:p w14:paraId="17F8A4DE">
                  <w:pPr>
                    <w:spacing w:line="240" w:lineRule="auto"/>
                    <w:ind w:firstLine="0" w:firstLineChars="0"/>
                    <w:contextualSpacing/>
                    <w:rPr>
                      <w:rFonts w:cs="Times New Roman"/>
                      <w:sz w:val="21"/>
                    </w:rPr>
                  </w:pPr>
                  <w:r>
                    <w:rPr>
                      <w:rFonts w:hint="eastAsia" w:cs="Times New Roman"/>
                      <w:sz w:val="21"/>
                    </w:rPr>
                    <w:t>资源利用上线</w:t>
                  </w:r>
                </w:p>
              </w:tc>
              <w:tc>
                <w:tcPr>
                  <w:tcW w:w="2438" w:type="pct"/>
                  <w:tcBorders>
                    <w:top w:val="single" w:color="auto" w:sz="6" w:space="0"/>
                    <w:left w:val="single" w:color="auto" w:sz="6" w:space="0"/>
                    <w:bottom w:val="single" w:color="auto" w:sz="6" w:space="0"/>
                    <w:right w:val="single" w:color="auto" w:sz="6" w:space="0"/>
                  </w:tcBorders>
                  <w:vAlign w:val="center"/>
                </w:tcPr>
                <w:p w14:paraId="5B0ED630">
                  <w:pPr>
                    <w:spacing w:line="240" w:lineRule="auto"/>
                    <w:ind w:firstLine="0" w:firstLineChars="0"/>
                    <w:contextualSpacing/>
                    <w:rPr>
                      <w:rFonts w:cs="Times New Roman"/>
                      <w:sz w:val="21"/>
                    </w:rPr>
                  </w:pPr>
                  <w:r>
                    <w:rPr>
                      <w:rFonts w:hint="eastAsia" w:hAnsi="宋体" w:cs="宋体"/>
                      <w:sz w:val="21"/>
                    </w:rPr>
                    <w:t>强化节约集约利用，持续提升资源能源利用效率，水资源、土地资源、能源消耗等达到国家、自治区下达的总量和强度控制目标，</w:t>
                  </w:r>
                  <w:r>
                    <w:rPr>
                      <w:rFonts w:hint="eastAsia" w:cs="Times New Roman"/>
                      <w:sz w:val="21"/>
                    </w:rPr>
                    <w:t>加快低碳发展，提升碳汇能力，做好碳达峰和碳中和工作</w:t>
                  </w:r>
                </w:p>
              </w:tc>
              <w:tc>
                <w:tcPr>
                  <w:tcW w:w="1698" w:type="pct"/>
                  <w:tcBorders>
                    <w:top w:val="single" w:color="auto" w:sz="6" w:space="0"/>
                    <w:left w:val="single" w:color="auto" w:sz="6" w:space="0"/>
                    <w:bottom w:val="single" w:color="auto" w:sz="6" w:space="0"/>
                    <w:right w:val="single" w:color="auto" w:sz="6" w:space="0"/>
                  </w:tcBorders>
                  <w:vAlign w:val="center"/>
                </w:tcPr>
                <w:p w14:paraId="5FB1093C">
                  <w:pPr>
                    <w:spacing w:line="240" w:lineRule="auto"/>
                    <w:ind w:firstLine="0" w:firstLineChars="0"/>
                    <w:contextualSpacing/>
                    <w:rPr>
                      <w:rFonts w:cs="Times New Roman"/>
                      <w:sz w:val="21"/>
                    </w:rPr>
                  </w:pPr>
                  <w:r>
                    <w:rPr>
                      <w:rFonts w:hint="eastAsia" w:cs="Times New Roman"/>
                      <w:color w:val="000000"/>
                      <w:sz w:val="21"/>
                      <w:szCs w:val="21"/>
                    </w:rPr>
                    <w:t>本项目</w:t>
                  </w:r>
                  <w:r>
                    <w:rPr>
                      <w:rFonts w:hint="eastAsia" w:cs="Times New Roman"/>
                      <w:color w:val="000000"/>
                      <w:sz w:val="21"/>
                      <w:szCs w:val="21"/>
                      <w:lang w:val="en-US" w:eastAsia="zh-CN"/>
                    </w:rPr>
                    <w:t>建设规模小，</w:t>
                  </w:r>
                  <w:r>
                    <w:rPr>
                      <w:rFonts w:hint="eastAsia" w:hAnsi="宋体" w:cs="宋体"/>
                      <w:sz w:val="21"/>
                    </w:rPr>
                    <w:t>水资源、土地资源</w:t>
                  </w:r>
                  <w:r>
                    <w:rPr>
                      <w:rFonts w:hint="eastAsia" w:hAnsi="宋体" w:cs="宋体"/>
                      <w:sz w:val="21"/>
                      <w:lang w:eastAsia="zh-CN"/>
                    </w:rPr>
                    <w:t>、</w:t>
                  </w:r>
                  <w:r>
                    <w:rPr>
                      <w:rFonts w:hint="eastAsia" w:hAnsi="宋体" w:cs="宋体"/>
                      <w:sz w:val="21"/>
                      <w:lang w:val="en-US" w:eastAsia="zh-CN"/>
                    </w:rPr>
                    <w:t>电能消耗量较小</w:t>
                  </w:r>
                </w:p>
              </w:tc>
              <w:tc>
                <w:tcPr>
                  <w:tcW w:w="409" w:type="pct"/>
                  <w:tcBorders>
                    <w:top w:val="single" w:color="auto" w:sz="6" w:space="0"/>
                    <w:left w:val="single" w:color="auto" w:sz="6" w:space="0"/>
                    <w:bottom w:val="single" w:color="auto" w:sz="6" w:space="0"/>
                    <w:right w:val="single" w:color="auto" w:sz="12" w:space="0"/>
                  </w:tcBorders>
                  <w:vAlign w:val="center"/>
                </w:tcPr>
                <w:p w14:paraId="06FED978">
                  <w:pPr>
                    <w:spacing w:line="240" w:lineRule="auto"/>
                    <w:ind w:firstLine="0" w:firstLineChars="0"/>
                    <w:contextualSpacing/>
                    <w:rPr>
                      <w:rFonts w:cs="Times New Roman"/>
                      <w:sz w:val="21"/>
                    </w:rPr>
                  </w:pPr>
                  <w:r>
                    <w:rPr>
                      <w:rFonts w:hint="eastAsia" w:cs="Times New Roman"/>
                      <w:sz w:val="21"/>
                    </w:rPr>
                    <w:t>符合</w:t>
                  </w:r>
                </w:p>
              </w:tc>
            </w:tr>
          </w:tbl>
          <w:p w14:paraId="0F5BCFAC">
            <w:pPr>
              <w:adjustRightInd w:val="0"/>
              <w:spacing w:before="163" w:beforeLines="50" w:line="240" w:lineRule="auto"/>
              <w:ind w:firstLine="0" w:firstLineChars="0"/>
              <w:jc w:val="center"/>
              <w:textAlignment w:val="baseline"/>
              <w:rPr>
                <w:rFonts w:cs="Times New Roman"/>
                <w:b/>
                <w:kern w:val="0"/>
                <w:sz w:val="21"/>
                <w:szCs w:val="20"/>
                <w:highlight w:val="none"/>
              </w:rPr>
            </w:pPr>
            <w:r>
              <w:rPr>
                <w:rFonts w:hint="eastAsia" w:cs="Times New Roman"/>
                <w:b/>
                <w:kern w:val="0"/>
                <w:sz w:val="21"/>
                <w:szCs w:val="20"/>
                <w:highlight w:val="none"/>
              </w:rPr>
              <w:t>表</w:t>
            </w:r>
            <w:r>
              <w:rPr>
                <w:rFonts w:cs="Times New Roman"/>
                <w:b/>
                <w:kern w:val="0"/>
                <w:sz w:val="21"/>
                <w:szCs w:val="20"/>
                <w:highlight w:val="none"/>
              </w:rPr>
              <w:t>1-</w:t>
            </w:r>
            <w:r>
              <w:rPr>
                <w:rFonts w:hint="eastAsia" w:cs="Times New Roman"/>
                <w:b/>
                <w:kern w:val="0"/>
                <w:sz w:val="21"/>
                <w:szCs w:val="20"/>
                <w:highlight w:val="none"/>
                <w:lang w:val="en-US" w:eastAsia="zh-CN"/>
              </w:rPr>
              <w:t>4</w:t>
            </w:r>
            <w:r>
              <w:rPr>
                <w:rFonts w:cs="Times New Roman"/>
                <w:b/>
                <w:kern w:val="0"/>
                <w:sz w:val="21"/>
                <w:szCs w:val="20"/>
                <w:highlight w:val="none"/>
              </w:rPr>
              <w:t xml:space="preserve">  </w:t>
            </w:r>
            <w:r>
              <w:rPr>
                <w:rFonts w:hint="eastAsia" w:cs="Times New Roman"/>
                <w:b/>
                <w:kern w:val="0"/>
                <w:sz w:val="21"/>
                <w:szCs w:val="20"/>
                <w:highlight w:val="none"/>
              </w:rPr>
              <w:t>本项目与</w:t>
            </w:r>
            <w:r>
              <w:rPr>
                <w:rFonts w:hint="eastAsia" w:cs="Times New Roman"/>
                <w:b/>
                <w:kern w:val="0"/>
                <w:sz w:val="21"/>
                <w:szCs w:val="20"/>
                <w:highlight w:val="none"/>
                <w:lang w:val="en-US" w:eastAsia="zh-CN"/>
              </w:rPr>
              <w:t>库尔勒市大气布局敏感区</w:t>
            </w:r>
            <w:r>
              <w:rPr>
                <w:rFonts w:hint="eastAsia" w:cs="Times New Roman"/>
                <w:b/>
                <w:kern w:val="0"/>
                <w:sz w:val="21"/>
                <w:szCs w:val="20"/>
                <w:highlight w:val="none"/>
              </w:rPr>
              <w:t>环境管控单元准入清单符合性分析一览表</w:t>
            </w:r>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
              <w:gridCol w:w="384"/>
              <w:gridCol w:w="372"/>
              <w:gridCol w:w="401"/>
              <w:gridCol w:w="3843"/>
              <w:gridCol w:w="2182"/>
              <w:gridCol w:w="698"/>
            </w:tblGrid>
            <w:tr w14:paraId="6C7C6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10" w:type="pct"/>
                  <w:gridSpan w:val="4"/>
                  <w:vAlign w:val="center"/>
                </w:tcPr>
                <w:p w14:paraId="5F0DD9CA">
                  <w:pPr>
                    <w:spacing w:line="240" w:lineRule="auto"/>
                    <w:ind w:firstLine="0" w:firstLineChars="0"/>
                    <w:contextualSpacing/>
                    <w:jc w:val="center"/>
                    <w:rPr>
                      <w:rFonts w:cs="Times New Roman"/>
                      <w:color w:val="000000"/>
                      <w:sz w:val="21"/>
                      <w:szCs w:val="21"/>
                    </w:rPr>
                  </w:pPr>
                  <w:r>
                    <w:rPr>
                      <w:rFonts w:cs="Times New Roman"/>
                      <w:color w:val="000000"/>
                      <w:sz w:val="21"/>
                      <w:szCs w:val="21"/>
                    </w:rPr>
                    <w:t>管控类型</w:t>
                  </w:r>
                </w:p>
              </w:tc>
              <w:tc>
                <w:tcPr>
                  <w:tcW w:w="2337" w:type="pct"/>
                  <w:vAlign w:val="center"/>
                </w:tcPr>
                <w:p w14:paraId="0D0011FF">
                  <w:pPr>
                    <w:spacing w:line="240" w:lineRule="auto"/>
                    <w:ind w:firstLine="0" w:firstLineChars="0"/>
                    <w:contextualSpacing/>
                    <w:jc w:val="center"/>
                    <w:rPr>
                      <w:rFonts w:cs="Times New Roman"/>
                      <w:color w:val="000000"/>
                      <w:sz w:val="21"/>
                      <w:szCs w:val="21"/>
                    </w:rPr>
                  </w:pPr>
                  <w:r>
                    <w:rPr>
                      <w:rFonts w:cs="Times New Roman"/>
                      <w:color w:val="000000"/>
                      <w:sz w:val="21"/>
                      <w:szCs w:val="21"/>
                    </w:rPr>
                    <w:t>管控要求</w:t>
                  </w:r>
                </w:p>
              </w:tc>
              <w:tc>
                <w:tcPr>
                  <w:tcW w:w="1327" w:type="pct"/>
                  <w:vAlign w:val="center"/>
                </w:tcPr>
                <w:p w14:paraId="672EFAE0">
                  <w:pPr>
                    <w:spacing w:line="240" w:lineRule="auto"/>
                    <w:ind w:firstLine="0" w:firstLineChars="0"/>
                    <w:contextualSpacing/>
                    <w:jc w:val="center"/>
                    <w:rPr>
                      <w:rFonts w:cs="Times New Roman"/>
                      <w:color w:val="000000"/>
                      <w:sz w:val="21"/>
                      <w:szCs w:val="21"/>
                    </w:rPr>
                  </w:pPr>
                  <w:r>
                    <w:rPr>
                      <w:rFonts w:cs="Times New Roman"/>
                      <w:color w:val="000000"/>
                      <w:sz w:val="21"/>
                      <w:szCs w:val="21"/>
                    </w:rPr>
                    <w:t>本项目</w:t>
                  </w:r>
                </w:p>
              </w:tc>
              <w:tc>
                <w:tcPr>
                  <w:tcW w:w="424" w:type="pct"/>
                  <w:vAlign w:val="center"/>
                </w:tcPr>
                <w:p w14:paraId="26FFA1E7">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符合性</w:t>
                  </w:r>
                </w:p>
              </w:tc>
            </w:tr>
            <w:tr w14:paraId="3D34B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6" w:type="pct"/>
                  <w:vMerge w:val="restart"/>
                  <w:vAlign w:val="center"/>
                </w:tcPr>
                <w:p w14:paraId="09DF122E">
                  <w:pPr>
                    <w:spacing w:line="240" w:lineRule="auto"/>
                    <w:ind w:firstLine="0" w:firstLineChars="0"/>
                    <w:contextualSpacing/>
                    <w:jc w:val="center"/>
                    <w:rPr>
                      <w:rFonts w:hint="default" w:eastAsia="宋体" w:cs="Times New Roman"/>
                      <w:color w:val="000000"/>
                      <w:sz w:val="21"/>
                      <w:szCs w:val="21"/>
                      <w:lang w:val="en-US" w:eastAsia="zh-CN"/>
                    </w:rPr>
                  </w:pPr>
                  <w:r>
                    <w:rPr>
                      <w:rFonts w:cs="Times New Roman"/>
                      <w:color w:val="000000"/>
                      <w:sz w:val="21"/>
                      <w:szCs w:val="21"/>
                    </w:rPr>
                    <w:t>ZH</w:t>
                  </w:r>
                  <w:r>
                    <w:rPr>
                      <w:rFonts w:hint="eastAsia" w:cs="Times New Roman"/>
                      <w:color w:val="000000"/>
                      <w:sz w:val="21"/>
                      <w:szCs w:val="21"/>
                    </w:rPr>
                    <w:t>6528</w:t>
                  </w:r>
                  <w:r>
                    <w:rPr>
                      <w:rFonts w:hint="eastAsia" w:cs="Times New Roman"/>
                      <w:color w:val="000000"/>
                      <w:sz w:val="21"/>
                      <w:szCs w:val="21"/>
                      <w:lang w:val="en-US" w:eastAsia="zh-CN"/>
                    </w:rPr>
                    <w:t>0120001</w:t>
                  </w:r>
                </w:p>
              </w:tc>
              <w:tc>
                <w:tcPr>
                  <w:tcW w:w="233" w:type="pct"/>
                  <w:vMerge w:val="restart"/>
                  <w:vAlign w:val="center"/>
                </w:tcPr>
                <w:p w14:paraId="4C1EB373">
                  <w:pPr>
                    <w:spacing w:line="240" w:lineRule="auto"/>
                    <w:ind w:firstLine="0" w:firstLineChars="0"/>
                    <w:contextualSpacing/>
                    <w:jc w:val="center"/>
                    <w:rPr>
                      <w:rFonts w:hint="default" w:eastAsia="宋体" w:cs="Times New Roman"/>
                      <w:color w:val="000000"/>
                      <w:sz w:val="21"/>
                      <w:szCs w:val="21"/>
                      <w:lang w:val="en-US" w:eastAsia="zh-CN"/>
                    </w:rPr>
                  </w:pPr>
                  <w:r>
                    <w:rPr>
                      <w:rFonts w:hint="eastAsia" w:cs="Times New Roman"/>
                      <w:color w:val="000000"/>
                      <w:sz w:val="21"/>
                      <w:szCs w:val="21"/>
                      <w:lang w:val="en-US" w:eastAsia="zh-CN"/>
                    </w:rPr>
                    <w:t>库尔勒市大气布局敏感区</w:t>
                  </w:r>
                </w:p>
              </w:tc>
              <w:tc>
                <w:tcPr>
                  <w:tcW w:w="226" w:type="pct"/>
                  <w:vMerge w:val="restart"/>
                  <w:vAlign w:val="center"/>
                </w:tcPr>
                <w:p w14:paraId="5F1DB7F4">
                  <w:pPr>
                    <w:spacing w:line="240" w:lineRule="auto"/>
                    <w:ind w:firstLine="0" w:firstLineChars="0"/>
                    <w:contextualSpacing/>
                    <w:jc w:val="center"/>
                    <w:rPr>
                      <w:rFonts w:hint="default" w:cs="Times New Roman"/>
                      <w:color w:val="000000"/>
                      <w:sz w:val="21"/>
                      <w:szCs w:val="21"/>
                      <w:lang w:val="en-US" w:eastAsia="zh-CN"/>
                    </w:rPr>
                  </w:pPr>
                  <w:r>
                    <w:rPr>
                      <w:rFonts w:hint="eastAsia" w:cs="Times New Roman"/>
                      <w:color w:val="000000"/>
                      <w:sz w:val="21"/>
                      <w:szCs w:val="21"/>
                      <w:lang w:val="en-US" w:eastAsia="zh-CN"/>
                    </w:rPr>
                    <w:t>重点管控单元</w:t>
                  </w:r>
                </w:p>
              </w:tc>
              <w:tc>
                <w:tcPr>
                  <w:tcW w:w="243" w:type="pct"/>
                  <w:vAlign w:val="center"/>
                </w:tcPr>
                <w:p w14:paraId="13521E4A">
                  <w:pPr>
                    <w:spacing w:line="240" w:lineRule="auto"/>
                    <w:ind w:firstLine="0" w:firstLineChars="0"/>
                    <w:contextualSpacing/>
                    <w:jc w:val="center"/>
                    <w:rPr>
                      <w:rFonts w:cs="Times New Roman"/>
                      <w:color w:val="000000"/>
                      <w:sz w:val="21"/>
                      <w:szCs w:val="21"/>
                    </w:rPr>
                  </w:pPr>
                  <w:r>
                    <w:rPr>
                      <w:rFonts w:cs="Times New Roman"/>
                      <w:color w:val="000000"/>
                      <w:sz w:val="21"/>
                      <w:szCs w:val="21"/>
                    </w:rPr>
                    <w:t>空间布局约束</w:t>
                  </w:r>
                </w:p>
              </w:tc>
              <w:tc>
                <w:tcPr>
                  <w:tcW w:w="2337" w:type="pct"/>
                  <w:vAlign w:val="center"/>
                </w:tcPr>
                <w:p w14:paraId="005A901A">
                  <w:pPr>
                    <w:spacing w:line="240" w:lineRule="auto"/>
                    <w:ind w:firstLine="0" w:firstLineChars="0"/>
                    <w:contextualSpacing/>
                    <w:rPr>
                      <w:rFonts w:hint="eastAsia" w:cs="Times New Roman"/>
                      <w:sz w:val="21"/>
                    </w:rPr>
                  </w:pPr>
                  <w:r>
                    <w:rPr>
                      <w:rFonts w:hint="eastAsia" w:cs="Times New Roman"/>
                      <w:sz w:val="21"/>
                    </w:rPr>
                    <w:t>1.执行总体管控要求中关于大气环境重点管控区的空间布局约束准入要求。</w:t>
                  </w:r>
                </w:p>
                <w:p w14:paraId="6287230C">
                  <w:pPr>
                    <w:spacing w:line="240" w:lineRule="auto"/>
                    <w:ind w:firstLine="0" w:firstLineChars="0"/>
                    <w:contextualSpacing/>
                    <w:rPr>
                      <w:rFonts w:hint="eastAsia" w:cs="Times New Roman"/>
                      <w:sz w:val="21"/>
                    </w:rPr>
                  </w:pPr>
                  <w:r>
                    <w:rPr>
                      <w:rFonts w:hint="eastAsia" w:cs="Times New Roman"/>
                      <w:sz w:val="21"/>
                    </w:rPr>
                    <w:t>2.实施严格的环境准入和环境管理措施，提高建设项目节能环保准入门槛，涉及大气污染物排放的，实行减量置换，区域内实施严格的地方大气污染物排放标准或大气污染物特别排放限值。</w:t>
                  </w:r>
                </w:p>
                <w:p w14:paraId="15E07C22">
                  <w:pPr>
                    <w:spacing w:line="240" w:lineRule="auto"/>
                    <w:ind w:firstLine="0" w:firstLineChars="0"/>
                    <w:contextualSpacing/>
                    <w:rPr>
                      <w:rFonts w:hint="eastAsia" w:eastAsia="宋体" w:cs="Times New Roman"/>
                      <w:sz w:val="21"/>
                      <w:lang w:eastAsia="zh-CN"/>
                    </w:rPr>
                  </w:pPr>
                  <w:r>
                    <w:rPr>
                      <w:rFonts w:hint="eastAsia" w:cs="Times New Roman"/>
                      <w:sz w:val="21"/>
                    </w:rPr>
                    <w:t>3.禁止引进国家和自治区明令禁止或淘汰的产业及工艺、园区规划的项目；引进符合国家产业政策和清洁生产要求的、采用先进生产工艺和设备的、自动化程度高的、具有可靠先进的污染治理技术的生产项目</w:t>
                  </w:r>
                  <w:r>
                    <w:rPr>
                      <w:rFonts w:hint="eastAsia" w:cs="Times New Roman"/>
                      <w:sz w:val="21"/>
                      <w:lang w:eastAsia="zh-CN"/>
                    </w:rPr>
                    <w:t>。</w:t>
                  </w:r>
                </w:p>
              </w:tc>
              <w:tc>
                <w:tcPr>
                  <w:tcW w:w="1327" w:type="pct"/>
                  <w:vAlign w:val="center"/>
                </w:tcPr>
                <w:p w14:paraId="462CD175">
                  <w:pPr>
                    <w:spacing w:line="240" w:lineRule="auto"/>
                    <w:ind w:firstLine="0" w:firstLineChars="0"/>
                    <w:contextualSpacing/>
                    <w:jc w:val="center"/>
                    <w:rPr>
                      <w:rFonts w:hint="eastAsia" w:eastAsia="宋体" w:cs="Times New Roman"/>
                      <w:color w:val="000000"/>
                      <w:sz w:val="21"/>
                      <w:szCs w:val="21"/>
                      <w:lang w:val="en-US" w:eastAsia="zh-CN"/>
                    </w:rPr>
                  </w:pPr>
                  <w:r>
                    <w:rPr>
                      <w:rFonts w:hint="eastAsia" w:ascii="宋体" w:hAnsi="宋体" w:cs="宋体"/>
                      <w:color w:val="000000"/>
                      <w:sz w:val="21"/>
                      <w:szCs w:val="21"/>
                    </w:rPr>
                    <w:t>本项目产生的污染物较少，</w:t>
                  </w:r>
                  <w:r>
                    <w:rPr>
                      <w:rFonts w:hint="eastAsia" w:ascii="宋体" w:hAnsi="宋体" w:eastAsia="宋体" w:cs="宋体"/>
                      <w:color w:val="000000"/>
                      <w:sz w:val="21"/>
                      <w:szCs w:val="21"/>
                    </w:rPr>
                    <w:t>配</w:t>
                  </w:r>
                  <w:r>
                    <w:rPr>
                      <w:rFonts w:hint="eastAsia" w:cs="Times New Roman"/>
                      <w:sz w:val="21"/>
                      <w:szCs w:val="21"/>
                    </w:rPr>
                    <w:t>套</w:t>
                  </w:r>
                  <w:r>
                    <w:rPr>
                      <w:rFonts w:hint="eastAsia" w:cs="Times New Roman"/>
                      <w:sz w:val="21"/>
                      <w:szCs w:val="21"/>
                      <w:lang w:val="en-US" w:eastAsia="zh-CN"/>
                    </w:rPr>
                    <w:t>二次</w:t>
                  </w:r>
                  <w:r>
                    <w:rPr>
                      <w:rFonts w:hint="eastAsia" w:cs="Times New Roman"/>
                      <w:sz w:val="21"/>
                      <w:szCs w:val="21"/>
                    </w:rPr>
                    <w:t>油气回收装置，用于控制挥发的油气无组织排放</w:t>
                  </w:r>
                  <w:r>
                    <w:rPr>
                      <w:rFonts w:hint="eastAsia" w:cs="Times New Roman"/>
                      <w:sz w:val="21"/>
                      <w:szCs w:val="21"/>
                      <w:lang w:eastAsia="zh-CN"/>
                    </w:rPr>
                    <w:t>。</w:t>
                  </w:r>
                  <w:r>
                    <w:rPr>
                      <w:rFonts w:hint="eastAsia" w:ascii="宋体" w:hAnsi="宋体" w:cs="宋体"/>
                      <w:color w:val="000000"/>
                      <w:sz w:val="21"/>
                      <w:szCs w:val="21"/>
                    </w:rPr>
                    <w:t>在严格落实各项污染治理措施后可实现稳定达标排放</w:t>
                  </w:r>
                  <w:r>
                    <w:rPr>
                      <w:rFonts w:hint="eastAsia" w:cs="Times New Roman"/>
                      <w:color w:val="000000"/>
                      <w:sz w:val="21"/>
                      <w:szCs w:val="21"/>
                      <w:lang w:eastAsia="zh-CN"/>
                    </w:rPr>
                    <w:t>。</w:t>
                  </w:r>
                  <w:r>
                    <w:rPr>
                      <w:rFonts w:hint="eastAsia" w:ascii="宋体" w:hAnsi="宋体" w:cs="宋体"/>
                      <w:color w:val="000000"/>
                      <w:sz w:val="21"/>
                      <w:szCs w:val="21"/>
                      <w:lang w:val="en-US" w:eastAsia="zh-CN"/>
                    </w:rPr>
                    <w:t>本项目</w:t>
                  </w:r>
                  <w:r>
                    <w:rPr>
                      <w:rFonts w:hint="eastAsia" w:ascii="宋体" w:hAnsi="宋体" w:cs="宋体"/>
                      <w:color w:val="000000"/>
                      <w:sz w:val="21"/>
                      <w:szCs w:val="21"/>
                    </w:rPr>
                    <w:t>不使用国家和自治区明令禁止或淘汰的工艺</w:t>
                  </w:r>
                  <w:r>
                    <w:rPr>
                      <w:rFonts w:hint="eastAsia" w:ascii="宋体" w:hAnsi="宋体" w:cs="宋体"/>
                      <w:color w:val="000000"/>
                      <w:sz w:val="21"/>
                      <w:szCs w:val="21"/>
                      <w:lang w:val="en-US" w:eastAsia="zh-CN"/>
                    </w:rPr>
                    <w:t>和设备，符合</w:t>
                  </w:r>
                  <w:r>
                    <w:rPr>
                      <w:rFonts w:hint="eastAsia" w:cs="Times New Roman"/>
                      <w:sz w:val="21"/>
                    </w:rPr>
                    <w:t>国家产业政策</w:t>
                  </w:r>
                  <w:r>
                    <w:rPr>
                      <w:rFonts w:hint="eastAsia" w:cs="Times New Roman"/>
                      <w:sz w:val="21"/>
                      <w:lang w:eastAsia="zh-CN"/>
                    </w:rPr>
                    <w:t>。</w:t>
                  </w:r>
                </w:p>
              </w:tc>
              <w:tc>
                <w:tcPr>
                  <w:tcW w:w="424" w:type="pct"/>
                  <w:vAlign w:val="center"/>
                </w:tcPr>
                <w:p w14:paraId="72A8B573">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w:t>
                  </w:r>
                </w:p>
              </w:tc>
            </w:tr>
            <w:tr w14:paraId="13B6F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6" w:type="pct"/>
                  <w:vMerge w:val="continue"/>
                  <w:vAlign w:val="center"/>
                </w:tcPr>
                <w:p w14:paraId="7C94F797">
                  <w:pPr>
                    <w:spacing w:line="240" w:lineRule="auto"/>
                    <w:ind w:firstLine="0" w:firstLineChars="0"/>
                    <w:contextualSpacing/>
                    <w:jc w:val="center"/>
                    <w:rPr>
                      <w:rFonts w:cs="Times New Roman"/>
                      <w:color w:val="000000"/>
                      <w:sz w:val="21"/>
                      <w:szCs w:val="21"/>
                    </w:rPr>
                  </w:pPr>
                </w:p>
              </w:tc>
              <w:tc>
                <w:tcPr>
                  <w:tcW w:w="233" w:type="pct"/>
                  <w:vMerge w:val="continue"/>
                  <w:vAlign w:val="center"/>
                </w:tcPr>
                <w:p w14:paraId="6BD75290">
                  <w:pPr>
                    <w:spacing w:line="240" w:lineRule="auto"/>
                    <w:ind w:firstLine="0" w:firstLineChars="0"/>
                    <w:contextualSpacing/>
                    <w:jc w:val="center"/>
                    <w:rPr>
                      <w:rFonts w:cs="Times New Roman"/>
                      <w:color w:val="000000"/>
                      <w:sz w:val="21"/>
                      <w:szCs w:val="21"/>
                    </w:rPr>
                  </w:pPr>
                </w:p>
              </w:tc>
              <w:tc>
                <w:tcPr>
                  <w:tcW w:w="226" w:type="pct"/>
                  <w:vMerge w:val="continue"/>
                  <w:vAlign w:val="center"/>
                </w:tcPr>
                <w:p w14:paraId="69A80B9E">
                  <w:pPr>
                    <w:spacing w:line="240" w:lineRule="auto"/>
                    <w:ind w:firstLine="0" w:firstLineChars="0"/>
                    <w:contextualSpacing/>
                    <w:jc w:val="center"/>
                    <w:rPr>
                      <w:rFonts w:cs="Times New Roman"/>
                      <w:color w:val="000000"/>
                      <w:sz w:val="21"/>
                      <w:szCs w:val="21"/>
                    </w:rPr>
                  </w:pPr>
                </w:p>
              </w:tc>
              <w:tc>
                <w:tcPr>
                  <w:tcW w:w="243" w:type="pct"/>
                  <w:vAlign w:val="center"/>
                </w:tcPr>
                <w:p w14:paraId="6BF1398F">
                  <w:pPr>
                    <w:spacing w:line="240" w:lineRule="auto"/>
                    <w:ind w:firstLine="0" w:firstLineChars="0"/>
                    <w:contextualSpacing/>
                    <w:jc w:val="center"/>
                    <w:rPr>
                      <w:rFonts w:cs="Times New Roman"/>
                      <w:color w:val="000000"/>
                      <w:sz w:val="21"/>
                      <w:szCs w:val="21"/>
                    </w:rPr>
                  </w:pPr>
                  <w:r>
                    <w:rPr>
                      <w:rFonts w:cs="Times New Roman"/>
                      <w:color w:val="000000"/>
                      <w:sz w:val="21"/>
                      <w:szCs w:val="21"/>
                    </w:rPr>
                    <w:t>污染物排放管控</w:t>
                  </w:r>
                </w:p>
              </w:tc>
              <w:tc>
                <w:tcPr>
                  <w:tcW w:w="2337" w:type="pct"/>
                  <w:vAlign w:val="center"/>
                </w:tcPr>
                <w:p w14:paraId="6C0649C3">
                  <w:pPr>
                    <w:spacing w:line="240" w:lineRule="auto"/>
                    <w:ind w:firstLine="0" w:firstLineChars="0"/>
                    <w:contextualSpacing/>
                    <w:rPr>
                      <w:rFonts w:hint="eastAsia" w:cs="Times New Roman"/>
                      <w:sz w:val="21"/>
                    </w:rPr>
                  </w:pPr>
                  <w:r>
                    <w:rPr>
                      <w:rFonts w:hint="eastAsia" w:cs="Times New Roman"/>
                      <w:sz w:val="21"/>
                    </w:rPr>
                    <w:t>1.执行总体管控要求中关于大气环境重点管控区的污染物排放管控要求。</w:t>
                  </w:r>
                </w:p>
                <w:p w14:paraId="7FE91D05">
                  <w:pPr>
                    <w:spacing w:line="240" w:lineRule="auto"/>
                    <w:ind w:firstLine="0" w:firstLineChars="0"/>
                    <w:contextualSpacing/>
                    <w:rPr>
                      <w:rFonts w:hint="eastAsia" w:cs="Times New Roman"/>
                      <w:sz w:val="21"/>
                    </w:rPr>
                  </w:pPr>
                  <w:r>
                    <w:rPr>
                      <w:rFonts w:hint="eastAsia" w:cs="Times New Roman"/>
                      <w:sz w:val="21"/>
                    </w:rPr>
                    <w:t>2.执行环境空气质量二级标准。</w:t>
                  </w:r>
                </w:p>
                <w:p w14:paraId="0C8AB6F1">
                  <w:pPr>
                    <w:spacing w:line="240" w:lineRule="auto"/>
                    <w:ind w:firstLine="0" w:firstLineChars="0"/>
                    <w:contextualSpacing/>
                    <w:rPr>
                      <w:rFonts w:hint="eastAsia" w:cs="Times New Roman"/>
                      <w:sz w:val="21"/>
                    </w:rPr>
                  </w:pPr>
                  <w:r>
                    <w:rPr>
                      <w:rFonts w:hint="eastAsia" w:cs="Times New Roman"/>
                      <w:sz w:val="21"/>
                    </w:rPr>
                    <w:t>3.严格实施污染物总量控制和排污许可证制度，严格落实二氧化硫、氮氧化物、颗粒物等主要污染物排放总量控制，实现企业污染物减排的目标。加强环境监管工作，严格执行建设项目环境保护“三同时”制度，所有新建项目必须实现污染物达标排放才能允许生产，从源头上控制污染物的排放。</w:t>
                  </w:r>
                </w:p>
                <w:p w14:paraId="04A87DA0">
                  <w:pPr>
                    <w:spacing w:line="240" w:lineRule="auto"/>
                    <w:ind w:firstLine="0" w:firstLineChars="0"/>
                    <w:contextualSpacing/>
                    <w:rPr>
                      <w:rFonts w:cs="Times New Roman"/>
                      <w:sz w:val="21"/>
                    </w:rPr>
                  </w:pPr>
                  <w:r>
                    <w:rPr>
                      <w:rFonts w:hint="eastAsia" w:cs="Times New Roman"/>
                      <w:sz w:val="21"/>
                    </w:rPr>
                    <w:t>4.协同控制温室气体排放。按照国家统一要求，逐步开展对温室气体排放源的监测和监管。</w:t>
                  </w:r>
                </w:p>
              </w:tc>
              <w:tc>
                <w:tcPr>
                  <w:tcW w:w="1327" w:type="pct"/>
                  <w:vAlign w:val="center"/>
                </w:tcPr>
                <w:p w14:paraId="33834B7C">
                  <w:pPr>
                    <w:spacing w:line="240" w:lineRule="auto"/>
                    <w:ind w:firstLine="0" w:firstLineChars="0"/>
                    <w:contextualSpacing/>
                    <w:jc w:val="center"/>
                    <w:rPr>
                      <w:rFonts w:hint="eastAsia" w:eastAsia="宋体" w:cs="Times New Roman"/>
                      <w:color w:val="000000"/>
                      <w:sz w:val="21"/>
                      <w:szCs w:val="21"/>
                      <w:lang w:val="en-US" w:eastAsia="zh-CN"/>
                    </w:rPr>
                  </w:pPr>
                  <w:r>
                    <w:rPr>
                      <w:rFonts w:hint="eastAsia"/>
                      <w:sz w:val="21"/>
                      <w:szCs w:val="21"/>
                    </w:rPr>
                    <w:t>根据库尔勒经济技术开发区国控空气自动监测站2024年</w:t>
                  </w:r>
                  <w:r>
                    <w:rPr>
                      <w:kern w:val="0"/>
                      <w:sz w:val="21"/>
                      <w:szCs w:val="21"/>
                    </w:rPr>
                    <w:t>各项污染物除PM</w:t>
                  </w:r>
                  <w:r>
                    <w:rPr>
                      <w:kern w:val="0"/>
                      <w:sz w:val="21"/>
                      <w:szCs w:val="21"/>
                      <w:vertAlign w:val="subscript"/>
                    </w:rPr>
                    <w:t>10</w:t>
                  </w:r>
                  <w:r>
                    <w:rPr>
                      <w:kern w:val="0"/>
                      <w:sz w:val="21"/>
                      <w:szCs w:val="21"/>
                    </w:rPr>
                    <w:t>、PM</w:t>
                  </w:r>
                  <w:r>
                    <w:rPr>
                      <w:kern w:val="0"/>
                      <w:sz w:val="21"/>
                      <w:szCs w:val="21"/>
                      <w:vertAlign w:val="subscript"/>
                    </w:rPr>
                    <w:t>2.5</w:t>
                  </w:r>
                  <w:r>
                    <w:rPr>
                      <w:kern w:val="0"/>
                      <w:sz w:val="21"/>
                      <w:szCs w:val="21"/>
                    </w:rPr>
                    <w:t>外，SO</w:t>
                  </w:r>
                  <w:r>
                    <w:rPr>
                      <w:kern w:val="0"/>
                      <w:sz w:val="21"/>
                      <w:szCs w:val="21"/>
                      <w:vertAlign w:val="subscript"/>
                    </w:rPr>
                    <w:t>2</w:t>
                  </w:r>
                  <w:r>
                    <w:rPr>
                      <w:kern w:val="0"/>
                      <w:sz w:val="21"/>
                      <w:szCs w:val="21"/>
                    </w:rPr>
                    <w:t>日均浓度、NO</w:t>
                  </w:r>
                  <w:r>
                    <w:rPr>
                      <w:kern w:val="0"/>
                      <w:sz w:val="21"/>
                      <w:szCs w:val="21"/>
                      <w:vertAlign w:val="subscript"/>
                    </w:rPr>
                    <w:t>2</w:t>
                  </w:r>
                  <w:r>
                    <w:rPr>
                      <w:kern w:val="0"/>
                      <w:sz w:val="21"/>
                      <w:szCs w:val="21"/>
                    </w:rPr>
                    <w:t>日均浓度及CO日平均第95百分位数浓度、O</w:t>
                  </w:r>
                  <w:r>
                    <w:rPr>
                      <w:kern w:val="0"/>
                      <w:sz w:val="21"/>
                      <w:szCs w:val="21"/>
                      <w:vertAlign w:val="subscript"/>
                    </w:rPr>
                    <w:t>3</w:t>
                  </w:r>
                  <w:r>
                    <w:rPr>
                      <w:rFonts w:hint="eastAsia"/>
                      <w:kern w:val="0"/>
                      <w:sz w:val="21"/>
                      <w:szCs w:val="21"/>
                    </w:rPr>
                    <w:t>-</w:t>
                  </w:r>
                  <w:r>
                    <w:rPr>
                      <w:kern w:val="0"/>
                      <w:sz w:val="21"/>
                      <w:szCs w:val="21"/>
                    </w:rPr>
                    <w:t>8小时第90百分位数浓度满足《环境空气质量标准》（GB3095-20</w:t>
                  </w:r>
                  <w:r>
                    <w:rPr>
                      <w:rFonts w:hint="eastAsia"/>
                      <w:kern w:val="0"/>
                      <w:sz w:val="21"/>
                      <w:szCs w:val="21"/>
                      <w:lang w:val="en-US" w:eastAsia="zh-CN"/>
                    </w:rPr>
                    <w:t>26</w:t>
                  </w:r>
                  <w:r>
                    <w:rPr>
                      <w:kern w:val="0"/>
                      <w:sz w:val="21"/>
                      <w:szCs w:val="21"/>
                    </w:rPr>
                    <w:t>）中二级标准限值要求，除PM</w:t>
                  </w:r>
                  <w:r>
                    <w:rPr>
                      <w:kern w:val="0"/>
                      <w:sz w:val="21"/>
                      <w:szCs w:val="21"/>
                      <w:vertAlign w:val="subscript"/>
                    </w:rPr>
                    <w:t>10</w:t>
                  </w:r>
                  <w:r>
                    <w:rPr>
                      <w:kern w:val="0"/>
                      <w:sz w:val="21"/>
                      <w:szCs w:val="21"/>
                    </w:rPr>
                    <w:t>、PM</w:t>
                  </w:r>
                  <w:r>
                    <w:rPr>
                      <w:kern w:val="0"/>
                      <w:sz w:val="21"/>
                      <w:szCs w:val="21"/>
                      <w:vertAlign w:val="subscript"/>
                    </w:rPr>
                    <w:t>2.5</w:t>
                  </w:r>
                  <w:r>
                    <w:rPr>
                      <w:kern w:val="0"/>
                      <w:sz w:val="21"/>
                      <w:szCs w:val="21"/>
                    </w:rPr>
                    <w:t>外，</w:t>
                  </w:r>
                  <w:r>
                    <w:rPr>
                      <w:rFonts w:hint="eastAsia"/>
                      <w:kern w:val="0"/>
                      <w:sz w:val="21"/>
                      <w:szCs w:val="21"/>
                    </w:rPr>
                    <w:t>SO</w:t>
                  </w:r>
                  <w:r>
                    <w:rPr>
                      <w:rFonts w:hint="eastAsia"/>
                      <w:kern w:val="0"/>
                      <w:sz w:val="21"/>
                      <w:szCs w:val="21"/>
                      <w:vertAlign w:val="subscript"/>
                    </w:rPr>
                    <w:t>2</w:t>
                  </w:r>
                  <w:r>
                    <w:rPr>
                      <w:rFonts w:hint="eastAsia"/>
                      <w:kern w:val="0"/>
                      <w:sz w:val="21"/>
                      <w:szCs w:val="21"/>
                    </w:rPr>
                    <w:t>、NO</w:t>
                  </w:r>
                  <w:r>
                    <w:rPr>
                      <w:rFonts w:hint="eastAsia"/>
                      <w:kern w:val="0"/>
                      <w:sz w:val="21"/>
                      <w:szCs w:val="21"/>
                      <w:vertAlign w:val="subscript"/>
                    </w:rPr>
                    <w:t>2</w:t>
                  </w:r>
                  <w:r>
                    <w:rPr>
                      <w:kern w:val="0"/>
                      <w:sz w:val="21"/>
                      <w:szCs w:val="21"/>
                    </w:rPr>
                    <w:t>年平均值浓度满足《环境空气质量标准》（GB3095-20</w:t>
                  </w:r>
                  <w:r>
                    <w:rPr>
                      <w:rFonts w:hint="eastAsia"/>
                      <w:kern w:val="0"/>
                      <w:sz w:val="21"/>
                      <w:szCs w:val="21"/>
                      <w:lang w:val="en-US" w:eastAsia="zh-CN"/>
                    </w:rPr>
                    <w:t>26</w:t>
                  </w:r>
                  <w:r>
                    <w:rPr>
                      <w:kern w:val="0"/>
                      <w:sz w:val="21"/>
                      <w:szCs w:val="21"/>
                    </w:rPr>
                    <w:t>）</w:t>
                  </w:r>
                  <w:r>
                    <w:rPr>
                      <w:sz w:val="21"/>
                      <w:szCs w:val="21"/>
                    </w:rPr>
                    <w:t>中</w:t>
                  </w:r>
                  <w:r>
                    <w:rPr>
                      <w:rFonts w:hint="eastAsia"/>
                      <w:sz w:val="21"/>
                      <w:szCs w:val="21"/>
                      <w:lang w:val="en-US" w:eastAsia="zh-CN"/>
                    </w:rPr>
                    <w:t>过渡阶段</w:t>
                  </w:r>
                  <w:r>
                    <w:rPr>
                      <w:sz w:val="21"/>
                      <w:szCs w:val="21"/>
                    </w:rPr>
                    <w:t>二级标准</w:t>
                  </w:r>
                  <w:r>
                    <w:rPr>
                      <w:rFonts w:hint="eastAsia"/>
                      <w:sz w:val="21"/>
                      <w:szCs w:val="21"/>
                      <w:lang w:val="en-US" w:eastAsia="zh-CN"/>
                    </w:rPr>
                    <w:t>浓度限制</w:t>
                  </w:r>
                  <w:r>
                    <w:rPr>
                      <w:kern w:val="0"/>
                      <w:sz w:val="21"/>
                      <w:szCs w:val="21"/>
                    </w:rPr>
                    <w:t>，超标原因主要为当地干旱、大风、扬尘等气候原因</w:t>
                  </w:r>
                  <w:r>
                    <w:rPr>
                      <w:rFonts w:hint="default" w:cs="Times New Roman"/>
                      <w:color w:val="000000"/>
                      <w:sz w:val="21"/>
                      <w:szCs w:val="21"/>
                      <w:lang w:val="en-US"/>
                    </w:rPr>
                    <w:t>。</w:t>
                  </w:r>
                  <w:r>
                    <w:rPr>
                      <w:rFonts w:hint="eastAsia" w:ascii="宋体" w:hAnsi="宋体" w:cs="宋体"/>
                      <w:color w:val="000000"/>
                      <w:sz w:val="21"/>
                      <w:szCs w:val="21"/>
                    </w:rPr>
                    <w:t>本项目产生的污染物较少，在严格落实各项污染治理措施后可实现稳定达标排放</w:t>
                  </w:r>
                  <w:r>
                    <w:rPr>
                      <w:rFonts w:hint="eastAsia" w:cs="Times New Roman"/>
                      <w:color w:val="000000"/>
                      <w:sz w:val="21"/>
                      <w:szCs w:val="21"/>
                      <w:lang w:eastAsia="zh-CN"/>
                    </w:rPr>
                    <w:t>，</w:t>
                  </w:r>
                  <w:r>
                    <w:rPr>
                      <w:rFonts w:hint="eastAsia" w:cs="Times New Roman"/>
                      <w:color w:val="000000"/>
                      <w:sz w:val="21"/>
                      <w:szCs w:val="21"/>
                      <w:lang w:val="en-US" w:eastAsia="zh-CN"/>
                    </w:rPr>
                    <w:t>严格实施排污许可证制度和“三同时”制度，</w:t>
                  </w:r>
                  <w:r>
                    <w:rPr>
                      <w:rFonts w:hint="eastAsia" w:cs="Times New Roman"/>
                      <w:color w:val="000000"/>
                      <w:sz w:val="21"/>
                      <w:szCs w:val="21"/>
                    </w:rPr>
                    <w:t>不涉及总量控制指标</w:t>
                  </w:r>
                  <w:r>
                    <w:rPr>
                      <w:rFonts w:hint="eastAsia" w:cs="Times New Roman"/>
                      <w:color w:val="000000"/>
                      <w:sz w:val="21"/>
                      <w:szCs w:val="21"/>
                      <w:lang w:val="en-US" w:eastAsia="zh-CN"/>
                    </w:rPr>
                    <w:t>申请。</w:t>
                  </w:r>
                </w:p>
              </w:tc>
              <w:tc>
                <w:tcPr>
                  <w:tcW w:w="424" w:type="pct"/>
                  <w:vAlign w:val="center"/>
                </w:tcPr>
                <w:p w14:paraId="554BB6E7">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w:t>
                  </w:r>
                </w:p>
              </w:tc>
            </w:tr>
            <w:tr w14:paraId="50F70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6" w:type="pct"/>
                  <w:vMerge w:val="continue"/>
                  <w:vAlign w:val="center"/>
                </w:tcPr>
                <w:p w14:paraId="02110126">
                  <w:pPr>
                    <w:spacing w:line="240" w:lineRule="auto"/>
                    <w:ind w:firstLine="0" w:firstLineChars="0"/>
                    <w:contextualSpacing/>
                    <w:jc w:val="center"/>
                    <w:rPr>
                      <w:rFonts w:cs="Times New Roman"/>
                      <w:color w:val="000000"/>
                      <w:sz w:val="21"/>
                      <w:szCs w:val="21"/>
                    </w:rPr>
                  </w:pPr>
                </w:p>
              </w:tc>
              <w:tc>
                <w:tcPr>
                  <w:tcW w:w="233" w:type="pct"/>
                  <w:vMerge w:val="continue"/>
                  <w:vAlign w:val="center"/>
                </w:tcPr>
                <w:p w14:paraId="0421EEA7">
                  <w:pPr>
                    <w:spacing w:line="240" w:lineRule="auto"/>
                    <w:ind w:firstLine="0" w:firstLineChars="0"/>
                    <w:contextualSpacing/>
                    <w:jc w:val="center"/>
                    <w:rPr>
                      <w:rFonts w:cs="Times New Roman"/>
                      <w:color w:val="000000"/>
                      <w:sz w:val="21"/>
                      <w:szCs w:val="21"/>
                    </w:rPr>
                  </w:pPr>
                </w:p>
              </w:tc>
              <w:tc>
                <w:tcPr>
                  <w:tcW w:w="226" w:type="pct"/>
                  <w:vMerge w:val="continue"/>
                  <w:vAlign w:val="center"/>
                </w:tcPr>
                <w:p w14:paraId="6E804441">
                  <w:pPr>
                    <w:spacing w:line="240" w:lineRule="auto"/>
                    <w:ind w:firstLine="0" w:firstLineChars="0"/>
                    <w:contextualSpacing/>
                    <w:jc w:val="center"/>
                    <w:rPr>
                      <w:rFonts w:cs="Times New Roman"/>
                      <w:color w:val="000000"/>
                      <w:sz w:val="21"/>
                      <w:szCs w:val="21"/>
                    </w:rPr>
                  </w:pPr>
                </w:p>
              </w:tc>
              <w:tc>
                <w:tcPr>
                  <w:tcW w:w="243" w:type="pct"/>
                  <w:vAlign w:val="center"/>
                </w:tcPr>
                <w:p w14:paraId="3530E206">
                  <w:pPr>
                    <w:spacing w:line="240" w:lineRule="auto"/>
                    <w:ind w:firstLine="0" w:firstLineChars="0"/>
                    <w:contextualSpacing/>
                    <w:jc w:val="center"/>
                    <w:rPr>
                      <w:rFonts w:cs="Times New Roman"/>
                      <w:color w:val="000000"/>
                      <w:sz w:val="21"/>
                      <w:szCs w:val="21"/>
                    </w:rPr>
                  </w:pPr>
                  <w:r>
                    <w:rPr>
                      <w:rFonts w:cs="Times New Roman"/>
                      <w:color w:val="000000"/>
                      <w:sz w:val="21"/>
                      <w:szCs w:val="21"/>
                    </w:rPr>
                    <w:t>环境风险防控</w:t>
                  </w:r>
                </w:p>
              </w:tc>
              <w:tc>
                <w:tcPr>
                  <w:tcW w:w="2337" w:type="pct"/>
                  <w:vAlign w:val="center"/>
                </w:tcPr>
                <w:p w14:paraId="27C3E5F1">
                  <w:pPr>
                    <w:spacing w:line="240" w:lineRule="auto"/>
                    <w:ind w:firstLine="0" w:firstLineChars="0"/>
                    <w:contextualSpacing/>
                    <w:rPr>
                      <w:rFonts w:hint="eastAsia" w:cs="Times New Roman"/>
                      <w:sz w:val="21"/>
                    </w:rPr>
                  </w:pPr>
                  <w:r>
                    <w:rPr>
                      <w:rFonts w:hint="eastAsia" w:cs="Times New Roman"/>
                      <w:sz w:val="21"/>
                    </w:rPr>
                    <w:t>1.执行总体管控要求中关于大气环境重点管控区的环境风险防控要求。</w:t>
                  </w:r>
                </w:p>
                <w:p w14:paraId="458526BA">
                  <w:pPr>
                    <w:spacing w:line="240" w:lineRule="auto"/>
                    <w:ind w:firstLine="0" w:firstLineChars="0"/>
                    <w:contextualSpacing/>
                    <w:rPr>
                      <w:rFonts w:hint="eastAsia" w:cs="Times New Roman"/>
                      <w:sz w:val="21"/>
                    </w:rPr>
                  </w:pPr>
                  <w:r>
                    <w:rPr>
                      <w:rFonts w:hint="eastAsia" w:cs="Times New Roman"/>
                      <w:sz w:val="21"/>
                    </w:rPr>
                    <w:t>2.合理规划居住区与工业功能区，在居住区和工业区、工业企业之间设置防护绿化隔离带。</w:t>
                  </w:r>
                </w:p>
              </w:tc>
              <w:tc>
                <w:tcPr>
                  <w:tcW w:w="1327" w:type="pct"/>
                  <w:vAlign w:val="center"/>
                </w:tcPr>
                <w:p w14:paraId="37978344">
                  <w:pPr>
                    <w:spacing w:line="240" w:lineRule="auto"/>
                    <w:ind w:firstLine="0" w:firstLineChars="0"/>
                    <w:contextualSpacing/>
                    <w:jc w:val="center"/>
                    <w:rPr>
                      <w:rFonts w:hint="eastAsia" w:eastAsia="宋体" w:cs="Times New Roman"/>
                      <w:color w:val="000000"/>
                      <w:sz w:val="21"/>
                      <w:szCs w:val="21"/>
                      <w:vertAlign w:val="baseline"/>
                      <w:lang w:eastAsia="zh-CN"/>
                    </w:rPr>
                  </w:pPr>
                  <w:r>
                    <w:rPr>
                      <w:rFonts w:hint="eastAsia" w:ascii="宋体" w:hAnsi="宋体" w:cs="宋体"/>
                      <w:color w:val="000000"/>
                      <w:sz w:val="21"/>
                      <w:szCs w:val="21"/>
                    </w:rPr>
                    <w:t>本项目要求企业环境风险物质制定风险防范措施，严格进行监管，建立常态化的企业隐患排查整治监管机制</w:t>
                  </w:r>
                  <w:r>
                    <w:rPr>
                      <w:rFonts w:hint="eastAsia" w:ascii="宋体" w:hAnsi="宋体" w:cs="宋体"/>
                      <w:color w:val="000000"/>
                      <w:sz w:val="21"/>
                      <w:szCs w:val="21"/>
                      <w:lang w:eastAsia="zh-CN"/>
                    </w:rPr>
                    <w:t>。</w:t>
                  </w:r>
                  <w:r>
                    <w:rPr>
                      <w:rFonts w:hint="eastAsia" w:cs="Times New Roman"/>
                      <w:color w:val="000000"/>
                      <w:sz w:val="21"/>
                      <w:szCs w:val="21"/>
                    </w:rPr>
                    <w:t>项目区周边50m内无居民区、商业中心、公园等人口密集区域</w:t>
                  </w:r>
                  <w:r>
                    <w:rPr>
                      <w:rFonts w:hint="eastAsia" w:cs="Times New Roman"/>
                      <w:color w:val="000000"/>
                      <w:sz w:val="21"/>
                      <w:szCs w:val="21"/>
                      <w:lang w:eastAsia="zh-CN"/>
                    </w:rPr>
                    <w:t>，</w:t>
                  </w:r>
                  <w:r>
                    <w:rPr>
                      <w:rFonts w:hint="eastAsia" w:cs="Times New Roman"/>
                      <w:color w:val="000000"/>
                      <w:sz w:val="21"/>
                      <w:szCs w:val="21"/>
                      <w:lang w:val="en-US" w:eastAsia="zh-CN"/>
                    </w:rPr>
                    <w:t>设计绿化面积1721.92m</w:t>
                  </w:r>
                  <w:r>
                    <w:rPr>
                      <w:rFonts w:hint="eastAsia" w:cs="Times New Roman"/>
                      <w:color w:val="000000"/>
                      <w:sz w:val="21"/>
                      <w:szCs w:val="21"/>
                      <w:vertAlign w:val="superscript"/>
                      <w:lang w:val="en-US" w:eastAsia="zh-CN"/>
                    </w:rPr>
                    <w:t>2</w:t>
                  </w:r>
                  <w:r>
                    <w:rPr>
                      <w:rFonts w:hint="eastAsia" w:cs="Times New Roman"/>
                      <w:color w:val="000000"/>
                      <w:sz w:val="21"/>
                      <w:szCs w:val="21"/>
                      <w:lang w:val="en-US" w:eastAsia="zh-CN"/>
                    </w:rPr>
                    <w:t>。</w:t>
                  </w:r>
                </w:p>
              </w:tc>
              <w:tc>
                <w:tcPr>
                  <w:tcW w:w="424" w:type="pct"/>
                  <w:vAlign w:val="center"/>
                </w:tcPr>
                <w:p w14:paraId="0918D314">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w:t>
                  </w:r>
                </w:p>
              </w:tc>
            </w:tr>
            <w:tr w14:paraId="68724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6" w:type="pct"/>
                  <w:vMerge w:val="continue"/>
                  <w:vAlign w:val="center"/>
                </w:tcPr>
                <w:p w14:paraId="3312198E">
                  <w:pPr>
                    <w:spacing w:line="240" w:lineRule="auto"/>
                    <w:ind w:firstLine="0" w:firstLineChars="0"/>
                    <w:contextualSpacing/>
                    <w:jc w:val="center"/>
                    <w:rPr>
                      <w:rFonts w:cs="Times New Roman"/>
                      <w:color w:val="000000"/>
                      <w:sz w:val="21"/>
                      <w:szCs w:val="21"/>
                    </w:rPr>
                  </w:pPr>
                </w:p>
              </w:tc>
              <w:tc>
                <w:tcPr>
                  <w:tcW w:w="233" w:type="pct"/>
                  <w:vMerge w:val="continue"/>
                  <w:vAlign w:val="center"/>
                </w:tcPr>
                <w:p w14:paraId="47D1F75A">
                  <w:pPr>
                    <w:spacing w:line="240" w:lineRule="auto"/>
                    <w:ind w:firstLine="0" w:firstLineChars="0"/>
                    <w:contextualSpacing/>
                    <w:jc w:val="center"/>
                    <w:rPr>
                      <w:rFonts w:cs="Times New Roman"/>
                      <w:color w:val="000000"/>
                      <w:sz w:val="21"/>
                      <w:szCs w:val="21"/>
                    </w:rPr>
                  </w:pPr>
                </w:p>
              </w:tc>
              <w:tc>
                <w:tcPr>
                  <w:tcW w:w="226" w:type="pct"/>
                  <w:vMerge w:val="continue"/>
                  <w:vAlign w:val="center"/>
                </w:tcPr>
                <w:p w14:paraId="3B86E3FF">
                  <w:pPr>
                    <w:spacing w:line="240" w:lineRule="auto"/>
                    <w:ind w:firstLine="0" w:firstLineChars="0"/>
                    <w:contextualSpacing/>
                    <w:jc w:val="center"/>
                    <w:rPr>
                      <w:rFonts w:cs="Times New Roman"/>
                      <w:color w:val="000000"/>
                      <w:sz w:val="21"/>
                      <w:szCs w:val="21"/>
                    </w:rPr>
                  </w:pPr>
                </w:p>
              </w:tc>
              <w:tc>
                <w:tcPr>
                  <w:tcW w:w="243" w:type="pct"/>
                  <w:vAlign w:val="center"/>
                </w:tcPr>
                <w:p w14:paraId="5C3E9511">
                  <w:pPr>
                    <w:spacing w:line="240" w:lineRule="auto"/>
                    <w:ind w:firstLine="0" w:firstLineChars="0"/>
                    <w:contextualSpacing/>
                    <w:jc w:val="center"/>
                    <w:rPr>
                      <w:rFonts w:cs="Times New Roman"/>
                      <w:color w:val="000000"/>
                      <w:sz w:val="21"/>
                      <w:szCs w:val="21"/>
                    </w:rPr>
                  </w:pPr>
                  <w:r>
                    <w:rPr>
                      <w:rFonts w:cs="Times New Roman"/>
                      <w:color w:val="000000"/>
                      <w:sz w:val="21"/>
                      <w:szCs w:val="21"/>
                    </w:rPr>
                    <w:t>资源利用效率</w:t>
                  </w:r>
                </w:p>
              </w:tc>
              <w:tc>
                <w:tcPr>
                  <w:tcW w:w="2337" w:type="pct"/>
                  <w:vAlign w:val="center"/>
                </w:tcPr>
                <w:p w14:paraId="561B43FB">
                  <w:pPr>
                    <w:spacing w:line="240" w:lineRule="auto"/>
                    <w:ind w:firstLine="0" w:firstLineChars="0"/>
                    <w:contextualSpacing/>
                    <w:rPr>
                      <w:rFonts w:hint="eastAsia" w:cs="Times New Roman"/>
                      <w:sz w:val="21"/>
                    </w:rPr>
                  </w:pPr>
                  <w:r>
                    <w:rPr>
                      <w:rFonts w:hint="eastAsia" w:cs="Times New Roman"/>
                      <w:sz w:val="21"/>
                    </w:rPr>
                    <w:t>1.执行总体管控要求中关于大气环境重点管控区的资源利用效率要求。</w:t>
                  </w:r>
                </w:p>
                <w:p w14:paraId="77D542F7">
                  <w:pPr>
                    <w:spacing w:line="240" w:lineRule="auto"/>
                    <w:ind w:firstLine="0" w:firstLineChars="0"/>
                    <w:contextualSpacing/>
                    <w:rPr>
                      <w:rFonts w:hint="eastAsia" w:cs="Times New Roman"/>
                      <w:sz w:val="21"/>
                    </w:rPr>
                  </w:pPr>
                  <w:r>
                    <w:rPr>
                      <w:rFonts w:hint="eastAsia" w:cs="Times New Roman"/>
                      <w:sz w:val="21"/>
                    </w:rPr>
                    <w:t>2.大力发展循环经济，推广高效绿色适用技术，降低污染物排放强度。</w:t>
                  </w:r>
                </w:p>
                <w:p w14:paraId="335B4BD5">
                  <w:pPr>
                    <w:spacing w:line="240" w:lineRule="auto"/>
                    <w:ind w:firstLine="0" w:firstLineChars="0"/>
                    <w:contextualSpacing/>
                    <w:rPr>
                      <w:rFonts w:hint="eastAsia" w:cs="Times New Roman"/>
                      <w:sz w:val="21"/>
                    </w:rPr>
                  </w:pPr>
                  <w:r>
                    <w:rPr>
                      <w:rFonts w:hint="eastAsia" w:cs="Times New Roman"/>
                      <w:sz w:val="21"/>
                    </w:rPr>
                    <w:t>3.重点控制区实施燃煤总量控制，通过政策补偿等措施，逐步推行以天然气或电替代煤炭。</w:t>
                  </w:r>
                </w:p>
              </w:tc>
              <w:tc>
                <w:tcPr>
                  <w:tcW w:w="1327" w:type="pct"/>
                  <w:vAlign w:val="center"/>
                </w:tcPr>
                <w:p w14:paraId="68A7BB9B">
                  <w:pPr>
                    <w:spacing w:line="240" w:lineRule="auto"/>
                    <w:ind w:firstLine="0" w:firstLineChars="0"/>
                    <w:contextualSpacing/>
                    <w:jc w:val="center"/>
                    <w:rPr>
                      <w:rFonts w:cs="Times New Roman"/>
                      <w:color w:val="000000"/>
                      <w:sz w:val="21"/>
                      <w:szCs w:val="21"/>
                    </w:rPr>
                  </w:pPr>
                  <w:r>
                    <w:rPr>
                      <w:rFonts w:hint="eastAsia" w:ascii="宋体" w:hAnsi="宋体" w:cs="宋体"/>
                      <w:color w:val="000000"/>
                      <w:sz w:val="21"/>
                      <w:szCs w:val="21"/>
                    </w:rPr>
                    <w:t>本项目产生的污染物较少，在严格落实各项污染治理措施后可实现稳定达标排放</w:t>
                  </w:r>
                  <w:r>
                    <w:rPr>
                      <w:rFonts w:hint="eastAsia" w:cs="Times New Roman"/>
                      <w:color w:val="000000"/>
                      <w:sz w:val="21"/>
                      <w:szCs w:val="21"/>
                      <w:lang w:val="en-US" w:eastAsia="zh-CN"/>
                    </w:rPr>
                    <w:t>。</w:t>
                  </w:r>
                </w:p>
              </w:tc>
              <w:tc>
                <w:tcPr>
                  <w:tcW w:w="424" w:type="pct"/>
                  <w:vAlign w:val="center"/>
                </w:tcPr>
                <w:p w14:paraId="75A6FE59">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w:t>
                  </w:r>
                </w:p>
              </w:tc>
            </w:tr>
          </w:tbl>
          <w:p w14:paraId="6B002BAB">
            <w:pPr>
              <w:bidi w:val="0"/>
              <w:ind w:left="0" w:leftChars="0" w:firstLine="0" w:firstLineChars="0"/>
              <w:rPr>
                <w:b/>
                <w:bCs/>
              </w:rPr>
            </w:pPr>
            <w:r>
              <w:rPr>
                <w:rFonts w:hint="eastAsia"/>
                <w:b/>
                <w:bCs/>
              </w:rPr>
              <w:t>1.4产业政策符合性分析</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3378"/>
              <w:gridCol w:w="2475"/>
              <w:gridCol w:w="758"/>
            </w:tblGrid>
            <w:tr w14:paraId="350E2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22" w:type="dxa"/>
                  <w:tcBorders>
                    <w:tl2br w:val="nil"/>
                    <w:tr2bl w:val="nil"/>
                  </w:tcBorders>
                  <w:vAlign w:val="center"/>
                </w:tcPr>
                <w:p w14:paraId="163F4569">
                  <w:pPr>
                    <w:pStyle w:val="32"/>
                  </w:pPr>
                  <w:r>
                    <w:t>相关政策</w:t>
                  </w:r>
                </w:p>
              </w:tc>
              <w:tc>
                <w:tcPr>
                  <w:tcW w:w="3378" w:type="dxa"/>
                  <w:tcBorders>
                    <w:tl2br w:val="nil"/>
                    <w:tr2bl w:val="nil"/>
                  </w:tcBorders>
                  <w:vAlign w:val="center"/>
                </w:tcPr>
                <w:p w14:paraId="0D22FFE0">
                  <w:pPr>
                    <w:pStyle w:val="32"/>
                  </w:pPr>
                  <w:r>
                    <w:t>政策要求</w:t>
                  </w:r>
                </w:p>
              </w:tc>
              <w:tc>
                <w:tcPr>
                  <w:tcW w:w="2475" w:type="dxa"/>
                  <w:tcBorders>
                    <w:tl2br w:val="nil"/>
                    <w:tr2bl w:val="nil"/>
                  </w:tcBorders>
                  <w:vAlign w:val="center"/>
                </w:tcPr>
                <w:p w14:paraId="1D94D89A">
                  <w:pPr>
                    <w:pStyle w:val="32"/>
                  </w:pPr>
                  <w:r>
                    <w:t>本工程建设情况</w:t>
                  </w:r>
                </w:p>
              </w:tc>
              <w:tc>
                <w:tcPr>
                  <w:tcW w:w="758" w:type="dxa"/>
                  <w:tcBorders>
                    <w:tl2br w:val="nil"/>
                    <w:tr2bl w:val="nil"/>
                  </w:tcBorders>
                  <w:vAlign w:val="center"/>
                </w:tcPr>
                <w:p w14:paraId="4D384F46">
                  <w:pPr>
                    <w:pStyle w:val="32"/>
                  </w:pPr>
                  <w:r>
                    <w:t>符合性</w:t>
                  </w:r>
                </w:p>
              </w:tc>
            </w:tr>
            <w:tr w14:paraId="265DE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22" w:type="dxa"/>
                  <w:tcBorders>
                    <w:tl2br w:val="nil"/>
                    <w:tr2bl w:val="nil"/>
                  </w:tcBorders>
                  <w:vAlign w:val="center"/>
                </w:tcPr>
                <w:p w14:paraId="04F905C0">
                  <w:pPr>
                    <w:pStyle w:val="32"/>
                    <w:jc w:val="left"/>
                  </w:pPr>
                  <w:r>
                    <w:rPr>
                      <w:rFonts w:hint="eastAsia"/>
                    </w:rPr>
                    <w:t>《新疆维吾尔自治区国民经济和社会发展第十四个五年规划和2035年远景目标纲要》</w:t>
                  </w:r>
                </w:p>
              </w:tc>
              <w:tc>
                <w:tcPr>
                  <w:tcW w:w="3378" w:type="dxa"/>
                  <w:tcBorders>
                    <w:tl2br w:val="nil"/>
                    <w:tr2bl w:val="nil"/>
                  </w:tcBorders>
                  <w:vAlign w:val="center"/>
                </w:tcPr>
                <w:p w14:paraId="10158799">
                  <w:pPr>
                    <w:pStyle w:val="32"/>
                    <w:jc w:val="left"/>
                    <w:rPr>
                      <w:rFonts w:hint="eastAsia"/>
                    </w:rPr>
                  </w:pPr>
                  <w:r>
                    <w:rPr>
                      <w:rFonts w:hint="eastAsia"/>
                    </w:rPr>
                    <w:t>库尔勒、库车、阿克苏化工纺织产业集聚区。重点布局石油化工、化学纤维产业、纺织服装</w:t>
                  </w:r>
                </w:p>
                <w:p w14:paraId="56B3AC31">
                  <w:pPr>
                    <w:pStyle w:val="32"/>
                    <w:jc w:val="left"/>
                  </w:pPr>
                  <w:r>
                    <w:rPr>
                      <w:rFonts w:hint="eastAsia"/>
                    </w:rPr>
                    <w:t>及印染产业、新型建材、林果深加工等产业，建设大型油气生产加工基地。</w:t>
                  </w:r>
                </w:p>
              </w:tc>
              <w:tc>
                <w:tcPr>
                  <w:tcW w:w="2475" w:type="dxa"/>
                  <w:tcBorders>
                    <w:tl2br w:val="nil"/>
                    <w:tr2bl w:val="nil"/>
                  </w:tcBorders>
                  <w:vAlign w:val="center"/>
                </w:tcPr>
                <w:p w14:paraId="158366AE">
                  <w:pPr>
                    <w:pStyle w:val="32"/>
                    <w:jc w:val="left"/>
                  </w:pPr>
                  <w:r>
                    <w:rPr>
                      <w:rFonts w:hint="eastAsia"/>
                    </w:rPr>
                    <w:t>本项目属于加油、加气站</w:t>
                  </w:r>
                  <w:r>
                    <w:t>—</w:t>
                  </w:r>
                  <w:r>
                    <w:rPr>
                      <w:rFonts w:hint="eastAsia"/>
                    </w:rPr>
                    <w:t>城市建成区新建、扩建加油站，工艺简单且成熟。</w:t>
                  </w:r>
                </w:p>
              </w:tc>
              <w:tc>
                <w:tcPr>
                  <w:tcW w:w="758" w:type="dxa"/>
                  <w:tcBorders>
                    <w:tl2br w:val="nil"/>
                    <w:tr2bl w:val="nil"/>
                  </w:tcBorders>
                  <w:vAlign w:val="center"/>
                </w:tcPr>
                <w:p w14:paraId="47745578">
                  <w:pPr>
                    <w:pStyle w:val="32"/>
                  </w:pPr>
                  <w:r>
                    <w:rPr>
                      <w:rFonts w:hint="eastAsia"/>
                    </w:rPr>
                    <w:t>符合</w:t>
                  </w:r>
                </w:p>
              </w:tc>
            </w:tr>
            <w:tr w14:paraId="5E6E5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22" w:type="dxa"/>
                  <w:tcBorders>
                    <w:tl2br w:val="nil"/>
                    <w:tr2bl w:val="nil"/>
                  </w:tcBorders>
                  <w:vAlign w:val="center"/>
                </w:tcPr>
                <w:p w14:paraId="6FDFBF0E">
                  <w:pPr>
                    <w:pStyle w:val="32"/>
                    <w:jc w:val="left"/>
                  </w:pPr>
                  <w:r>
                    <w:rPr>
                      <w:rFonts w:hint="eastAsia"/>
                    </w:rPr>
                    <w:t>《新疆维吾尔自治区大气污染防治条例》</w:t>
                  </w:r>
                </w:p>
              </w:tc>
              <w:tc>
                <w:tcPr>
                  <w:tcW w:w="3378" w:type="dxa"/>
                  <w:tcBorders>
                    <w:tl2br w:val="nil"/>
                    <w:tr2bl w:val="nil"/>
                  </w:tcBorders>
                  <w:vAlign w:val="center"/>
                </w:tcPr>
                <w:p w14:paraId="10977715">
                  <w:pPr>
                    <w:pStyle w:val="32"/>
                    <w:jc w:val="left"/>
                  </w:pPr>
                  <w:r>
                    <w:rPr>
                      <w:rFonts w:hint="eastAsia"/>
                    </w:rPr>
                    <w:t>燃油、溶剂的储存、运输和销售，产生含挥发性有机物废气的生产和服务活动，应当按照家规定在密闭空间或者设备中进行，并安装、使用污染防治设施；无法密闭的，应当采取措施减少废气排放；石油、化工等排放挥发性有机物的企业事业单位和其他生产经营者在维修、检修时，应当按照技术规范，对生产装置系统的停运、倒空、清洗等环节实施挥发性有机物排放控制。新建储油库、储气库、加油加气站以及新登记油罐车、气罐车，应当按照国家有关规定安装油气回收装置并正常使用；已建储油库、储气库、加油加气站以及在用油罐车、气罐车，不符合国家有关规定的，应当限期完成回收治理。</w:t>
                  </w:r>
                </w:p>
              </w:tc>
              <w:tc>
                <w:tcPr>
                  <w:tcW w:w="2475" w:type="dxa"/>
                  <w:tcBorders>
                    <w:tl2br w:val="nil"/>
                    <w:tr2bl w:val="nil"/>
                  </w:tcBorders>
                  <w:vAlign w:val="center"/>
                </w:tcPr>
                <w:p w14:paraId="032F472B">
                  <w:pPr>
                    <w:pStyle w:val="32"/>
                    <w:jc w:val="left"/>
                  </w:pPr>
                  <w:r>
                    <w:rPr>
                      <w:rFonts w:hint="eastAsia"/>
                    </w:rPr>
                    <w:t>本项目严格按照《汽车加油加气加氢站技术标准》</w:t>
                  </w:r>
                  <w:r>
                    <w:rPr>
                      <w:rFonts w:hint="eastAsia"/>
                      <w:lang w:eastAsia="zh-CN"/>
                    </w:rPr>
                    <w:t>（</w:t>
                  </w:r>
                  <w:r>
                    <w:rPr>
                      <w:rFonts w:hint="eastAsia"/>
                    </w:rPr>
                    <w:t>GB50156-2021）要求进行密闭，并在卸油口与加油</w:t>
                  </w:r>
                  <w:r>
                    <w:rPr>
                      <w:rFonts w:hint="eastAsia"/>
                      <w:lang w:val="en-US" w:eastAsia="zh-CN"/>
                    </w:rPr>
                    <w:t>枪</w:t>
                  </w:r>
                  <w:r>
                    <w:rPr>
                      <w:rFonts w:hint="eastAsia"/>
                    </w:rPr>
                    <w:t>均设置了油气回收装置，可有效减少废气排放。</w:t>
                  </w:r>
                </w:p>
              </w:tc>
              <w:tc>
                <w:tcPr>
                  <w:tcW w:w="758" w:type="dxa"/>
                  <w:tcBorders>
                    <w:tl2br w:val="nil"/>
                    <w:tr2bl w:val="nil"/>
                  </w:tcBorders>
                  <w:vAlign w:val="center"/>
                </w:tcPr>
                <w:p w14:paraId="61F59A65">
                  <w:pPr>
                    <w:pStyle w:val="32"/>
                  </w:pPr>
                  <w:r>
                    <w:rPr>
                      <w:rFonts w:hint="eastAsia"/>
                    </w:rPr>
                    <w:t>符合</w:t>
                  </w:r>
                </w:p>
              </w:tc>
            </w:tr>
            <w:tr w14:paraId="2D3FA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622" w:type="dxa"/>
                  <w:tcBorders>
                    <w:tl2br w:val="nil"/>
                    <w:tr2bl w:val="nil"/>
                  </w:tcBorders>
                  <w:vAlign w:val="center"/>
                </w:tcPr>
                <w:p w14:paraId="4DFC3775">
                  <w:pPr>
                    <w:pStyle w:val="32"/>
                    <w:jc w:val="left"/>
                  </w:pPr>
                  <w:r>
                    <w:rPr>
                      <w:rFonts w:hint="eastAsia"/>
                    </w:rPr>
                    <w:t>《环境保护综合名录》（2021年版）</w:t>
                  </w:r>
                </w:p>
              </w:tc>
              <w:tc>
                <w:tcPr>
                  <w:tcW w:w="3378" w:type="dxa"/>
                  <w:tcBorders>
                    <w:tl2br w:val="nil"/>
                    <w:tr2bl w:val="nil"/>
                  </w:tcBorders>
                  <w:vAlign w:val="center"/>
                </w:tcPr>
                <w:p w14:paraId="76CB427A">
                  <w:pPr>
                    <w:pStyle w:val="32"/>
                    <w:jc w:val="left"/>
                  </w:pPr>
                  <w:r>
                    <w:rPr>
                      <w:rFonts w:hint="eastAsia"/>
                    </w:rPr>
                    <w:t>/</w:t>
                  </w:r>
                </w:p>
              </w:tc>
              <w:tc>
                <w:tcPr>
                  <w:tcW w:w="2475" w:type="dxa"/>
                  <w:tcBorders>
                    <w:tl2br w:val="nil"/>
                    <w:tr2bl w:val="nil"/>
                  </w:tcBorders>
                  <w:vAlign w:val="center"/>
                </w:tcPr>
                <w:p w14:paraId="47ECE4CC">
                  <w:pPr>
                    <w:pStyle w:val="32"/>
                    <w:jc w:val="left"/>
                  </w:pPr>
                  <w:r>
                    <w:rPr>
                      <w:rFonts w:hint="eastAsia"/>
                    </w:rPr>
                    <w:t>本项目属于加油、加气站</w:t>
                  </w:r>
                  <w:r>
                    <w:t>—</w:t>
                  </w:r>
                  <w:r>
                    <w:rPr>
                      <w:rFonts w:hint="eastAsia"/>
                    </w:rPr>
                    <w:t>城市建成区新建、扩建加油站，不属于《环境保护综合名录》（2021年版）中“高污染、高环境风险”产品名录，符合国家政策要求。</w:t>
                  </w:r>
                </w:p>
              </w:tc>
              <w:tc>
                <w:tcPr>
                  <w:tcW w:w="758" w:type="dxa"/>
                  <w:tcBorders>
                    <w:tl2br w:val="nil"/>
                    <w:tr2bl w:val="nil"/>
                  </w:tcBorders>
                  <w:vAlign w:val="center"/>
                </w:tcPr>
                <w:p w14:paraId="057C0595">
                  <w:pPr>
                    <w:pStyle w:val="32"/>
                  </w:pPr>
                  <w:r>
                    <w:rPr>
                      <w:rFonts w:hint="eastAsia"/>
                    </w:rPr>
                    <w:t>符合</w:t>
                  </w:r>
                </w:p>
              </w:tc>
            </w:tr>
            <w:tr w14:paraId="71668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622" w:type="dxa"/>
                  <w:tcBorders>
                    <w:tl2br w:val="nil"/>
                    <w:tr2bl w:val="nil"/>
                  </w:tcBorders>
                  <w:vAlign w:val="center"/>
                </w:tcPr>
                <w:p w14:paraId="28517CDC">
                  <w:pPr>
                    <w:pStyle w:val="32"/>
                    <w:jc w:val="left"/>
                  </w:pPr>
                  <w:r>
                    <w:rPr>
                      <w:rFonts w:hint="eastAsia"/>
                    </w:rPr>
                    <w:t>《新疆生态环境保护“十四五”规划》</w:t>
                  </w:r>
                </w:p>
              </w:tc>
              <w:tc>
                <w:tcPr>
                  <w:tcW w:w="3378" w:type="dxa"/>
                  <w:tcBorders>
                    <w:tl2br w:val="nil"/>
                    <w:tr2bl w:val="nil"/>
                  </w:tcBorders>
                  <w:vAlign w:val="center"/>
                </w:tcPr>
                <w:p w14:paraId="19E2C63C">
                  <w:pPr>
                    <w:pStyle w:val="32"/>
                    <w:jc w:val="left"/>
                  </w:pPr>
                  <w:r>
                    <w:rPr>
                      <w:rFonts w:hint="eastAsia"/>
                    </w:rPr>
                    <w:t>强化车油路联合管控。加强车辆环保管理，推进油品配套升级。加大油品销售的监管力度，加强油品质量监督检查，严厉打击非法生产、销售不合格油品行为，对于限期不达标的成品油加油站，依法整治或关停。建立完善兵地机动车信息共享机制，推动建立区域机动车污染防治一体化机制，实现兵地统一制度、统一标准、统一执法的机动车污染防治体系。</w:t>
                  </w:r>
                </w:p>
              </w:tc>
              <w:tc>
                <w:tcPr>
                  <w:tcW w:w="2475" w:type="dxa"/>
                  <w:tcBorders>
                    <w:tl2br w:val="nil"/>
                    <w:tr2bl w:val="nil"/>
                  </w:tcBorders>
                  <w:vAlign w:val="center"/>
                </w:tcPr>
                <w:p w14:paraId="2F0A3795">
                  <w:pPr>
                    <w:pStyle w:val="32"/>
                    <w:jc w:val="left"/>
                  </w:pPr>
                  <w:r>
                    <w:rPr>
                      <w:rFonts w:hint="eastAsia"/>
                    </w:rPr>
                    <w:t>本项目油品由</w:t>
                  </w:r>
                  <w:r>
                    <w:rPr>
                      <w:rFonts w:hint="eastAsia"/>
                      <w:color w:val="000000" w:themeColor="text1"/>
                      <w:highlight w:val="none"/>
                      <w:lang w:val="en-US" w:eastAsia="zh-CN"/>
                      <w14:textFill>
                        <w14:solidFill>
                          <w14:schemeClr w14:val="tx1"/>
                        </w14:solidFill>
                      </w14:textFill>
                    </w:rPr>
                    <w:t>中国石油天然气股份有限公司</w:t>
                  </w:r>
                  <w:r>
                    <w:rPr>
                      <w:rFonts w:hint="eastAsia"/>
                    </w:rPr>
                    <w:t>供给，符合国家第五阶段标准的车用汽、柴油。</w:t>
                  </w:r>
                </w:p>
              </w:tc>
              <w:tc>
                <w:tcPr>
                  <w:tcW w:w="758" w:type="dxa"/>
                  <w:tcBorders>
                    <w:tl2br w:val="nil"/>
                    <w:tr2bl w:val="nil"/>
                  </w:tcBorders>
                  <w:vAlign w:val="center"/>
                </w:tcPr>
                <w:p w14:paraId="4D8C3770">
                  <w:pPr>
                    <w:pStyle w:val="32"/>
                  </w:pPr>
                  <w:r>
                    <w:rPr>
                      <w:rFonts w:hint="eastAsia"/>
                    </w:rPr>
                    <w:t>符合</w:t>
                  </w:r>
                </w:p>
              </w:tc>
            </w:tr>
            <w:tr w14:paraId="38B8E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622" w:type="dxa"/>
                  <w:tcBorders>
                    <w:tl2br w:val="nil"/>
                    <w:tr2bl w:val="nil"/>
                  </w:tcBorders>
                  <w:vAlign w:val="center"/>
                </w:tcPr>
                <w:p w14:paraId="584D0E74">
                  <w:pPr>
                    <w:pStyle w:val="32"/>
                    <w:jc w:val="left"/>
                  </w:pPr>
                  <w:r>
                    <w:t>《巴音郭楞蒙古自治州大气污染防治行动计划实施方案》</w:t>
                  </w:r>
                </w:p>
              </w:tc>
              <w:tc>
                <w:tcPr>
                  <w:tcW w:w="3378" w:type="dxa"/>
                  <w:tcBorders>
                    <w:tl2br w:val="nil"/>
                    <w:tr2bl w:val="nil"/>
                  </w:tcBorders>
                  <w:vAlign w:val="center"/>
                </w:tcPr>
                <w:p w14:paraId="2182D1F8">
                  <w:pPr>
                    <w:pStyle w:val="32"/>
                    <w:jc w:val="left"/>
                  </w:pPr>
                  <w:r>
                    <w:rPr>
                      <w:rFonts w:hint="eastAsia"/>
                    </w:rPr>
                    <w:t>提升燃油品质2014年底前，全州供应符合国家第四阶段标准的车用柴油；在2017年底前，全州供应符合国家第</w:t>
                  </w:r>
                </w:p>
                <w:p w14:paraId="1F0A3C44">
                  <w:pPr>
                    <w:pStyle w:val="32"/>
                    <w:jc w:val="left"/>
                  </w:pPr>
                  <w:r>
                    <w:rPr>
                      <w:rFonts w:hint="eastAsia"/>
                    </w:rPr>
                    <w:t>五阶段标准的车用汽、柴油加强油品质量的监督检查，依法查处非法生产、销售不合格油品行为</w:t>
                  </w:r>
                </w:p>
              </w:tc>
              <w:tc>
                <w:tcPr>
                  <w:tcW w:w="2475" w:type="dxa"/>
                  <w:tcBorders>
                    <w:tl2br w:val="nil"/>
                    <w:tr2bl w:val="nil"/>
                  </w:tcBorders>
                  <w:vAlign w:val="center"/>
                </w:tcPr>
                <w:p w14:paraId="15882DBB">
                  <w:pPr>
                    <w:pStyle w:val="32"/>
                    <w:jc w:val="left"/>
                  </w:pPr>
                  <w:r>
                    <w:rPr>
                      <w:rFonts w:hint="eastAsia" w:ascii="Times New Roman" w:hAnsi="Times New Roman" w:cs="Times New Roman"/>
                    </w:rPr>
                    <w:t>本项目油品由</w:t>
                  </w:r>
                  <w:r>
                    <w:rPr>
                      <w:rFonts w:hint="eastAsia" w:ascii="Times New Roman" w:hAnsi="Times New Roman" w:cs="Times New Roman"/>
                      <w:lang w:val="en-US" w:eastAsia="zh-CN"/>
                    </w:rPr>
                    <w:t>中国石油天然气股份有限公司</w:t>
                  </w:r>
                  <w:r>
                    <w:rPr>
                      <w:rFonts w:hint="eastAsia" w:ascii="Times New Roman" w:hAnsi="Times New Roman" w:cs="Times New Roman"/>
                    </w:rPr>
                    <w:t>供给，符合国家第五阶段标准的车用汽</w:t>
                  </w:r>
                  <w:r>
                    <w:rPr>
                      <w:rFonts w:hint="eastAsia" w:ascii="Times New Roman" w:hAnsi="Times New Roman" w:cs="Times New Roman"/>
                      <w:lang w:val="en-US" w:eastAsia="zh-CN"/>
                    </w:rPr>
                    <w:t>油</w:t>
                  </w:r>
                  <w:r>
                    <w:rPr>
                      <w:rFonts w:hint="eastAsia" w:ascii="Times New Roman" w:hAnsi="Times New Roman" w:cs="Times New Roman"/>
                    </w:rPr>
                    <w:t>、柴油</w:t>
                  </w:r>
                  <w:r>
                    <w:rPr>
                      <w:rFonts w:hint="eastAsia"/>
                    </w:rPr>
                    <w:t>。</w:t>
                  </w:r>
                </w:p>
              </w:tc>
              <w:tc>
                <w:tcPr>
                  <w:tcW w:w="758" w:type="dxa"/>
                  <w:tcBorders>
                    <w:tl2br w:val="nil"/>
                    <w:tr2bl w:val="nil"/>
                  </w:tcBorders>
                  <w:vAlign w:val="center"/>
                </w:tcPr>
                <w:p w14:paraId="4BB8C78E">
                  <w:pPr>
                    <w:pStyle w:val="32"/>
                  </w:pPr>
                  <w:r>
                    <w:rPr>
                      <w:rFonts w:hint="eastAsia"/>
                    </w:rPr>
                    <w:t>符合</w:t>
                  </w:r>
                </w:p>
              </w:tc>
            </w:tr>
            <w:tr w14:paraId="25FBA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622" w:type="dxa"/>
                  <w:tcBorders>
                    <w:tl2br w:val="nil"/>
                    <w:tr2bl w:val="nil"/>
                  </w:tcBorders>
                  <w:vAlign w:val="center"/>
                </w:tcPr>
                <w:p w14:paraId="74213C01">
                  <w:pPr>
                    <w:pStyle w:val="32"/>
                    <w:jc w:val="left"/>
                  </w:pPr>
                  <w:r>
                    <w:rPr>
                      <w:rFonts w:hint="eastAsia"/>
                    </w:rPr>
                    <w:t>《巴音郭楞蒙古自治州“十四五”土壤、地下水和农村生态环境保护规划》</w:t>
                  </w:r>
                </w:p>
              </w:tc>
              <w:tc>
                <w:tcPr>
                  <w:tcW w:w="3378" w:type="dxa"/>
                  <w:tcBorders>
                    <w:tl2br w:val="nil"/>
                    <w:tr2bl w:val="nil"/>
                  </w:tcBorders>
                  <w:vAlign w:val="center"/>
                </w:tcPr>
                <w:p w14:paraId="1FC50D72">
                  <w:pPr>
                    <w:pStyle w:val="32"/>
                    <w:jc w:val="left"/>
                  </w:pPr>
                  <w:r>
                    <w:rPr>
                      <w:rFonts w:hint="eastAsia"/>
                    </w:rPr>
                    <w:t>加强危险废物监管和利用处置，完善危险废物集中处置利用能力结构和设施布局，建设小微企业危险废物集中收集站，推进有害废物处理处置能力建设，引导推进含油污泥处置、废矿物油回收利用能力过剩问题化解和布局优化。</w:t>
                  </w:r>
                </w:p>
                <w:p w14:paraId="398EC8A0">
                  <w:pPr>
                    <w:pStyle w:val="32"/>
                    <w:jc w:val="left"/>
                  </w:pPr>
                  <w:r>
                    <w:rPr>
                      <w:rFonts w:hint="eastAsia"/>
                    </w:rPr>
                    <w:t>对涉及有毒有害物质可能造成土壤污染的新（改、扩）建设项目进行环境影响评价，提出并落实防腐蚀、防渗漏、防遗撒等土壤污染防治具体措施。</w:t>
                  </w:r>
                </w:p>
              </w:tc>
              <w:tc>
                <w:tcPr>
                  <w:tcW w:w="2475" w:type="dxa"/>
                  <w:tcBorders>
                    <w:tl2br w:val="nil"/>
                    <w:tr2bl w:val="nil"/>
                  </w:tcBorders>
                  <w:vAlign w:val="center"/>
                </w:tcPr>
                <w:p w14:paraId="7311178A">
                  <w:pPr>
                    <w:pStyle w:val="32"/>
                    <w:jc w:val="left"/>
                  </w:pPr>
                  <w:r>
                    <w:rPr>
                      <w:rFonts w:hint="eastAsia"/>
                    </w:rPr>
                    <w:t>本项目危险废物贮存处置符合</w:t>
                  </w:r>
                  <w:r>
                    <w:t>《危险废物贮存污染控制标准》（GB18597-20</w:t>
                  </w:r>
                  <w:r>
                    <w:rPr>
                      <w:rFonts w:hint="eastAsia"/>
                    </w:rPr>
                    <w:t>23</w:t>
                  </w:r>
                  <w:r>
                    <w:t>）</w:t>
                  </w:r>
                  <w:r>
                    <w:rPr>
                      <w:rFonts w:hint="eastAsia"/>
                    </w:rPr>
                    <w:t>，清洗油罐工作及产生的</w:t>
                  </w:r>
                  <w:r>
                    <w:rPr>
                      <w:rFonts w:hint="eastAsia"/>
                      <w:lang w:val="en-US" w:eastAsia="zh-CN"/>
                    </w:rPr>
                    <w:t>油泥、</w:t>
                  </w:r>
                  <w:r>
                    <w:rPr>
                      <w:rFonts w:hint="eastAsia"/>
                    </w:rPr>
                    <w:t>废水由有资质的完成并处置，不在站内贮存。本项目建设满足《汽车加油加气加氢站技术标准》</w:t>
                  </w:r>
                  <w:r>
                    <w:rPr>
                      <w:rFonts w:hint="eastAsia"/>
                      <w:lang w:eastAsia="zh-CN"/>
                    </w:rPr>
                    <w:t>（</w:t>
                  </w:r>
                  <w:r>
                    <w:rPr>
                      <w:rFonts w:hint="eastAsia"/>
                    </w:rPr>
                    <w:t>GB50156-2021），均采用地埋式双层储罐，并安装油罐渗漏检测仪，严格落实各项环评措施后不会对土壤、地下水产生影响。</w:t>
                  </w:r>
                </w:p>
              </w:tc>
              <w:tc>
                <w:tcPr>
                  <w:tcW w:w="758" w:type="dxa"/>
                  <w:tcBorders>
                    <w:tl2br w:val="nil"/>
                    <w:tr2bl w:val="nil"/>
                  </w:tcBorders>
                  <w:vAlign w:val="center"/>
                </w:tcPr>
                <w:p w14:paraId="6FC5056F">
                  <w:pPr>
                    <w:pStyle w:val="32"/>
                    <w:rPr>
                      <w:rFonts w:hint="eastAsia"/>
                      <w:lang w:val="en-US" w:eastAsia="zh-CN"/>
                    </w:rPr>
                  </w:pPr>
                  <w:r>
                    <w:rPr>
                      <w:rFonts w:hint="eastAsia"/>
                      <w:lang w:val="en-US" w:eastAsia="zh-CN"/>
                    </w:rPr>
                    <w:t>符合</w:t>
                  </w:r>
                </w:p>
              </w:tc>
            </w:tr>
            <w:tr w14:paraId="5B28A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622" w:type="dxa"/>
                  <w:tcBorders>
                    <w:tl2br w:val="nil"/>
                    <w:tr2bl w:val="nil"/>
                  </w:tcBorders>
                  <w:vAlign w:val="center"/>
                </w:tcPr>
                <w:p w14:paraId="71F5C3F1">
                  <w:pPr>
                    <w:pStyle w:val="32"/>
                    <w:ind w:firstLine="0" w:firstLineChars="0"/>
                    <w:jc w:val="left"/>
                    <w:rPr>
                      <w:rFonts w:hint="eastAsia"/>
                      <w:lang w:val="en-US" w:eastAsia="zh-CN"/>
                    </w:rPr>
                  </w:pPr>
                  <w:r>
                    <w:rPr>
                      <w:rFonts w:hint="eastAsia"/>
                      <w:lang w:eastAsia="zh-CN"/>
                    </w:rPr>
                    <w:t>《</w:t>
                  </w:r>
                  <w:r>
                    <w:t>重点行业挥发性有机物综合治理方案</w:t>
                  </w:r>
                  <w:r>
                    <w:rPr>
                      <w:rFonts w:hint="eastAsia"/>
                      <w:lang w:eastAsia="zh-CN"/>
                    </w:rPr>
                    <w:t>》</w:t>
                  </w:r>
                </w:p>
              </w:tc>
              <w:tc>
                <w:tcPr>
                  <w:tcW w:w="3378" w:type="dxa"/>
                  <w:tcBorders>
                    <w:tl2br w:val="nil"/>
                    <w:tr2bl w:val="nil"/>
                  </w:tcBorders>
                  <w:vAlign w:val="center"/>
                </w:tcPr>
                <w:p w14:paraId="6A82ED9E">
                  <w:pPr>
                    <w:pStyle w:val="32"/>
                    <w:bidi w:val="0"/>
                    <w:ind w:firstLine="0" w:firstLineChars="0"/>
                    <w:jc w:val="left"/>
                    <w:rPr>
                      <w:rFonts w:hint="eastAsia"/>
                      <w:lang w:val="en-US" w:eastAsia="zh-CN"/>
                    </w:rPr>
                  </w:pPr>
                  <w:r>
                    <w:rPr>
                      <w:rFonts w:hint="default"/>
                      <w:lang w:val="en-US" w:eastAsia="zh-CN"/>
                    </w:rPr>
                    <w:t>深化加油站油气回收工作。O</w:t>
                  </w:r>
                  <w:r>
                    <w:rPr>
                      <w:rFonts w:hint="default"/>
                      <w:vertAlign w:val="subscript"/>
                      <w:lang w:val="en-US" w:eastAsia="zh-CN"/>
                    </w:rPr>
                    <w:t>3</w:t>
                  </w:r>
                  <w:r>
                    <w:rPr>
                      <w:rFonts w:hint="default"/>
                      <w:lang w:val="en-US" w:eastAsia="zh-CN"/>
                    </w:rPr>
                    <w:t>污染较重的地区，行政区域内大力推进加油站储油、加油油气回收治理工作，埋地油罐全面采用电子液位仪进行汽油密闭测量。规范油气回收设施运行，自行或聘请第三方加强加油枪气液比、系统密闭性及管线液阻等检查，提高检测频次，重点区域原则上每半年开展一次，确保油气回收系统正常运行。</w:t>
                  </w:r>
                </w:p>
              </w:tc>
              <w:tc>
                <w:tcPr>
                  <w:tcW w:w="2475" w:type="dxa"/>
                  <w:tcBorders>
                    <w:tl2br w:val="nil"/>
                    <w:tr2bl w:val="nil"/>
                  </w:tcBorders>
                  <w:vAlign w:val="center"/>
                </w:tcPr>
                <w:p w14:paraId="59517A98">
                  <w:pPr>
                    <w:pStyle w:val="32"/>
                    <w:ind w:firstLine="0" w:firstLineChars="0"/>
                    <w:jc w:val="left"/>
                    <w:rPr>
                      <w:rFonts w:hint="eastAsia"/>
                      <w:lang w:val="en-US" w:eastAsia="zh-CN"/>
                    </w:rPr>
                  </w:pPr>
                  <w:r>
                    <w:rPr>
                      <w:rFonts w:hint="eastAsia"/>
                      <w:lang w:val="en-US" w:eastAsia="zh-CN"/>
                    </w:rPr>
                    <w:t>本项目设有</w:t>
                  </w:r>
                  <w:r>
                    <w:rPr>
                      <w:rFonts w:hint="eastAsia"/>
                    </w:rPr>
                    <w:t>加油机真空泵油气回收</w:t>
                  </w:r>
                  <w:r>
                    <w:rPr>
                      <w:rFonts w:hint="eastAsia"/>
                      <w:lang w:val="en-US" w:eastAsia="zh-CN"/>
                    </w:rPr>
                    <w:t>装置，</w:t>
                  </w:r>
                  <w:r>
                    <w:rPr>
                      <w:rFonts w:hint="default"/>
                      <w:lang w:val="en-US" w:eastAsia="zh-CN"/>
                    </w:rPr>
                    <w:t>埋地油罐采用电子液位仪进行汽油密闭测量</w:t>
                  </w:r>
                  <w:r>
                    <w:rPr>
                      <w:rFonts w:hint="eastAsia"/>
                      <w:lang w:val="en-US" w:eastAsia="zh-CN"/>
                    </w:rPr>
                    <w:t>。本项目自行监测计划设定</w:t>
                  </w:r>
                  <w:r>
                    <w:rPr>
                      <w:rFonts w:hint="default"/>
                      <w:lang w:val="en-US" w:eastAsia="zh-CN"/>
                    </w:rPr>
                    <w:t>加油枪气液比、系统密闭性及管线液阻</w:t>
                  </w:r>
                  <w:r>
                    <w:rPr>
                      <w:rFonts w:hint="eastAsia"/>
                      <w:lang w:val="en-US" w:eastAsia="zh-CN"/>
                    </w:rPr>
                    <w:t>监测频次为一年一次，能够保证</w:t>
                  </w:r>
                  <w:r>
                    <w:rPr>
                      <w:rFonts w:hint="default"/>
                      <w:lang w:val="en-US" w:eastAsia="zh-CN"/>
                    </w:rPr>
                    <w:t>油气回收系统正常运行。</w:t>
                  </w:r>
                </w:p>
              </w:tc>
              <w:tc>
                <w:tcPr>
                  <w:tcW w:w="758" w:type="dxa"/>
                  <w:tcBorders>
                    <w:tl2br w:val="nil"/>
                    <w:tr2bl w:val="nil"/>
                  </w:tcBorders>
                  <w:vAlign w:val="center"/>
                </w:tcPr>
                <w:p w14:paraId="4EF171EA">
                  <w:pPr>
                    <w:pStyle w:val="32"/>
                    <w:rPr>
                      <w:rFonts w:hint="default"/>
                      <w:lang w:val="en-US" w:eastAsia="zh-CN"/>
                    </w:rPr>
                  </w:pPr>
                  <w:r>
                    <w:rPr>
                      <w:rFonts w:hint="eastAsia"/>
                      <w:lang w:val="en-US" w:eastAsia="zh-CN"/>
                    </w:rPr>
                    <w:t>符合</w:t>
                  </w:r>
                </w:p>
              </w:tc>
            </w:tr>
            <w:tr w14:paraId="6952B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622" w:type="dxa"/>
                  <w:tcBorders>
                    <w:tl2br w:val="nil"/>
                    <w:tr2bl w:val="nil"/>
                  </w:tcBorders>
                  <w:vAlign w:val="center"/>
                </w:tcPr>
                <w:p w14:paraId="7E8CFFF7">
                  <w:pPr>
                    <w:pStyle w:val="32"/>
                    <w:ind w:firstLine="0" w:firstLineChars="0"/>
                    <w:jc w:val="left"/>
                    <w:rPr>
                      <w:rFonts w:hint="eastAsia"/>
                      <w:lang w:val="en-US" w:eastAsia="zh-CN"/>
                    </w:rPr>
                  </w:pPr>
                  <w:r>
                    <w:t>《加油站大气污染物排放标准》</w:t>
                  </w:r>
                </w:p>
              </w:tc>
              <w:tc>
                <w:tcPr>
                  <w:tcW w:w="3378" w:type="dxa"/>
                  <w:tcBorders>
                    <w:tl2br w:val="nil"/>
                    <w:tr2bl w:val="nil"/>
                  </w:tcBorders>
                  <w:vAlign w:val="center"/>
                </w:tcPr>
                <w:p w14:paraId="3D68DBCA">
                  <w:pPr>
                    <w:pStyle w:val="32"/>
                    <w:ind w:firstLine="0" w:firstLineChars="0"/>
                    <w:jc w:val="left"/>
                    <w:rPr>
                      <w:rFonts w:hint="default"/>
                      <w:lang w:val="en-US" w:eastAsia="zh-CN"/>
                    </w:rPr>
                  </w:pPr>
                  <w:r>
                    <w:rPr>
                      <w:rFonts w:hint="eastAsia"/>
                      <w:lang w:val="en-US" w:eastAsia="zh-CN"/>
                    </w:rPr>
                    <w:t>/</w:t>
                  </w:r>
                </w:p>
              </w:tc>
              <w:tc>
                <w:tcPr>
                  <w:tcW w:w="2475" w:type="dxa"/>
                  <w:tcBorders>
                    <w:tl2br w:val="nil"/>
                    <w:tr2bl w:val="nil"/>
                  </w:tcBorders>
                  <w:vAlign w:val="center"/>
                </w:tcPr>
                <w:p w14:paraId="5171EA28">
                  <w:pPr>
                    <w:pStyle w:val="32"/>
                    <w:bidi w:val="0"/>
                    <w:rPr>
                      <w:rFonts w:hint="eastAsia"/>
                      <w:lang w:val="en-US" w:eastAsia="zh-CN"/>
                    </w:rPr>
                  </w:pPr>
                  <w:r>
                    <w:rPr>
                      <w:rFonts w:hint="eastAsia"/>
                      <w:lang w:val="en-US" w:eastAsia="zh-CN"/>
                    </w:rPr>
                    <w:t>本</w:t>
                  </w:r>
                  <w:r>
                    <w:rPr>
                      <w:rFonts w:hint="eastAsia"/>
                    </w:rPr>
                    <w:t>项目运营期厂界无组织废气执行</w:t>
                  </w:r>
                  <w:r>
                    <w:t>《</w:t>
                  </w:r>
                  <w:r>
                    <w:rPr>
                      <w:rFonts w:hint="eastAsia"/>
                    </w:rPr>
                    <w:t>加油站大气污染物排放标准</w:t>
                  </w:r>
                  <w:r>
                    <w:t>》</w:t>
                  </w:r>
                  <w:r>
                    <w:rPr>
                      <w:rFonts w:hint="eastAsia"/>
                    </w:rPr>
                    <w:t>（GB20952-2020）</w:t>
                  </w:r>
                  <w:r>
                    <w:t>表</w:t>
                  </w:r>
                  <w:r>
                    <w:rPr>
                      <w:rFonts w:hint="eastAsia"/>
                    </w:rPr>
                    <w:t>3中</w:t>
                  </w:r>
                  <w:r>
                    <w:t>无组织排放</w:t>
                  </w:r>
                  <w:r>
                    <w:rPr>
                      <w:rFonts w:hint="eastAsia"/>
                    </w:rPr>
                    <w:t>限值要求</w:t>
                  </w:r>
                  <w:r>
                    <w:rPr>
                      <w:rFonts w:hint="eastAsia"/>
                      <w:lang w:eastAsia="zh-CN"/>
                    </w:rPr>
                    <w:t>。</w:t>
                  </w:r>
                </w:p>
              </w:tc>
              <w:tc>
                <w:tcPr>
                  <w:tcW w:w="758" w:type="dxa"/>
                  <w:tcBorders>
                    <w:tl2br w:val="nil"/>
                    <w:tr2bl w:val="nil"/>
                  </w:tcBorders>
                  <w:vAlign w:val="center"/>
                </w:tcPr>
                <w:p w14:paraId="02B7FD35">
                  <w:pPr>
                    <w:pStyle w:val="32"/>
                    <w:rPr>
                      <w:rFonts w:hint="default"/>
                      <w:lang w:val="en-US" w:eastAsia="zh-CN"/>
                    </w:rPr>
                  </w:pPr>
                  <w:r>
                    <w:rPr>
                      <w:rFonts w:hint="eastAsia"/>
                      <w:lang w:val="en-US" w:eastAsia="zh-CN"/>
                    </w:rPr>
                    <w:t>符合</w:t>
                  </w:r>
                </w:p>
              </w:tc>
            </w:tr>
            <w:tr w14:paraId="78C1B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622" w:type="dxa"/>
                  <w:tcBorders>
                    <w:tl2br w:val="nil"/>
                    <w:tr2bl w:val="nil"/>
                  </w:tcBorders>
                  <w:vAlign w:val="center"/>
                </w:tcPr>
                <w:p w14:paraId="60013107">
                  <w:pPr>
                    <w:pStyle w:val="32"/>
                    <w:ind w:firstLine="0" w:firstLineChars="0"/>
                    <w:jc w:val="left"/>
                    <w:rPr>
                      <w:rFonts w:hint="eastAsia"/>
                      <w:lang w:val="en-US" w:eastAsia="zh-CN"/>
                    </w:rPr>
                  </w:pPr>
                  <w:r>
                    <w:t>《加油站地下水污染防治技术指南（试行）》</w:t>
                  </w:r>
                </w:p>
              </w:tc>
              <w:tc>
                <w:tcPr>
                  <w:tcW w:w="3378" w:type="dxa"/>
                  <w:tcBorders>
                    <w:tl2br w:val="nil"/>
                    <w:tr2bl w:val="nil"/>
                  </w:tcBorders>
                  <w:vAlign w:val="center"/>
                </w:tcPr>
                <w:p w14:paraId="4D23251B">
                  <w:pPr>
                    <w:pStyle w:val="32"/>
                    <w:ind w:firstLine="0" w:firstLineChars="0"/>
                    <w:jc w:val="left"/>
                    <w:rPr>
                      <w:rFonts w:hint="default"/>
                      <w:lang w:val="en-US" w:eastAsia="zh-CN"/>
                    </w:rPr>
                  </w:pPr>
                  <w:r>
                    <w:rPr>
                      <w:rFonts w:hint="eastAsia"/>
                      <w:lang w:val="en-US" w:eastAsia="zh-CN"/>
                    </w:rPr>
                    <w:t>/</w:t>
                  </w:r>
                </w:p>
              </w:tc>
              <w:tc>
                <w:tcPr>
                  <w:tcW w:w="2475" w:type="dxa"/>
                  <w:tcBorders>
                    <w:tl2br w:val="nil"/>
                    <w:tr2bl w:val="nil"/>
                  </w:tcBorders>
                  <w:vAlign w:val="center"/>
                </w:tcPr>
                <w:p w14:paraId="477AA0D4">
                  <w:pPr>
                    <w:pStyle w:val="32"/>
                    <w:bidi w:val="0"/>
                    <w:rPr>
                      <w:rFonts w:hint="default"/>
                      <w:lang w:val="en-US" w:eastAsia="zh-CN"/>
                    </w:rPr>
                  </w:pPr>
                  <w:r>
                    <w:rPr>
                      <w:rFonts w:hint="eastAsia"/>
                      <w:lang w:val="en-US" w:eastAsia="zh-CN"/>
                    </w:rPr>
                    <w:t>本项目</w:t>
                  </w:r>
                  <w:r>
                    <w:rPr>
                      <w:rFonts w:hint="eastAsia"/>
                    </w:rPr>
                    <w:t>严格按照《汽车加油加气加氢站技术标准》(GB50156-2021）要求进行罐区防腐防渗工作。针对可能对地下水造成影响的环节，按照“考虑重点，辐射全面”的防腐防渗原则，</w:t>
                  </w:r>
                  <w:r>
                    <w:rPr>
                      <w:rFonts w:hint="eastAsia"/>
                      <w:lang w:val="en-US" w:eastAsia="zh-CN"/>
                    </w:rPr>
                    <w:t>对站内进行分区防渗处理；</w:t>
                  </w:r>
                  <w:r>
                    <w:rPr>
                      <w:rFonts w:hint="eastAsia"/>
                    </w:rPr>
                    <w:t>埋地油罐和输油管道均为双层，储罐及工艺管道采用可靠的防腐</w:t>
                  </w:r>
                  <w:r>
                    <w:rPr>
                      <w:rFonts w:hint="eastAsia"/>
                      <w:lang w:val="en-US" w:eastAsia="zh-CN"/>
                    </w:rPr>
                    <w:t>防渗</w:t>
                  </w:r>
                  <w:r>
                    <w:rPr>
                      <w:rFonts w:hint="eastAsia"/>
                    </w:rPr>
                    <w:t>技术，对储油罐内外表面、储罐区地面、输油管线、液压撬体外表面均做可靠的防</w:t>
                  </w:r>
                  <w:r>
                    <w:rPr>
                      <w:rFonts w:hint="eastAsia"/>
                      <w:lang w:val="en-US" w:eastAsia="zh-CN"/>
                    </w:rPr>
                    <w:t>渗</w:t>
                  </w:r>
                  <w:r>
                    <w:rPr>
                      <w:rFonts w:hint="eastAsia"/>
                    </w:rPr>
                    <w:t>防腐处理。</w:t>
                  </w:r>
                </w:p>
              </w:tc>
              <w:tc>
                <w:tcPr>
                  <w:tcW w:w="758" w:type="dxa"/>
                  <w:tcBorders>
                    <w:tl2br w:val="nil"/>
                    <w:tr2bl w:val="nil"/>
                  </w:tcBorders>
                  <w:vAlign w:val="center"/>
                </w:tcPr>
                <w:p w14:paraId="31991DF5">
                  <w:pPr>
                    <w:pStyle w:val="32"/>
                    <w:rPr>
                      <w:rFonts w:hint="default"/>
                      <w:lang w:val="en-US" w:eastAsia="zh-CN"/>
                    </w:rPr>
                  </w:pPr>
                  <w:r>
                    <w:rPr>
                      <w:rFonts w:hint="eastAsia"/>
                      <w:lang w:val="en-US" w:eastAsia="zh-CN"/>
                    </w:rPr>
                    <w:t>符合</w:t>
                  </w:r>
                </w:p>
              </w:tc>
            </w:tr>
            <w:tr w14:paraId="6F13A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1622" w:type="dxa"/>
                  <w:tcBorders>
                    <w:tl2br w:val="nil"/>
                    <w:tr2bl w:val="nil"/>
                  </w:tcBorders>
                  <w:vAlign w:val="center"/>
                </w:tcPr>
                <w:p w14:paraId="42D9A575">
                  <w:pPr>
                    <w:pStyle w:val="32"/>
                    <w:ind w:firstLine="0" w:firstLineChars="0"/>
                    <w:jc w:val="left"/>
                  </w:pPr>
                  <w:r>
                    <w:rPr>
                      <w:rFonts w:hint="eastAsia"/>
                    </w:rPr>
                    <w:t>《汽车加油加气加氢站技术标准》</w:t>
                  </w:r>
                  <w:r>
                    <w:rPr>
                      <w:rFonts w:hint="eastAsia"/>
                      <w:lang w:eastAsia="zh-CN"/>
                    </w:rPr>
                    <w:t>（</w:t>
                  </w:r>
                  <w:r>
                    <w:rPr>
                      <w:rFonts w:hint="eastAsia"/>
                    </w:rPr>
                    <w:t>GB50156-2021</w:t>
                  </w:r>
                  <w:r>
                    <w:rPr>
                      <w:rFonts w:hint="eastAsia"/>
                      <w:lang w:eastAsia="zh-CN"/>
                    </w:rPr>
                    <w:t>）</w:t>
                  </w:r>
                </w:p>
              </w:tc>
              <w:tc>
                <w:tcPr>
                  <w:tcW w:w="3378" w:type="dxa"/>
                  <w:tcBorders>
                    <w:tl2br w:val="nil"/>
                    <w:tr2bl w:val="nil"/>
                  </w:tcBorders>
                  <w:vAlign w:val="center"/>
                </w:tcPr>
                <w:p w14:paraId="3D347AE8">
                  <w:pPr>
                    <w:pStyle w:val="32"/>
                    <w:ind w:firstLine="0" w:firstLineChars="0"/>
                    <w:jc w:val="left"/>
                    <w:rPr>
                      <w:rFonts w:hint="default"/>
                      <w:lang w:val="en-US" w:eastAsia="zh-CN"/>
                    </w:rPr>
                  </w:pPr>
                  <w:r>
                    <w:rPr>
                      <w:rFonts w:hint="eastAsia"/>
                      <w:lang w:val="en-US" w:eastAsia="zh-CN"/>
                    </w:rPr>
                    <w:t>/</w:t>
                  </w:r>
                </w:p>
              </w:tc>
              <w:tc>
                <w:tcPr>
                  <w:tcW w:w="2475" w:type="dxa"/>
                  <w:tcBorders>
                    <w:tl2br w:val="nil"/>
                    <w:tr2bl w:val="nil"/>
                  </w:tcBorders>
                  <w:vAlign w:val="center"/>
                </w:tcPr>
                <w:p w14:paraId="573C6A68">
                  <w:pPr>
                    <w:pStyle w:val="32"/>
                    <w:ind w:firstLine="0" w:firstLineChars="0"/>
                    <w:jc w:val="left"/>
                    <w:rPr>
                      <w:rFonts w:hint="eastAsia"/>
                      <w:lang w:val="en-US" w:eastAsia="zh-CN"/>
                    </w:rPr>
                  </w:pPr>
                  <w:r>
                    <w:rPr>
                      <w:rFonts w:hint="eastAsia"/>
                      <w:lang w:val="en-US" w:eastAsia="zh-CN"/>
                    </w:rPr>
                    <w:t>本项目</w:t>
                  </w:r>
                  <w:r>
                    <w:t>油罐、加油机与站外建（构）筑物的防火间距</w:t>
                  </w:r>
                  <w:r>
                    <w:rPr>
                      <w:rFonts w:hint="eastAsia"/>
                      <w:lang w:eastAsia="zh-CN"/>
                    </w:rPr>
                    <w:t>、</w:t>
                  </w:r>
                  <w:r>
                    <w:rPr>
                      <w:rFonts w:hint="eastAsia"/>
                    </w:rPr>
                    <w:t>罐区防腐防渗工作</w:t>
                  </w:r>
                  <w:r>
                    <w:rPr>
                      <w:rFonts w:hint="eastAsia"/>
                      <w:lang w:val="en-US" w:eastAsia="zh-CN"/>
                    </w:rPr>
                    <w:t>和厂区</w:t>
                  </w:r>
                  <w:r>
                    <w:t>平面布置</w:t>
                  </w:r>
                  <w:r>
                    <w:rPr>
                      <w:rFonts w:hint="eastAsia"/>
                      <w:lang w:val="en-US" w:eastAsia="zh-CN"/>
                    </w:rPr>
                    <w:t>均严格按照</w:t>
                  </w:r>
                  <w:r>
                    <w:rPr>
                      <w:rFonts w:hint="eastAsia"/>
                    </w:rPr>
                    <w:t>《汽车加油加气加氢站技术标准》</w:t>
                  </w:r>
                  <w:r>
                    <w:rPr>
                      <w:rFonts w:hint="eastAsia"/>
                      <w:lang w:eastAsia="zh-CN"/>
                    </w:rPr>
                    <w:t>（</w:t>
                  </w:r>
                  <w:r>
                    <w:rPr>
                      <w:rFonts w:hint="eastAsia"/>
                    </w:rPr>
                    <w:t>GB50156-2021</w:t>
                  </w:r>
                  <w:r>
                    <w:rPr>
                      <w:rFonts w:hint="eastAsia"/>
                      <w:lang w:eastAsia="zh-CN"/>
                    </w:rPr>
                    <w:t>）</w:t>
                  </w:r>
                  <w:r>
                    <w:rPr>
                      <w:rFonts w:hint="eastAsia"/>
                    </w:rPr>
                    <w:t>的要求和规定</w:t>
                  </w:r>
                  <w:r>
                    <w:rPr>
                      <w:rFonts w:hint="eastAsia"/>
                      <w:lang w:val="en-US" w:eastAsia="zh-CN"/>
                    </w:rPr>
                    <w:t>设计。</w:t>
                  </w:r>
                </w:p>
              </w:tc>
              <w:tc>
                <w:tcPr>
                  <w:tcW w:w="758" w:type="dxa"/>
                  <w:tcBorders>
                    <w:tl2br w:val="nil"/>
                    <w:tr2bl w:val="nil"/>
                  </w:tcBorders>
                  <w:vAlign w:val="center"/>
                </w:tcPr>
                <w:p w14:paraId="3489CAE4">
                  <w:pPr>
                    <w:pStyle w:val="32"/>
                    <w:rPr>
                      <w:rFonts w:hint="default"/>
                      <w:lang w:val="en-US" w:eastAsia="zh-CN"/>
                    </w:rPr>
                  </w:pPr>
                  <w:r>
                    <w:rPr>
                      <w:rFonts w:hint="eastAsia"/>
                      <w:lang w:val="en-US" w:eastAsia="zh-CN"/>
                    </w:rPr>
                    <w:t>符合</w:t>
                  </w:r>
                </w:p>
              </w:tc>
            </w:tr>
          </w:tbl>
          <w:p w14:paraId="776B64A9">
            <w:pPr>
              <w:ind w:left="0" w:leftChars="0" w:firstLine="0" w:firstLineChars="0"/>
            </w:pPr>
          </w:p>
        </w:tc>
      </w:tr>
    </w:tbl>
    <w:p w14:paraId="3FCAD5BD">
      <w:pPr>
        <w:pStyle w:val="4"/>
      </w:pPr>
      <w:r>
        <w:rPr>
          <w:rFonts w:hint="eastAsia"/>
        </w:rPr>
        <w:t>二、建设项目工程分析</w:t>
      </w:r>
    </w:p>
    <w:tbl>
      <w:tblPr>
        <w:tblStyle w:val="20"/>
        <w:tblW w:w="92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787"/>
      </w:tblGrid>
      <w:tr w14:paraId="1ED5E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90" w:hRule="atLeast"/>
          <w:jc w:val="center"/>
        </w:trPr>
        <w:tc>
          <w:tcPr>
            <w:tcW w:w="459" w:type="dxa"/>
            <w:vAlign w:val="center"/>
          </w:tcPr>
          <w:p w14:paraId="4B14EF01">
            <w:pPr>
              <w:pStyle w:val="16"/>
              <w:adjustRightInd w:val="0"/>
              <w:snapToGrid w:val="0"/>
              <w:spacing w:before="0" w:beforeAutospacing="0" w:after="0" w:afterAutospacing="0"/>
              <w:ind w:firstLine="0" w:firstLineChars="0"/>
              <w:jc w:val="center"/>
              <w:rPr>
                <w:rFonts w:cs="宋体"/>
                <w:sz w:val="21"/>
                <w:szCs w:val="21"/>
              </w:rPr>
            </w:pPr>
            <w:r>
              <w:rPr>
                <w:rFonts w:hint="eastAsia" w:cs="宋体"/>
                <w:sz w:val="21"/>
                <w:szCs w:val="21"/>
              </w:rPr>
              <w:t>建设内容</w:t>
            </w:r>
          </w:p>
        </w:tc>
        <w:tc>
          <w:tcPr>
            <w:tcW w:w="8787" w:type="dxa"/>
          </w:tcPr>
          <w:p w14:paraId="70B226EF">
            <w:pPr>
              <w:ind w:firstLine="0" w:firstLineChars="0"/>
              <w:rPr>
                <w:rFonts w:hint="eastAsia" w:eastAsia="宋体"/>
                <w:b/>
                <w:color w:val="000000"/>
                <w:lang w:eastAsia="zh-CN"/>
              </w:rPr>
            </w:pPr>
            <w:r>
              <w:rPr>
                <w:rFonts w:hint="eastAsia"/>
                <w:b/>
                <w:color w:val="000000"/>
              </w:rPr>
              <w:t>2.1</w:t>
            </w:r>
            <w:r>
              <w:rPr>
                <w:rFonts w:hint="eastAsia"/>
                <w:b/>
                <w:color w:val="000000"/>
                <w:lang w:val="en-US" w:eastAsia="zh-CN"/>
              </w:rPr>
              <w:t>项目由来</w:t>
            </w:r>
          </w:p>
          <w:p w14:paraId="2A79466D">
            <w:pPr>
              <w:ind w:firstLine="480"/>
              <w:textAlignment w:val="auto"/>
              <w:rPr>
                <w:rFonts w:hint="eastAsia" w:cs="Times New Roman"/>
                <w:szCs w:val="24"/>
              </w:rPr>
            </w:pPr>
            <w:r>
              <w:rPr>
                <w:rFonts w:hint="eastAsia"/>
                <w:lang w:val="en-US" w:eastAsia="zh-CN"/>
              </w:rPr>
              <w:t>和顺物流能源站</w:t>
            </w:r>
            <w:r>
              <w:rPr>
                <w:rFonts w:hint="eastAsia"/>
              </w:rPr>
              <w:t>建设项目</w:t>
            </w:r>
            <w:r>
              <w:t>规划用地</w:t>
            </w:r>
            <w:r>
              <w:rPr>
                <w:rFonts w:hint="eastAsia"/>
                <w:lang w:val="en-US" w:eastAsia="zh-CN"/>
              </w:rPr>
              <w:t>8500</w:t>
            </w:r>
            <w:r>
              <w:t>m</w:t>
            </w:r>
            <w:r>
              <w:rPr>
                <w:vertAlign w:val="superscript"/>
              </w:rPr>
              <w:t>2</w:t>
            </w:r>
            <w:r>
              <w:rPr>
                <w:rFonts w:hint="eastAsia"/>
                <w:lang w:eastAsia="zh-CN"/>
              </w:rPr>
              <w:t>，</w:t>
            </w:r>
            <w:r>
              <w:rPr>
                <w:rFonts w:hint="eastAsia" w:cs="Times New Roman"/>
                <w:szCs w:val="24"/>
                <w:lang w:val="en-US" w:eastAsia="zh-CN"/>
              </w:rPr>
              <w:t>新</w:t>
            </w:r>
            <w:r>
              <w:rPr>
                <w:rFonts w:hint="default" w:ascii="Times New Roman" w:hAnsi="Times New Roman" w:cs="Times New Roman"/>
                <w:szCs w:val="24"/>
                <w:lang w:val="en-US" w:eastAsia="zh-CN"/>
              </w:rPr>
              <w:t>建</w:t>
            </w:r>
            <w:r>
              <w:rPr>
                <w:rFonts w:hint="eastAsia" w:ascii="Times New Roman" w:hAnsi="Times New Roman" w:cs="Times New Roman"/>
                <w:szCs w:val="24"/>
                <w:lang w:val="en-US" w:eastAsia="zh-CN"/>
              </w:rPr>
              <w:t>1座1</w:t>
            </w:r>
            <w:r>
              <w:rPr>
                <w:rFonts w:hint="default" w:ascii="Times New Roman" w:hAnsi="Times New Roman" w:cs="Times New Roman"/>
                <w:szCs w:val="24"/>
                <w:lang w:val="en-US" w:eastAsia="zh-CN"/>
              </w:rPr>
              <w:t>层</w:t>
            </w:r>
            <w:r>
              <w:rPr>
                <w:rFonts w:hint="eastAsia" w:ascii="Times New Roman" w:hAnsi="Times New Roman" w:cs="Times New Roman"/>
                <w:szCs w:val="24"/>
                <w:lang w:val="en-US" w:eastAsia="zh-CN"/>
              </w:rPr>
              <w:t>砖混结构站房（建筑面积</w:t>
            </w:r>
            <w:r>
              <w:rPr>
                <w:rFonts w:hint="default" w:ascii="Times New Roman" w:hAnsi="Times New Roman" w:cs="Times New Roman"/>
                <w:szCs w:val="24"/>
                <w:lang w:val="en-US" w:eastAsia="zh-CN"/>
              </w:rPr>
              <w:t>198.02</w:t>
            </w:r>
            <w:r>
              <w:rPr>
                <w:rFonts w:hint="eastAsia" w:ascii="Times New Roman" w:hAnsi="Times New Roman" w:cs="Times New Roman"/>
                <w:szCs w:val="24"/>
                <w:lang w:val="en-US" w:eastAsia="zh-CN"/>
              </w:rPr>
              <w:t>m</w:t>
            </w:r>
            <w:r>
              <w:rPr>
                <w:rFonts w:hint="eastAsia" w:ascii="Times New Roman" w:hAnsi="Times New Roman" w:cs="Times New Roman"/>
                <w:szCs w:val="24"/>
                <w:vertAlign w:val="superscript"/>
                <w:lang w:val="en-US" w:eastAsia="zh-CN"/>
              </w:rPr>
              <w:t>2</w:t>
            </w:r>
            <w:r>
              <w:rPr>
                <w:rFonts w:hint="eastAsia" w:ascii="Times New Roman" w:hAnsi="Times New Roman" w:cs="Times New Roman"/>
                <w:szCs w:val="24"/>
                <w:lang w:val="en-US" w:eastAsia="zh-CN"/>
              </w:rPr>
              <w:t>）</w:t>
            </w:r>
            <w:r>
              <w:rPr>
                <w:rFonts w:hint="default" w:ascii="Times New Roman" w:hAnsi="Times New Roman" w:cs="Times New Roman"/>
                <w:szCs w:val="24"/>
                <w:lang w:val="en-US" w:eastAsia="zh-CN"/>
              </w:rPr>
              <w:t>；</w:t>
            </w:r>
            <w:r>
              <w:rPr>
                <w:rFonts w:hint="eastAsia" w:ascii="Times New Roman" w:hAnsi="Times New Roman" w:cs="Times New Roman"/>
                <w:szCs w:val="24"/>
                <w:lang w:val="en-US" w:eastAsia="zh-CN"/>
              </w:rPr>
              <w:t>1座钢网架结构</w:t>
            </w:r>
            <w:r>
              <w:rPr>
                <w:rFonts w:hint="default" w:ascii="Times New Roman" w:hAnsi="Times New Roman" w:cs="Times New Roman"/>
                <w:szCs w:val="24"/>
                <w:lang w:val="en-US" w:eastAsia="zh-CN"/>
              </w:rPr>
              <w:t>罩棚</w:t>
            </w:r>
            <w:r>
              <w:rPr>
                <w:rFonts w:hint="eastAsia" w:cs="Times New Roman"/>
                <w:szCs w:val="24"/>
                <w:lang w:val="en-US" w:eastAsia="zh-CN"/>
              </w:rPr>
              <w:t>（</w:t>
            </w:r>
            <w:r>
              <w:rPr>
                <w:rFonts w:hint="default" w:ascii="Times New Roman" w:hAnsi="Times New Roman" w:cs="Times New Roman"/>
                <w:szCs w:val="24"/>
                <w:lang w:val="en-US" w:eastAsia="zh-CN"/>
              </w:rPr>
              <w:t>投影面积1650</w:t>
            </w:r>
            <w:r>
              <w:rPr>
                <w:rFonts w:hint="eastAsia" w:ascii="Times New Roman" w:hAnsi="Times New Roman" w:cs="Times New Roman"/>
                <w:szCs w:val="24"/>
                <w:lang w:val="en-US" w:eastAsia="zh-CN"/>
              </w:rPr>
              <w:t>m</w:t>
            </w:r>
            <w:r>
              <w:rPr>
                <w:rFonts w:hint="eastAsia" w:ascii="Times New Roman" w:hAnsi="Times New Roman" w:cs="Times New Roman"/>
                <w:szCs w:val="24"/>
                <w:vertAlign w:val="superscript"/>
                <w:lang w:val="en-US" w:eastAsia="zh-CN"/>
              </w:rPr>
              <w:t>2</w:t>
            </w:r>
            <w:r>
              <w:rPr>
                <w:rFonts w:hint="eastAsia" w:ascii="Times New Roman" w:hAnsi="Times New Roman" w:cs="Times New Roman"/>
                <w:szCs w:val="24"/>
                <w:lang w:val="en-US" w:eastAsia="zh-CN"/>
              </w:rPr>
              <w:t>）</w:t>
            </w:r>
            <w:r>
              <w:rPr>
                <w:rFonts w:hint="default" w:ascii="Times New Roman" w:hAnsi="Times New Roman" w:cs="Times New Roman"/>
                <w:szCs w:val="24"/>
                <w:lang w:val="en-US" w:eastAsia="zh-CN"/>
              </w:rPr>
              <w:t>。</w:t>
            </w:r>
            <w:r>
              <w:rPr>
                <w:rFonts w:hint="eastAsia" w:ascii="Times New Roman" w:hAnsi="Times New Roman" w:cs="Times New Roman"/>
                <w:szCs w:val="24"/>
                <w:lang w:val="en-US" w:eastAsia="zh-CN"/>
              </w:rPr>
              <w:t>加油部分建设</w:t>
            </w:r>
            <w:r>
              <w:rPr>
                <w:rFonts w:hint="eastAsia" w:cs="Times New Roman"/>
                <w:szCs w:val="24"/>
                <w:lang w:val="en-US" w:eastAsia="zh-CN"/>
              </w:rPr>
              <w:t>1座</w:t>
            </w:r>
            <w:r>
              <w:rPr>
                <w:rFonts w:hint="default" w:ascii="Times New Roman" w:hAnsi="Times New Roman" w:cs="Times New Roman"/>
                <w:szCs w:val="24"/>
                <w:lang w:val="en-US" w:eastAsia="zh-CN"/>
              </w:rPr>
              <w:t>30m</w:t>
            </w:r>
            <w:r>
              <w:rPr>
                <w:rFonts w:hint="eastAsia" w:ascii="Times New Roman" w:hAnsi="Times New Roman" w:cs="Times New Roman"/>
                <w:szCs w:val="24"/>
                <w:vertAlign w:val="superscript"/>
                <w:lang w:val="en-US" w:eastAsia="zh-CN"/>
              </w:rPr>
              <w:t>3</w:t>
            </w:r>
            <w:r>
              <w:rPr>
                <w:rFonts w:hint="default" w:ascii="Times New Roman" w:hAnsi="Times New Roman" w:cs="Times New Roman"/>
                <w:szCs w:val="24"/>
                <w:lang w:val="en-US" w:eastAsia="zh-CN"/>
              </w:rPr>
              <w:t>SF双层埋地汽油罐、</w:t>
            </w:r>
            <w:r>
              <w:rPr>
                <w:rFonts w:hint="eastAsia" w:cs="Times New Roman"/>
                <w:szCs w:val="24"/>
                <w:lang w:val="en-US" w:eastAsia="zh-CN"/>
              </w:rPr>
              <w:t>1座</w:t>
            </w:r>
            <w:r>
              <w:rPr>
                <w:rFonts w:hint="default" w:ascii="Times New Roman" w:hAnsi="Times New Roman" w:cs="Times New Roman"/>
                <w:szCs w:val="24"/>
                <w:lang w:val="en-US" w:eastAsia="zh-CN"/>
              </w:rPr>
              <w:t>25m</w:t>
            </w:r>
            <w:r>
              <w:rPr>
                <w:rFonts w:hint="eastAsia" w:ascii="Times New Roman" w:hAnsi="Times New Roman" w:cs="Times New Roman"/>
                <w:szCs w:val="24"/>
                <w:vertAlign w:val="superscript"/>
                <w:lang w:val="en-US" w:eastAsia="zh-CN"/>
              </w:rPr>
              <w:t>3</w:t>
            </w:r>
            <w:r>
              <w:rPr>
                <w:rFonts w:hint="default" w:ascii="Times New Roman" w:hAnsi="Times New Roman" w:cs="Times New Roman"/>
                <w:szCs w:val="24"/>
                <w:lang w:val="en-US" w:eastAsia="zh-CN"/>
              </w:rPr>
              <w:t>SF双层埋地汽油罐、</w:t>
            </w:r>
            <w:r>
              <w:rPr>
                <w:rFonts w:hint="eastAsia" w:cs="Times New Roman"/>
                <w:szCs w:val="24"/>
                <w:lang w:val="en-US" w:eastAsia="zh-CN"/>
              </w:rPr>
              <w:t>2座</w:t>
            </w:r>
            <w:r>
              <w:rPr>
                <w:rFonts w:hint="default" w:ascii="Times New Roman" w:hAnsi="Times New Roman" w:cs="Times New Roman"/>
                <w:szCs w:val="24"/>
                <w:lang w:val="en-US" w:eastAsia="zh-CN"/>
              </w:rPr>
              <w:t>30m</w:t>
            </w:r>
            <w:r>
              <w:rPr>
                <w:rFonts w:hint="eastAsia" w:ascii="Times New Roman" w:hAnsi="Times New Roman" w:cs="Times New Roman"/>
                <w:szCs w:val="24"/>
                <w:vertAlign w:val="superscript"/>
                <w:lang w:val="en-US" w:eastAsia="zh-CN"/>
              </w:rPr>
              <w:t>3</w:t>
            </w:r>
            <w:r>
              <w:rPr>
                <w:rFonts w:hint="default" w:ascii="Times New Roman" w:hAnsi="Times New Roman" w:cs="Times New Roman"/>
                <w:szCs w:val="24"/>
                <w:lang w:val="en-US" w:eastAsia="zh-CN"/>
              </w:rPr>
              <w:t>SF双层埋地柴油罐</w:t>
            </w:r>
            <w:r>
              <w:rPr>
                <w:rFonts w:hint="eastAsia" w:cs="Times New Roman"/>
                <w:szCs w:val="24"/>
                <w:vertAlign w:val="baseline"/>
                <w:lang w:val="en-US" w:eastAsia="zh-CN"/>
              </w:rPr>
              <w:t>；</w:t>
            </w:r>
            <w:r>
              <w:rPr>
                <w:rFonts w:hint="eastAsia" w:cs="Times New Roman"/>
                <w:szCs w:val="24"/>
                <w:lang w:val="en-US" w:eastAsia="zh-CN"/>
              </w:rPr>
              <w:t>加气部分建设</w:t>
            </w:r>
            <w:r>
              <w:rPr>
                <w:rFonts w:hint="eastAsia" w:ascii="Times New Roman" w:hAnsi="Times New Roman" w:cs="Times New Roman"/>
                <w:szCs w:val="24"/>
                <w:lang w:val="en-US" w:eastAsia="zh-CN"/>
              </w:rPr>
              <w:t>1</w:t>
            </w:r>
            <w:r>
              <w:rPr>
                <w:rFonts w:hint="default" w:ascii="Times New Roman" w:hAnsi="Times New Roman" w:cs="Times New Roman"/>
                <w:szCs w:val="24"/>
                <w:lang w:val="en-US" w:eastAsia="zh-CN"/>
              </w:rPr>
              <w:t>座60m</w:t>
            </w:r>
            <w:r>
              <w:rPr>
                <w:rFonts w:hint="eastAsia" w:ascii="Times New Roman" w:hAnsi="Times New Roman" w:cs="Times New Roman"/>
                <w:szCs w:val="24"/>
                <w:vertAlign w:val="superscript"/>
                <w:lang w:val="en-US" w:eastAsia="zh-CN"/>
              </w:rPr>
              <w:t>3</w:t>
            </w:r>
            <w:r>
              <w:rPr>
                <w:rFonts w:hint="default" w:ascii="Times New Roman" w:hAnsi="Times New Roman" w:cs="Times New Roman"/>
                <w:szCs w:val="24"/>
                <w:lang w:val="en-US" w:eastAsia="zh-CN"/>
              </w:rPr>
              <w:t>LNG</w:t>
            </w:r>
            <w:r>
              <w:rPr>
                <w:rFonts w:hint="eastAsia" w:ascii="Times New Roman" w:hAnsi="Times New Roman" w:cs="Times New Roman"/>
                <w:szCs w:val="24"/>
                <w:lang w:val="en-US" w:eastAsia="zh-CN"/>
              </w:rPr>
              <w:t>立式</w:t>
            </w:r>
            <w:r>
              <w:rPr>
                <w:rFonts w:hint="default" w:ascii="Times New Roman" w:hAnsi="Times New Roman" w:cs="Times New Roman"/>
                <w:szCs w:val="24"/>
                <w:lang w:val="en-US" w:eastAsia="zh-CN"/>
              </w:rPr>
              <w:t>储罐，</w:t>
            </w:r>
            <w:r>
              <w:rPr>
                <w:rFonts w:hint="eastAsia" w:ascii="Times New Roman" w:hAnsi="Times New Roman" w:cs="Times New Roman"/>
                <w:szCs w:val="24"/>
                <w:lang w:val="en-US" w:eastAsia="zh-CN"/>
              </w:rPr>
              <w:t>1</w:t>
            </w:r>
            <w:r>
              <w:rPr>
                <w:rFonts w:hint="default" w:ascii="Times New Roman" w:hAnsi="Times New Roman" w:cs="Times New Roman"/>
                <w:szCs w:val="24"/>
                <w:lang w:val="en-US" w:eastAsia="zh-CN"/>
              </w:rPr>
              <w:t>座LNG潜液泵橇，</w:t>
            </w:r>
            <w:r>
              <w:rPr>
                <w:rFonts w:hint="eastAsia" w:cs="Times New Roman"/>
                <w:szCs w:val="24"/>
                <w:lang w:val="en-US" w:eastAsia="zh-CN"/>
              </w:rPr>
              <w:t>2台LNG加气机，</w:t>
            </w:r>
            <w:r>
              <w:rPr>
                <w:rFonts w:hint="eastAsia" w:ascii="Times New Roman" w:hAnsi="Times New Roman" w:cs="Times New Roman"/>
                <w:szCs w:val="24"/>
                <w:lang w:val="en-US" w:eastAsia="zh-CN"/>
              </w:rPr>
              <w:t>1</w:t>
            </w:r>
            <w:r>
              <w:rPr>
                <w:rFonts w:hint="default" w:ascii="Times New Roman" w:hAnsi="Times New Roman" w:cs="Times New Roman"/>
                <w:szCs w:val="24"/>
                <w:lang w:val="en-US" w:eastAsia="zh-CN"/>
              </w:rPr>
              <w:t>座6m</w:t>
            </w:r>
            <w:r>
              <w:rPr>
                <w:rFonts w:hint="eastAsia" w:ascii="Times New Roman" w:hAnsi="Times New Roman" w:cs="Times New Roman"/>
                <w:szCs w:val="24"/>
                <w:vertAlign w:val="superscript"/>
                <w:lang w:val="en-US" w:eastAsia="zh-CN"/>
              </w:rPr>
              <w:t>3</w:t>
            </w:r>
            <w:r>
              <w:rPr>
                <w:rFonts w:hint="default" w:ascii="Times New Roman" w:hAnsi="Times New Roman" w:cs="Times New Roman"/>
                <w:szCs w:val="24"/>
                <w:lang w:val="en-US" w:eastAsia="zh-CN"/>
              </w:rPr>
              <w:t>CNG储气瓶组，2台</w:t>
            </w:r>
            <w:r>
              <w:rPr>
                <w:rFonts w:hint="eastAsia" w:ascii="Times New Roman" w:hAnsi="Times New Roman" w:cs="Times New Roman"/>
                <w:szCs w:val="24"/>
                <w:lang w:val="en-US" w:eastAsia="zh-CN"/>
              </w:rPr>
              <w:t>天然气</w:t>
            </w:r>
            <w:r>
              <w:rPr>
                <w:rFonts w:hint="default" w:ascii="Times New Roman" w:hAnsi="Times New Roman" w:cs="Times New Roman"/>
                <w:szCs w:val="24"/>
                <w:lang w:val="en-US" w:eastAsia="zh-CN"/>
              </w:rPr>
              <w:t>压缩机，</w:t>
            </w:r>
            <w:r>
              <w:rPr>
                <w:rFonts w:hint="eastAsia" w:ascii="Times New Roman" w:hAnsi="Times New Roman" w:cs="Times New Roman"/>
                <w:szCs w:val="24"/>
                <w:lang w:val="en-US" w:eastAsia="zh-CN"/>
              </w:rPr>
              <w:t>4</w:t>
            </w:r>
            <w:r>
              <w:rPr>
                <w:rFonts w:hint="default" w:ascii="Times New Roman" w:hAnsi="Times New Roman" w:cs="Times New Roman"/>
                <w:szCs w:val="24"/>
                <w:lang w:val="en-US" w:eastAsia="zh-CN"/>
              </w:rPr>
              <w:t>台</w:t>
            </w:r>
            <w:r>
              <w:rPr>
                <w:rFonts w:hint="eastAsia" w:cs="Times New Roman"/>
                <w:szCs w:val="24"/>
                <w:lang w:val="en-US" w:eastAsia="zh-CN"/>
              </w:rPr>
              <w:t>双枪</w:t>
            </w:r>
            <w:r>
              <w:rPr>
                <w:rFonts w:hint="default" w:ascii="Times New Roman" w:hAnsi="Times New Roman" w:cs="Times New Roman"/>
                <w:szCs w:val="24"/>
                <w:lang w:val="en-US" w:eastAsia="zh-CN"/>
              </w:rPr>
              <w:t>CNG加气机，1台卸气柱；</w:t>
            </w:r>
            <w:r>
              <w:rPr>
                <w:rFonts w:hint="eastAsia" w:ascii="Times New Roman" w:hAnsi="Times New Roman" w:cs="Times New Roman"/>
                <w:szCs w:val="24"/>
                <w:lang w:val="en-US" w:eastAsia="zh-CN"/>
              </w:rPr>
              <w:t>建设1座加油加气站专用400kVA箱变站，</w:t>
            </w:r>
            <w:r>
              <w:rPr>
                <w:rFonts w:hint="default" w:ascii="Times New Roman" w:hAnsi="Times New Roman" w:cs="Times New Roman"/>
                <w:szCs w:val="24"/>
                <w:lang w:val="en-US" w:eastAsia="zh-CN"/>
              </w:rPr>
              <w:t>站内供排水系统、地面硬化、环保卫生间、消防、供暖等配套附属设施。</w:t>
            </w:r>
          </w:p>
          <w:p w14:paraId="2F7AC883">
            <w:pPr>
              <w:ind w:firstLine="480"/>
              <w:textAlignment w:val="auto"/>
              <w:rPr>
                <w:rFonts w:cs="Times New Roman"/>
                <w:szCs w:val="24"/>
              </w:rPr>
            </w:pPr>
            <w:r>
              <w:rPr>
                <w:rFonts w:hint="eastAsia"/>
                <w:lang w:val="en-US" w:eastAsia="zh-CN"/>
              </w:rPr>
              <w:t>根据《建设项目环境影响评价分类管理名录（2021版）》，该项目行业类别属于</w:t>
            </w:r>
            <w:r>
              <w:rPr>
                <w:rFonts w:hint="eastAsia" w:cs="Times New Roman"/>
                <w:szCs w:val="24"/>
              </w:rPr>
              <w:t>“五十、社会事业与服务业119加油、加气站城市建成区新建、扩建加油站”</w:t>
            </w:r>
            <w:r>
              <w:rPr>
                <w:rFonts w:hint="eastAsia"/>
                <w:lang w:val="en-US" w:eastAsia="zh-CN"/>
              </w:rPr>
              <w:t>需要编制</w:t>
            </w:r>
            <w:r>
              <w:rPr>
                <w:rFonts w:hint="eastAsia" w:ascii="宋体" w:hAnsi="宋体" w:eastAsia="宋体" w:cs="宋体"/>
                <w:bCs/>
                <w:color w:val="000000"/>
                <w:kern w:val="2"/>
                <w:sz w:val="24"/>
                <w:szCs w:val="24"/>
                <w:lang w:val="en-US" w:eastAsia="zh-CN" w:bidi="ar"/>
              </w:rPr>
              <w:t>环境影响报告表</w:t>
            </w:r>
            <w:r>
              <w:rPr>
                <w:rFonts w:hint="eastAsia" w:ascii="宋体" w:hAnsi="宋体" w:cs="宋体"/>
                <w:bCs/>
                <w:color w:val="000000"/>
                <w:kern w:val="2"/>
                <w:sz w:val="24"/>
                <w:szCs w:val="24"/>
                <w:lang w:val="en-US" w:eastAsia="zh-CN" w:bidi="ar"/>
              </w:rPr>
              <w:t>，报告内容主要针对加油站及</w:t>
            </w:r>
            <w:r>
              <w:rPr>
                <w:rFonts w:hint="default" w:ascii="Times New Roman" w:hAnsi="Times New Roman" w:cs="Times New Roman"/>
                <w:szCs w:val="24"/>
                <w:lang w:val="en-US" w:eastAsia="zh-CN"/>
              </w:rPr>
              <w:t>配套附属设施</w:t>
            </w:r>
            <w:r>
              <w:rPr>
                <w:rFonts w:hint="eastAsia" w:ascii="宋体" w:hAnsi="宋体" w:cs="宋体"/>
                <w:bCs/>
                <w:color w:val="000000"/>
                <w:kern w:val="2"/>
                <w:sz w:val="24"/>
                <w:szCs w:val="24"/>
                <w:lang w:val="en-US" w:eastAsia="zh-CN" w:bidi="ar"/>
              </w:rPr>
              <w:t>进行环境影响评价，其他建设内容不在本次评价范围内。</w:t>
            </w:r>
          </w:p>
          <w:p w14:paraId="26FA60FA">
            <w:pPr>
              <w:ind w:firstLine="480"/>
              <w:textAlignment w:val="auto"/>
              <w:rPr>
                <w:rFonts w:cs="Times New Roman"/>
                <w:szCs w:val="24"/>
              </w:rPr>
            </w:pPr>
            <w:r>
              <w:rPr>
                <w:rFonts w:hint="eastAsia" w:cs="Times New Roman"/>
                <w:szCs w:val="24"/>
              </w:rPr>
              <w:t>建设单位于202</w:t>
            </w:r>
            <w:r>
              <w:rPr>
                <w:rFonts w:hint="eastAsia" w:cs="Times New Roman"/>
                <w:szCs w:val="24"/>
                <w:lang w:val="en-US" w:eastAsia="zh-CN"/>
              </w:rPr>
              <w:t>6</w:t>
            </w:r>
            <w:r>
              <w:rPr>
                <w:rFonts w:hint="eastAsia" w:cs="Times New Roman"/>
                <w:szCs w:val="24"/>
              </w:rPr>
              <w:t>年</w:t>
            </w:r>
            <w:r>
              <w:rPr>
                <w:rFonts w:cs="Times New Roman"/>
                <w:szCs w:val="24"/>
              </w:rPr>
              <w:t>3</w:t>
            </w:r>
            <w:r>
              <w:rPr>
                <w:rFonts w:hint="eastAsia" w:cs="Times New Roman"/>
                <w:szCs w:val="24"/>
              </w:rPr>
              <w:t>月委托我公司编制《</w:t>
            </w:r>
            <w:r>
              <w:rPr>
                <w:rFonts w:hint="eastAsia"/>
                <w:lang w:val="en-US" w:eastAsia="zh-CN"/>
              </w:rPr>
              <w:t>和顺物流能源站</w:t>
            </w:r>
            <w:r>
              <w:rPr>
                <w:rFonts w:hint="eastAsia"/>
              </w:rPr>
              <w:t>建设项目</w:t>
            </w:r>
            <w:r>
              <w:rPr>
                <w:rFonts w:hint="eastAsia" w:cs="Times New Roman"/>
                <w:szCs w:val="24"/>
              </w:rPr>
              <w:t>环境影响评价报告表》。我单位接受委托后，组织有关技术人员进行了现场踏勘，收集相关技术资料，根据相关法律法规、环评导则及其他相关材料，编制该项目环境影响评价报告表，供建设单位上报生态环境主管部门审批。</w:t>
            </w:r>
          </w:p>
          <w:p w14:paraId="2F56AC8A">
            <w:pPr>
              <w:spacing w:line="240" w:lineRule="auto"/>
              <w:ind w:firstLine="422"/>
              <w:jc w:val="center"/>
              <w:textAlignment w:val="auto"/>
              <w:rPr>
                <w:rFonts w:cs="Times New Roman"/>
                <w:b/>
                <w:bCs/>
                <w:color w:val="000000"/>
                <w:sz w:val="21"/>
                <w:szCs w:val="21"/>
              </w:rPr>
            </w:pPr>
            <w:r>
              <w:rPr>
                <w:rFonts w:cs="Times New Roman"/>
                <w:b/>
                <w:bCs/>
                <w:color w:val="000000"/>
                <w:sz w:val="21"/>
                <w:szCs w:val="21"/>
              </w:rPr>
              <w:t>表2</w:t>
            </w:r>
            <w:r>
              <w:rPr>
                <w:rFonts w:hint="eastAsia" w:cs="Times New Roman"/>
                <w:b/>
                <w:bCs/>
                <w:color w:val="000000"/>
                <w:sz w:val="21"/>
                <w:szCs w:val="21"/>
                <w:lang w:val="en-US" w:eastAsia="zh-CN"/>
              </w:rPr>
              <w:t>-</w:t>
            </w:r>
            <w:r>
              <w:rPr>
                <w:rFonts w:cs="Times New Roman"/>
                <w:b/>
                <w:bCs/>
                <w:color w:val="000000"/>
                <w:sz w:val="21"/>
                <w:szCs w:val="21"/>
              </w:rPr>
              <w:t>1  《建设项目环境影响评价分类管理名录》（2021版）（节选）</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13"/>
              <w:gridCol w:w="1196"/>
              <w:gridCol w:w="2830"/>
              <w:gridCol w:w="893"/>
              <w:gridCol w:w="1698"/>
            </w:tblGrid>
            <w:tr w14:paraId="10479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6" w:type="pct"/>
                  <w:gridSpan w:val="2"/>
                  <w:vAlign w:val="center"/>
                </w:tcPr>
                <w:p w14:paraId="2BA4B174">
                  <w:pPr>
                    <w:spacing w:line="240" w:lineRule="auto"/>
                    <w:ind w:firstLine="630" w:firstLineChars="300"/>
                    <w:jc w:val="center"/>
                    <w:textAlignment w:val="auto"/>
                    <w:rPr>
                      <w:rFonts w:cs="Times New Roman"/>
                      <w:color w:val="000000"/>
                      <w:sz w:val="21"/>
                      <w:szCs w:val="21"/>
                    </w:rPr>
                  </w:pPr>
                  <w:r>
                    <w:rPr>
                      <w:rFonts w:cs="Times New Roman"/>
                      <w:sz w:val="21"/>
                      <w:szCs w:val="24"/>
                    </w:rPr>
                    <mc:AlternateContent>
                      <mc:Choice Requires="wps">
                        <w:drawing>
                          <wp:anchor distT="0" distB="0" distL="114300" distR="114300" simplePos="0" relativeHeight="251660288" behindDoc="0" locked="0" layoutInCell="1" allowOverlap="1">
                            <wp:simplePos x="0" y="0"/>
                            <wp:positionH relativeFrom="column">
                              <wp:posOffset>-73025</wp:posOffset>
                            </wp:positionH>
                            <wp:positionV relativeFrom="paragraph">
                              <wp:posOffset>6985</wp:posOffset>
                            </wp:positionV>
                            <wp:extent cx="1141095" cy="335915"/>
                            <wp:effectExtent l="1270" t="4445" r="19685" b="21590"/>
                            <wp:wrapNone/>
                            <wp:docPr id="88" name="直接连接符 88"/>
                            <wp:cNvGraphicFramePr/>
                            <a:graphic xmlns:a="http://schemas.openxmlformats.org/drawingml/2006/main">
                              <a:graphicData uri="http://schemas.microsoft.com/office/word/2010/wordprocessingShape">
                                <wps:wsp>
                                  <wps:cNvCnPr/>
                                  <wps:spPr>
                                    <a:xfrm>
                                      <a:off x="0" y="0"/>
                                      <a:ext cx="1141095" cy="3359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75pt;margin-top:0.55pt;height:26.45pt;width:89.85pt;z-index:251660288;mso-width-relative:page;mso-height-relative:page;" filled="f" stroked="t" coordsize="21600,21600" o:gfxdata="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EGzUvWAAAACAEAAA8AAAAAAAAAAQAgAAAAIgAAAGRycy9kb3ducmV2Lnht&#10;bFBLAQIUABQAAAAIAIdO4kA0vjNl+wEAANoDAAAOAAAAAAAAAAEAIAAAACUBAABkcnMvZTJvRG9j&#10;LnhtbFBLBQYAAAAABgAGAFkBAACSBQAAAAA=&#10;">
                            <v:fill on="f" focussize="0,0"/>
                            <v:stroke weight="0.5pt" color="#000000" miterlimit="8" joinstyle="miter"/>
                            <v:imagedata o:title=""/>
                            <o:lock v:ext="edit" aspectratio="f"/>
                          </v:line>
                        </w:pict>
                      </mc:Fallback>
                    </mc:AlternateContent>
                  </w:r>
                  <w:r>
                    <w:rPr>
                      <w:rFonts w:cs="Times New Roman"/>
                      <w:color w:val="000000"/>
                      <w:sz w:val="21"/>
                      <w:szCs w:val="21"/>
                    </w:rPr>
                    <w:t>环评类别</w:t>
                  </w:r>
                </w:p>
                <w:p w14:paraId="4FF5AA10">
                  <w:pPr>
                    <w:spacing w:line="240" w:lineRule="auto"/>
                    <w:ind w:firstLine="0" w:firstLineChars="0"/>
                    <w:textAlignment w:val="auto"/>
                    <w:rPr>
                      <w:rFonts w:cs="Times New Roman"/>
                      <w:color w:val="000000"/>
                      <w:sz w:val="21"/>
                      <w:szCs w:val="21"/>
                    </w:rPr>
                  </w:pPr>
                  <w:r>
                    <w:rPr>
                      <w:rFonts w:cs="Times New Roman"/>
                      <w:color w:val="000000"/>
                      <w:sz w:val="21"/>
                      <w:szCs w:val="21"/>
                    </w:rPr>
                    <w:t>项目类别</w:t>
                  </w:r>
                </w:p>
              </w:tc>
              <w:tc>
                <w:tcPr>
                  <w:tcW w:w="700" w:type="pct"/>
                  <w:vAlign w:val="center"/>
                </w:tcPr>
                <w:p w14:paraId="1C149FC2">
                  <w:pPr>
                    <w:spacing w:line="240" w:lineRule="auto"/>
                    <w:ind w:firstLine="0" w:firstLineChars="0"/>
                    <w:jc w:val="center"/>
                    <w:textAlignment w:val="auto"/>
                    <w:rPr>
                      <w:rFonts w:cs="Times New Roman"/>
                      <w:color w:val="000000"/>
                      <w:sz w:val="21"/>
                      <w:szCs w:val="21"/>
                    </w:rPr>
                  </w:pPr>
                  <w:r>
                    <w:rPr>
                      <w:rFonts w:cs="Times New Roman"/>
                      <w:color w:val="000000"/>
                      <w:sz w:val="21"/>
                      <w:szCs w:val="21"/>
                    </w:rPr>
                    <w:t>报告书</w:t>
                  </w:r>
                </w:p>
              </w:tc>
              <w:tc>
                <w:tcPr>
                  <w:tcW w:w="1657" w:type="pct"/>
                  <w:shd w:val="clear" w:color="auto" w:fill="E7E6E6"/>
                  <w:vAlign w:val="center"/>
                </w:tcPr>
                <w:p w14:paraId="14048703">
                  <w:pPr>
                    <w:spacing w:line="240" w:lineRule="auto"/>
                    <w:ind w:firstLine="0" w:firstLineChars="0"/>
                    <w:jc w:val="center"/>
                    <w:textAlignment w:val="auto"/>
                    <w:rPr>
                      <w:rFonts w:cs="Times New Roman"/>
                      <w:color w:val="000000"/>
                      <w:sz w:val="21"/>
                      <w:szCs w:val="21"/>
                    </w:rPr>
                  </w:pPr>
                  <w:r>
                    <w:rPr>
                      <w:rFonts w:cs="Times New Roman"/>
                      <w:color w:val="000000"/>
                      <w:sz w:val="21"/>
                      <w:szCs w:val="21"/>
                    </w:rPr>
                    <w:t>报告表</w:t>
                  </w:r>
                </w:p>
              </w:tc>
              <w:tc>
                <w:tcPr>
                  <w:tcW w:w="523" w:type="pct"/>
                  <w:vAlign w:val="center"/>
                </w:tcPr>
                <w:p w14:paraId="53A92D9B">
                  <w:pPr>
                    <w:spacing w:line="240" w:lineRule="auto"/>
                    <w:ind w:firstLine="0" w:firstLineChars="0"/>
                    <w:jc w:val="center"/>
                    <w:textAlignment w:val="auto"/>
                    <w:rPr>
                      <w:rFonts w:cs="Times New Roman"/>
                      <w:color w:val="000000"/>
                      <w:sz w:val="21"/>
                      <w:szCs w:val="21"/>
                    </w:rPr>
                  </w:pPr>
                  <w:r>
                    <w:rPr>
                      <w:rFonts w:cs="Times New Roman"/>
                      <w:color w:val="000000"/>
                      <w:sz w:val="21"/>
                      <w:szCs w:val="21"/>
                    </w:rPr>
                    <w:t>登记表</w:t>
                  </w:r>
                </w:p>
              </w:tc>
              <w:tc>
                <w:tcPr>
                  <w:tcW w:w="995" w:type="pct"/>
                  <w:vAlign w:val="center"/>
                </w:tcPr>
                <w:p w14:paraId="78780319">
                  <w:pPr>
                    <w:spacing w:line="240" w:lineRule="auto"/>
                    <w:ind w:firstLine="0" w:firstLineChars="0"/>
                    <w:jc w:val="center"/>
                    <w:textAlignment w:val="auto"/>
                    <w:rPr>
                      <w:rFonts w:cs="Times New Roman"/>
                      <w:color w:val="000000"/>
                      <w:sz w:val="21"/>
                      <w:szCs w:val="21"/>
                    </w:rPr>
                  </w:pPr>
                  <w:r>
                    <w:rPr>
                      <w:rFonts w:cs="Times New Roman"/>
                      <w:color w:val="000000"/>
                      <w:sz w:val="21"/>
                      <w:szCs w:val="21"/>
                    </w:rPr>
                    <w:t>本栏目环境敏感区含义</w:t>
                  </w:r>
                </w:p>
              </w:tc>
            </w:tr>
            <w:tr w14:paraId="0F483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6AC4A280">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shd w:val="clear" w:color="auto" w:fill="E7E6E6"/>
                    </w:rPr>
                    <w:t>五十、社会事业与服务业</w:t>
                  </w:r>
                </w:p>
              </w:tc>
            </w:tr>
            <w:tr w14:paraId="0D81E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16" w:type="pct"/>
                  <w:vAlign w:val="center"/>
                </w:tcPr>
                <w:p w14:paraId="3FF8A99E">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119</w:t>
                  </w:r>
                </w:p>
              </w:tc>
              <w:tc>
                <w:tcPr>
                  <w:tcW w:w="710" w:type="pct"/>
                  <w:vAlign w:val="center"/>
                </w:tcPr>
                <w:p w14:paraId="72480CD5">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加油、加气站</w:t>
                  </w:r>
                </w:p>
              </w:tc>
              <w:tc>
                <w:tcPr>
                  <w:tcW w:w="700" w:type="pct"/>
                  <w:vAlign w:val="center"/>
                </w:tcPr>
                <w:p w14:paraId="29DB4739">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w:t>
                  </w:r>
                </w:p>
              </w:tc>
              <w:tc>
                <w:tcPr>
                  <w:tcW w:w="1657" w:type="pct"/>
                  <w:shd w:val="clear" w:color="auto" w:fill="E7E6E6"/>
                  <w:vAlign w:val="center"/>
                </w:tcPr>
                <w:p w14:paraId="38C90F00">
                  <w:pPr>
                    <w:spacing w:line="240" w:lineRule="auto"/>
                    <w:ind w:firstLine="0" w:firstLineChars="0"/>
                    <w:textAlignment w:val="auto"/>
                    <w:rPr>
                      <w:rFonts w:cs="Times New Roman"/>
                      <w:color w:val="000000"/>
                      <w:sz w:val="21"/>
                      <w:szCs w:val="21"/>
                    </w:rPr>
                  </w:pPr>
                  <w:r>
                    <w:rPr>
                      <w:rFonts w:hint="eastAsia" w:cs="Times New Roman"/>
                      <w:color w:val="000000"/>
                      <w:sz w:val="21"/>
                      <w:szCs w:val="21"/>
                    </w:rPr>
                    <w:t>城市建成区新建、扩建加油站；涉及环境敏感区的</w:t>
                  </w:r>
                </w:p>
              </w:tc>
              <w:tc>
                <w:tcPr>
                  <w:tcW w:w="523" w:type="pct"/>
                  <w:vAlign w:val="center"/>
                </w:tcPr>
                <w:p w14:paraId="1E05661D">
                  <w:pPr>
                    <w:spacing w:line="240" w:lineRule="auto"/>
                    <w:ind w:firstLine="0" w:firstLineChars="0"/>
                    <w:jc w:val="center"/>
                    <w:textAlignment w:val="auto"/>
                    <w:rPr>
                      <w:rFonts w:cs="Times New Roman"/>
                      <w:color w:val="000000"/>
                      <w:sz w:val="21"/>
                      <w:szCs w:val="21"/>
                    </w:rPr>
                  </w:pPr>
                  <w:r>
                    <w:rPr>
                      <w:rFonts w:cs="Times New Roman"/>
                      <w:color w:val="000000"/>
                      <w:sz w:val="21"/>
                      <w:szCs w:val="21"/>
                    </w:rPr>
                    <w:t>/</w:t>
                  </w:r>
                </w:p>
              </w:tc>
              <w:tc>
                <w:tcPr>
                  <w:tcW w:w="995" w:type="pct"/>
                  <w:vAlign w:val="center"/>
                </w:tcPr>
                <w:p w14:paraId="3C75AA67">
                  <w:pPr>
                    <w:spacing w:line="240" w:lineRule="auto"/>
                    <w:ind w:firstLine="0" w:firstLineChars="0"/>
                    <w:jc w:val="center"/>
                    <w:textAlignment w:val="auto"/>
                    <w:rPr>
                      <w:rFonts w:cs="Times New Roman"/>
                      <w:color w:val="000000"/>
                      <w:sz w:val="21"/>
                      <w:szCs w:val="21"/>
                    </w:rPr>
                  </w:pPr>
                  <w:r>
                    <w:rPr>
                      <w:rFonts w:cs="Times New Roman"/>
                      <w:color w:val="000000"/>
                      <w:sz w:val="21"/>
                      <w:szCs w:val="21"/>
                    </w:rPr>
                    <w:t>/</w:t>
                  </w:r>
                </w:p>
              </w:tc>
            </w:tr>
          </w:tbl>
          <w:p w14:paraId="663B44A2">
            <w:pPr>
              <w:ind w:firstLine="0" w:firstLineChars="0"/>
              <w:rPr>
                <w:rFonts w:hint="default" w:eastAsia="宋体"/>
                <w:b/>
                <w:color w:val="000000"/>
                <w:lang w:val="en-US" w:eastAsia="zh-CN"/>
              </w:rPr>
            </w:pPr>
            <w:r>
              <w:rPr>
                <w:rFonts w:hint="eastAsia"/>
                <w:b/>
                <w:color w:val="000000"/>
                <w:lang w:val="en-US" w:eastAsia="zh-CN"/>
              </w:rPr>
              <w:t>2.2项目概况</w:t>
            </w:r>
          </w:p>
          <w:p w14:paraId="6AAC2683">
            <w:pPr>
              <w:ind w:firstLine="480"/>
              <w:textAlignment w:val="auto"/>
              <w:rPr>
                <w:rFonts w:cs="Times New Roman"/>
                <w:szCs w:val="24"/>
              </w:rPr>
            </w:pPr>
            <w:r>
              <w:rPr>
                <w:rFonts w:cs="Times New Roman"/>
                <w:szCs w:val="24"/>
              </w:rPr>
              <w:t>项目名称：</w:t>
            </w:r>
            <w:r>
              <w:rPr>
                <w:rFonts w:hint="eastAsia"/>
                <w:lang w:val="en-US" w:eastAsia="zh-CN"/>
              </w:rPr>
              <w:t>和顺物流能源站</w:t>
            </w:r>
            <w:r>
              <w:rPr>
                <w:rFonts w:hint="eastAsia"/>
              </w:rPr>
              <w:t>建设项目</w:t>
            </w:r>
            <w:r>
              <w:rPr>
                <w:rFonts w:cs="Times New Roman"/>
                <w:szCs w:val="24"/>
              </w:rPr>
              <w:t>；</w:t>
            </w:r>
          </w:p>
          <w:p w14:paraId="44B778DF">
            <w:pPr>
              <w:ind w:firstLine="480"/>
              <w:textAlignment w:val="auto"/>
              <w:rPr>
                <w:rFonts w:cs="Times New Roman"/>
                <w:szCs w:val="24"/>
              </w:rPr>
            </w:pPr>
            <w:r>
              <w:rPr>
                <w:rFonts w:cs="Times New Roman"/>
                <w:szCs w:val="24"/>
              </w:rPr>
              <w:t>建设单位：</w:t>
            </w:r>
            <w:r>
              <w:rPr>
                <w:rFonts w:hint="eastAsia" w:cs="Times New Roman"/>
                <w:szCs w:val="24"/>
              </w:rPr>
              <w:t>库尔勒奇正物流有限责任公司</w:t>
            </w:r>
            <w:r>
              <w:rPr>
                <w:rFonts w:cs="Times New Roman"/>
                <w:szCs w:val="24"/>
              </w:rPr>
              <w:t>；</w:t>
            </w:r>
          </w:p>
          <w:p w14:paraId="50B3C6EE">
            <w:pPr>
              <w:ind w:firstLine="480"/>
              <w:textAlignment w:val="auto"/>
              <w:rPr>
                <w:rFonts w:cs="Times New Roman"/>
                <w:szCs w:val="24"/>
              </w:rPr>
            </w:pPr>
            <w:r>
              <w:rPr>
                <w:rFonts w:cs="Times New Roman"/>
                <w:szCs w:val="24"/>
              </w:rPr>
              <w:t>建设性质：新建；</w:t>
            </w:r>
          </w:p>
          <w:p w14:paraId="61B3144C">
            <w:pPr>
              <w:ind w:firstLine="480"/>
              <w:textAlignment w:val="auto"/>
              <w:rPr>
                <w:rFonts w:cs="Times New Roman"/>
                <w:szCs w:val="24"/>
              </w:rPr>
            </w:pPr>
            <w:r>
              <w:rPr>
                <w:rFonts w:cs="Times New Roman"/>
                <w:szCs w:val="24"/>
              </w:rPr>
              <w:t>项目总投资：</w:t>
            </w:r>
            <w:r>
              <w:rPr>
                <w:rFonts w:hint="eastAsia" w:cs="Times New Roman"/>
                <w:szCs w:val="24"/>
                <w:lang w:val="en-US" w:eastAsia="zh-CN"/>
              </w:rPr>
              <w:t>2000</w:t>
            </w:r>
            <w:r>
              <w:rPr>
                <w:rFonts w:cs="Times New Roman"/>
                <w:szCs w:val="24"/>
              </w:rPr>
              <w:t>万元，企业自筹</w:t>
            </w:r>
            <w:r>
              <w:rPr>
                <w:rFonts w:hint="eastAsia" w:cs="Times New Roman"/>
                <w:szCs w:val="24"/>
                <w:lang w:val="en-US" w:eastAsia="zh-CN"/>
              </w:rPr>
              <w:t>1000万元，银行贷款1000万元</w:t>
            </w:r>
            <w:r>
              <w:rPr>
                <w:rFonts w:cs="Times New Roman"/>
                <w:szCs w:val="24"/>
              </w:rPr>
              <w:t>，</w:t>
            </w:r>
            <w:r>
              <w:rPr>
                <w:rFonts w:hint="eastAsia" w:cs="Times New Roman"/>
                <w:szCs w:val="24"/>
                <w:highlight w:val="none"/>
                <w:lang w:val="en-US" w:eastAsia="zh-CN"/>
              </w:rPr>
              <w:t>其中</w:t>
            </w:r>
            <w:r>
              <w:rPr>
                <w:rFonts w:cs="Times New Roman"/>
                <w:szCs w:val="24"/>
                <w:highlight w:val="none"/>
              </w:rPr>
              <w:t>环保投</w:t>
            </w:r>
            <w:r>
              <w:rPr>
                <w:rFonts w:hint="eastAsia" w:cs="Times New Roman"/>
                <w:szCs w:val="24"/>
                <w:highlight w:val="none"/>
                <w:lang w:val="en-US" w:eastAsia="zh-CN"/>
              </w:rPr>
              <w:t>资</w:t>
            </w:r>
            <w:r>
              <w:rPr>
                <w:rFonts w:cs="Times New Roman"/>
                <w:szCs w:val="24"/>
                <w:highlight w:val="none"/>
              </w:rPr>
              <w:t>26万元，占总投资的</w:t>
            </w:r>
            <w:r>
              <w:rPr>
                <w:rFonts w:hint="eastAsia" w:cs="Times New Roman"/>
                <w:szCs w:val="24"/>
                <w:highlight w:val="none"/>
                <w:lang w:val="en-US" w:eastAsia="zh-CN"/>
              </w:rPr>
              <w:t>1.3</w:t>
            </w:r>
            <w:r>
              <w:rPr>
                <w:rFonts w:cs="Times New Roman"/>
                <w:szCs w:val="24"/>
                <w:highlight w:val="none"/>
              </w:rPr>
              <w:t>%；</w:t>
            </w:r>
          </w:p>
          <w:p w14:paraId="713B60C9">
            <w:pPr>
              <w:ind w:firstLine="480"/>
              <w:textAlignment w:val="auto"/>
              <w:rPr>
                <w:rFonts w:cs="Times New Roman"/>
                <w:szCs w:val="24"/>
              </w:rPr>
            </w:pPr>
            <w:r>
              <w:rPr>
                <w:rFonts w:cs="Times New Roman"/>
                <w:szCs w:val="24"/>
              </w:rPr>
              <w:t>建设地点：</w:t>
            </w:r>
            <w:r>
              <w:t>新疆维吾尔自治区巴音郭楞蒙古自治州</w:t>
            </w:r>
            <w:r>
              <w:rPr>
                <w:rFonts w:hint="eastAsia"/>
                <w:lang w:val="en-US" w:eastAsia="zh-CN"/>
              </w:rPr>
              <w:t>库尔勒市和顺市场东侧</w:t>
            </w:r>
            <w:r>
              <w:rPr>
                <w:rFonts w:cs="Times New Roman"/>
                <w:szCs w:val="24"/>
              </w:rPr>
              <w:t>；</w:t>
            </w:r>
          </w:p>
          <w:p w14:paraId="751D5836">
            <w:pPr>
              <w:ind w:firstLine="480"/>
              <w:textAlignment w:val="auto"/>
              <w:rPr>
                <w:rFonts w:cs="Times New Roman"/>
                <w:szCs w:val="24"/>
              </w:rPr>
            </w:pPr>
            <w:r>
              <w:rPr>
                <w:rFonts w:cs="Times New Roman"/>
                <w:szCs w:val="24"/>
              </w:rPr>
              <w:t>周边环境：</w:t>
            </w:r>
            <w:r>
              <w:rPr>
                <w:rFonts w:hint="eastAsia" w:cs="Times New Roman"/>
                <w:szCs w:val="24"/>
                <w:lang w:val="en-US" w:eastAsia="zh-CN"/>
              </w:rPr>
              <w:t>项目区北侧29米为已建道路，西侧138米为已建道路，南侧、东侧均为空地</w:t>
            </w:r>
            <w:r>
              <w:rPr>
                <w:rFonts w:hint="eastAsia" w:cs="Times New Roman"/>
                <w:szCs w:val="24"/>
                <w:lang w:eastAsia="zh-CN"/>
              </w:rPr>
              <w:t>，</w:t>
            </w:r>
            <w:r>
              <w:rPr>
                <w:rFonts w:cs="Times New Roman"/>
                <w:szCs w:val="24"/>
              </w:rPr>
              <w:t>地理位置优越，交通便利。具体地理位置详见附图1《项目</w:t>
            </w:r>
            <w:r>
              <w:rPr>
                <w:rFonts w:hint="eastAsia" w:cs="Times New Roman"/>
                <w:szCs w:val="24"/>
                <w:lang w:val="en-US" w:eastAsia="zh-CN"/>
              </w:rPr>
              <w:t>区</w:t>
            </w:r>
            <w:r>
              <w:rPr>
                <w:rFonts w:cs="Times New Roman"/>
                <w:szCs w:val="24"/>
              </w:rPr>
              <w:t>地理位置图》，项目周边环境详见附图3《项目</w:t>
            </w:r>
            <w:r>
              <w:rPr>
                <w:rFonts w:hint="eastAsia" w:cs="Times New Roman"/>
                <w:szCs w:val="24"/>
                <w:lang w:val="en-US" w:eastAsia="zh-CN"/>
              </w:rPr>
              <w:t>区</w:t>
            </w:r>
            <w:r>
              <w:rPr>
                <w:rFonts w:cs="Times New Roman"/>
                <w:szCs w:val="24"/>
              </w:rPr>
              <w:t>周边关系图》；</w:t>
            </w:r>
          </w:p>
          <w:p w14:paraId="229F0BC2">
            <w:pPr>
              <w:ind w:firstLine="480" w:firstLineChars="200"/>
              <w:rPr>
                <w:rFonts w:hint="eastAsia"/>
                <w:b/>
                <w:color w:val="000000"/>
              </w:rPr>
            </w:pPr>
            <w:r>
              <w:rPr>
                <w:rFonts w:cs="Times New Roman"/>
                <w:szCs w:val="24"/>
              </w:rPr>
              <w:t>生产制度：本项目劳动定员为</w:t>
            </w:r>
            <w:r>
              <w:rPr>
                <w:rFonts w:hint="eastAsia" w:cs="Times New Roman"/>
                <w:szCs w:val="24"/>
                <w:lang w:val="en-US" w:eastAsia="zh-CN"/>
              </w:rPr>
              <w:t>12</w:t>
            </w:r>
            <w:r>
              <w:rPr>
                <w:rFonts w:cs="Times New Roman"/>
                <w:szCs w:val="24"/>
              </w:rPr>
              <w:t>人，主要包括生产工人、管理人员。年工作日为365天，员工</w:t>
            </w:r>
            <w:r>
              <w:rPr>
                <w:rFonts w:hint="eastAsia" w:cs="Times New Roman"/>
                <w:szCs w:val="24"/>
              </w:rPr>
              <w:t>实行三班工作制，每班8小时</w:t>
            </w:r>
            <w:r>
              <w:rPr>
                <w:rFonts w:cs="Times New Roman"/>
                <w:szCs w:val="24"/>
              </w:rPr>
              <w:t>。</w:t>
            </w:r>
          </w:p>
          <w:p w14:paraId="0B4511DE">
            <w:pPr>
              <w:ind w:firstLine="0" w:firstLineChars="0"/>
              <w:rPr>
                <w:b/>
                <w:color w:val="000000"/>
              </w:rPr>
            </w:pPr>
            <w:r>
              <w:rPr>
                <w:rFonts w:hint="eastAsia"/>
                <w:b/>
                <w:color w:val="000000"/>
              </w:rPr>
              <w:t>2.</w:t>
            </w:r>
            <w:r>
              <w:rPr>
                <w:rFonts w:hint="eastAsia"/>
                <w:b/>
                <w:color w:val="000000"/>
                <w:lang w:val="en-US" w:eastAsia="zh-CN"/>
              </w:rPr>
              <w:t>3</w:t>
            </w:r>
            <w:r>
              <w:rPr>
                <w:rFonts w:hint="eastAsia"/>
                <w:b/>
                <w:color w:val="000000"/>
              </w:rPr>
              <w:t>建设内容及规模</w:t>
            </w:r>
          </w:p>
          <w:p w14:paraId="76A4F6AC">
            <w:pPr>
              <w:keepNext w:val="0"/>
              <w:keepLines w:val="0"/>
              <w:widowControl/>
              <w:suppressLineNumbers w:val="0"/>
              <w:jc w:val="left"/>
            </w:pPr>
            <w:r>
              <w:rPr>
                <w:rFonts w:hint="eastAsia"/>
                <w:lang w:val="en-US" w:eastAsia="zh-CN"/>
              </w:rPr>
              <w:t>本</w:t>
            </w:r>
            <w:r>
              <w:t>项目规划用地</w:t>
            </w:r>
            <w:r>
              <w:rPr>
                <w:rFonts w:hint="eastAsia"/>
                <w:lang w:val="en-US" w:eastAsia="zh-CN"/>
              </w:rPr>
              <w:t>8500</w:t>
            </w:r>
            <w:r>
              <w:t>m</w:t>
            </w:r>
            <w:r>
              <w:rPr>
                <w:vertAlign w:val="superscript"/>
              </w:rPr>
              <w:t>2</w:t>
            </w:r>
            <w:r>
              <w:rPr>
                <w:rFonts w:hint="eastAsia"/>
                <w:lang w:eastAsia="zh-CN"/>
              </w:rPr>
              <w:t>，</w:t>
            </w:r>
            <w:r>
              <w:rPr>
                <w:rFonts w:hint="eastAsia" w:cs="Times New Roman"/>
                <w:szCs w:val="24"/>
                <w:lang w:val="en-US" w:eastAsia="zh-CN"/>
              </w:rPr>
              <w:t>新</w:t>
            </w:r>
            <w:r>
              <w:rPr>
                <w:rFonts w:hint="default" w:ascii="Times New Roman" w:hAnsi="Times New Roman" w:cs="Times New Roman"/>
                <w:szCs w:val="24"/>
                <w:lang w:val="en-US" w:eastAsia="zh-CN"/>
              </w:rPr>
              <w:t>建</w:t>
            </w:r>
            <w:r>
              <w:rPr>
                <w:rFonts w:hint="eastAsia" w:ascii="Times New Roman" w:hAnsi="Times New Roman" w:cs="Times New Roman"/>
                <w:szCs w:val="24"/>
                <w:lang w:val="en-US" w:eastAsia="zh-CN"/>
              </w:rPr>
              <w:t>1座1</w:t>
            </w:r>
            <w:r>
              <w:rPr>
                <w:rFonts w:hint="default" w:ascii="Times New Roman" w:hAnsi="Times New Roman" w:cs="Times New Roman"/>
                <w:szCs w:val="24"/>
                <w:lang w:val="en-US" w:eastAsia="zh-CN"/>
              </w:rPr>
              <w:t>层</w:t>
            </w:r>
            <w:r>
              <w:rPr>
                <w:rFonts w:hint="eastAsia" w:ascii="Times New Roman" w:hAnsi="Times New Roman" w:cs="Times New Roman"/>
                <w:szCs w:val="24"/>
                <w:lang w:val="en-US" w:eastAsia="zh-CN"/>
              </w:rPr>
              <w:t>砖混结构站房（建筑面积</w:t>
            </w:r>
            <w:r>
              <w:rPr>
                <w:rFonts w:hint="default" w:ascii="Times New Roman" w:hAnsi="Times New Roman" w:cs="Times New Roman"/>
                <w:szCs w:val="24"/>
                <w:lang w:val="en-US" w:eastAsia="zh-CN"/>
              </w:rPr>
              <w:t>198.02</w:t>
            </w:r>
            <w:r>
              <w:rPr>
                <w:rFonts w:hint="eastAsia" w:ascii="Times New Roman" w:hAnsi="Times New Roman" w:cs="Times New Roman"/>
                <w:szCs w:val="24"/>
                <w:lang w:val="en-US" w:eastAsia="zh-CN"/>
              </w:rPr>
              <w:t>m</w:t>
            </w:r>
            <w:r>
              <w:rPr>
                <w:rFonts w:hint="eastAsia" w:ascii="Times New Roman" w:hAnsi="Times New Roman" w:cs="Times New Roman"/>
                <w:szCs w:val="24"/>
                <w:vertAlign w:val="superscript"/>
                <w:lang w:val="en-US" w:eastAsia="zh-CN"/>
              </w:rPr>
              <w:t>2</w:t>
            </w:r>
            <w:r>
              <w:rPr>
                <w:rFonts w:hint="eastAsia" w:ascii="Times New Roman" w:hAnsi="Times New Roman" w:cs="Times New Roman"/>
                <w:szCs w:val="24"/>
                <w:lang w:val="en-US" w:eastAsia="zh-CN"/>
              </w:rPr>
              <w:t>）</w:t>
            </w:r>
            <w:r>
              <w:rPr>
                <w:rFonts w:hint="default" w:ascii="Times New Roman" w:hAnsi="Times New Roman" w:cs="Times New Roman"/>
                <w:szCs w:val="24"/>
                <w:lang w:val="en-US" w:eastAsia="zh-CN"/>
              </w:rPr>
              <w:t>；</w:t>
            </w:r>
            <w:r>
              <w:rPr>
                <w:rFonts w:hint="eastAsia" w:ascii="Times New Roman" w:hAnsi="Times New Roman" w:cs="Times New Roman"/>
                <w:szCs w:val="24"/>
                <w:lang w:val="en-US" w:eastAsia="zh-CN"/>
              </w:rPr>
              <w:t>1座钢网架结构</w:t>
            </w:r>
            <w:r>
              <w:rPr>
                <w:rFonts w:hint="default" w:ascii="Times New Roman" w:hAnsi="Times New Roman" w:cs="Times New Roman"/>
                <w:szCs w:val="24"/>
                <w:lang w:val="en-US" w:eastAsia="zh-CN"/>
              </w:rPr>
              <w:t>罩棚</w:t>
            </w:r>
            <w:r>
              <w:rPr>
                <w:rFonts w:hint="eastAsia" w:cs="Times New Roman"/>
                <w:szCs w:val="24"/>
                <w:lang w:val="en-US" w:eastAsia="zh-CN"/>
              </w:rPr>
              <w:t>（</w:t>
            </w:r>
            <w:r>
              <w:rPr>
                <w:rFonts w:hint="default" w:ascii="Times New Roman" w:hAnsi="Times New Roman" w:cs="Times New Roman"/>
                <w:szCs w:val="24"/>
                <w:lang w:val="en-US" w:eastAsia="zh-CN"/>
              </w:rPr>
              <w:t>投影面积1650</w:t>
            </w:r>
            <w:r>
              <w:rPr>
                <w:rFonts w:hint="eastAsia" w:ascii="Times New Roman" w:hAnsi="Times New Roman" w:cs="Times New Roman"/>
                <w:szCs w:val="24"/>
                <w:lang w:val="en-US" w:eastAsia="zh-CN"/>
              </w:rPr>
              <w:t>m</w:t>
            </w:r>
            <w:r>
              <w:rPr>
                <w:rFonts w:hint="eastAsia" w:ascii="Times New Roman" w:hAnsi="Times New Roman" w:cs="Times New Roman"/>
                <w:szCs w:val="24"/>
                <w:vertAlign w:val="superscript"/>
                <w:lang w:val="en-US" w:eastAsia="zh-CN"/>
              </w:rPr>
              <w:t>2</w:t>
            </w:r>
            <w:r>
              <w:rPr>
                <w:rFonts w:hint="eastAsia" w:ascii="Times New Roman" w:hAnsi="Times New Roman" w:cs="Times New Roman"/>
                <w:szCs w:val="24"/>
                <w:lang w:val="en-US" w:eastAsia="zh-CN"/>
              </w:rPr>
              <w:t>）</w:t>
            </w:r>
            <w:r>
              <w:rPr>
                <w:rFonts w:hint="eastAsia" w:cs="Times New Roman"/>
                <w:szCs w:val="24"/>
                <w:lang w:val="en-US" w:eastAsia="zh-CN"/>
              </w:rPr>
              <w:t>；储罐区建设1座</w:t>
            </w:r>
            <w:r>
              <w:rPr>
                <w:rFonts w:hint="default" w:ascii="Times New Roman" w:hAnsi="Times New Roman" w:cs="Times New Roman"/>
                <w:szCs w:val="24"/>
                <w:lang w:val="en-US" w:eastAsia="zh-CN"/>
              </w:rPr>
              <w:t>30m</w:t>
            </w:r>
            <w:r>
              <w:rPr>
                <w:rFonts w:hint="eastAsia" w:ascii="Times New Roman" w:hAnsi="Times New Roman" w:cs="Times New Roman"/>
                <w:szCs w:val="24"/>
                <w:vertAlign w:val="superscript"/>
                <w:lang w:val="en-US" w:eastAsia="zh-CN"/>
              </w:rPr>
              <w:t>3</w:t>
            </w:r>
            <w:r>
              <w:rPr>
                <w:rFonts w:hint="default" w:ascii="Times New Roman" w:hAnsi="Times New Roman" w:cs="Times New Roman"/>
                <w:szCs w:val="24"/>
                <w:lang w:val="en-US" w:eastAsia="zh-CN"/>
              </w:rPr>
              <w:t>SF双层埋地汽油罐、</w:t>
            </w:r>
            <w:r>
              <w:rPr>
                <w:rFonts w:hint="eastAsia" w:cs="Times New Roman"/>
                <w:szCs w:val="24"/>
                <w:lang w:val="en-US" w:eastAsia="zh-CN"/>
              </w:rPr>
              <w:t>1座</w:t>
            </w:r>
            <w:r>
              <w:rPr>
                <w:rFonts w:hint="default" w:ascii="Times New Roman" w:hAnsi="Times New Roman" w:cs="Times New Roman"/>
                <w:szCs w:val="24"/>
                <w:lang w:val="en-US" w:eastAsia="zh-CN"/>
              </w:rPr>
              <w:t>25m</w:t>
            </w:r>
            <w:r>
              <w:rPr>
                <w:rFonts w:hint="eastAsia" w:ascii="Times New Roman" w:hAnsi="Times New Roman" w:cs="Times New Roman"/>
                <w:szCs w:val="24"/>
                <w:vertAlign w:val="superscript"/>
                <w:lang w:val="en-US" w:eastAsia="zh-CN"/>
              </w:rPr>
              <w:t>3</w:t>
            </w:r>
            <w:r>
              <w:rPr>
                <w:rFonts w:hint="default" w:ascii="Times New Roman" w:hAnsi="Times New Roman" w:cs="Times New Roman"/>
                <w:szCs w:val="24"/>
                <w:lang w:val="en-US" w:eastAsia="zh-CN"/>
              </w:rPr>
              <w:t>SF双层埋地汽油罐、</w:t>
            </w:r>
            <w:r>
              <w:rPr>
                <w:rFonts w:hint="eastAsia" w:cs="Times New Roman"/>
                <w:szCs w:val="24"/>
                <w:lang w:val="en-US" w:eastAsia="zh-CN"/>
              </w:rPr>
              <w:t>2座</w:t>
            </w:r>
            <w:r>
              <w:rPr>
                <w:rFonts w:hint="default" w:ascii="Times New Roman" w:hAnsi="Times New Roman" w:cs="Times New Roman"/>
                <w:szCs w:val="24"/>
                <w:lang w:val="en-US" w:eastAsia="zh-CN"/>
              </w:rPr>
              <w:t>30m</w:t>
            </w:r>
            <w:r>
              <w:rPr>
                <w:rFonts w:hint="eastAsia" w:ascii="Times New Roman" w:hAnsi="Times New Roman" w:cs="Times New Roman"/>
                <w:szCs w:val="24"/>
                <w:vertAlign w:val="superscript"/>
                <w:lang w:val="en-US" w:eastAsia="zh-CN"/>
              </w:rPr>
              <w:t>3</w:t>
            </w:r>
            <w:r>
              <w:rPr>
                <w:rFonts w:hint="default" w:ascii="Times New Roman" w:hAnsi="Times New Roman" w:cs="Times New Roman"/>
                <w:szCs w:val="24"/>
                <w:lang w:val="en-US" w:eastAsia="zh-CN"/>
              </w:rPr>
              <w:t>SF双层埋地柴油罐</w:t>
            </w:r>
            <w:r>
              <w:rPr>
                <w:rFonts w:hint="eastAsia" w:cs="Times New Roman"/>
                <w:szCs w:val="24"/>
                <w:vertAlign w:val="baseline"/>
                <w:lang w:val="en-US" w:eastAsia="zh-CN"/>
              </w:rPr>
              <w:t>；加油区建设</w:t>
            </w:r>
            <w:r>
              <w:rPr>
                <w:rFonts w:hint="eastAsia"/>
                <w:lang w:val="en-US" w:eastAsia="zh-CN"/>
              </w:rPr>
              <w:t>2</w:t>
            </w:r>
            <w:r>
              <w:t>台汽油加油机，</w:t>
            </w:r>
            <w:r>
              <w:rPr>
                <w:rFonts w:hint="eastAsia"/>
                <w:lang w:val="en-US" w:eastAsia="zh-CN"/>
              </w:rPr>
              <w:t>2</w:t>
            </w:r>
            <w:r>
              <w:t>台柴油加油机</w:t>
            </w:r>
            <w:r>
              <w:rPr>
                <w:rFonts w:hint="eastAsia"/>
                <w:lang w:eastAsia="zh-CN"/>
              </w:rPr>
              <w:t>；</w:t>
            </w:r>
            <w:r>
              <w:rPr>
                <w:rFonts w:hint="eastAsia" w:ascii="Times New Roman" w:hAnsi="Times New Roman" w:cs="Times New Roman"/>
                <w:szCs w:val="24"/>
                <w:lang w:val="en-US" w:eastAsia="zh-CN"/>
              </w:rPr>
              <w:t>建设1座专用400kVA箱变站，</w:t>
            </w:r>
            <w:r>
              <w:rPr>
                <w:rFonts w:hint="default" w:ascii="Times New Roman" w:hAnsi="Times New Roman" w:cs="Times New Roman"/>
                <w:szCs w:val="24"/>
                <w:lang w:val="en-US" w:eastAsia="zh-CN"/>
              </w:rPr>
              <w:t>站内供排水系统、地面硬化、环保卫生间、消防、供暖等配套附属设施。</w:t>
            </w:r>
            <w:r>
              <w:t>本项目组成详见表2</w:t>
            </w:r>
            <w:r>
              <w:rPr>
                <w:rFonts w:hint="eastAsia"/>
                <w:lang w:val="en-US" w:eastAsia="zh-CN"/>
              </w:rPr>
              <w:t>-2</w:t>
            </w:r>
            <w:r>
              <w:t>。</w:t>
            </w:r>
          </w:p>
          <w:p w14:paraId="24DC447C">
            <w:pPr>
              <w:pStyle w:val="28"/>
              <w:spacing w:before="120"/>
              <w:ind w:firstLine="422"/>
            </w:pPr>
            <w:r>
              <w:t>表2</w:t>
            </w:r>
            <w:r>
              <w:rPr>
                <w:rFonts w:hint="eastAsia"/>
                <w:lang w:val="en-US" w:eastAsia="zh-CN"/>
              </w:rPr>
              <w:t xml:space="preserve">-2 </w:t>
            </w:r>
            <w:r>
              <w:t xml:space="preserve"> 建设项目组成一览表</w:t>
            </w:r>
          </w:p>
          <w:tbl>
            <w:tblPr>
              <w:tblStyle w:val="20"/>
              <w:tblW w:w="8615"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683"/>
              <w:gridCol w:w="6282"/>
            </w:tblGrid>
            <w:tr w14:paraId="664DB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0" w:type="dxa"/>
                  <w:tcBorders>
                    <w:tl2br w:val="nil"/>
                    <w:tr2bl w:val="nil"/>
                  </w:tcBorders>
                  <w:vAlign w:val="center"/>
                </w:tcPr>
                <w:p w14:paraId="66D90E75">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分类</w:t>
                  </w:r>
                </w:p>
              </w:tc>
              <w:tc>
                <w:tcPr>
                  <w:tcW w:w="1683" w:type="dxa"/>
                  <w:tcBorders>
                    <w:tl2br w:val="nil"/>
                    <w:tr2bl w:val="nil"/>
                  </w:tcBorders>
                  <w:vAlign w:val="center"/>
                </w:tcPr>
                <w:p w14:paraId="3D375165">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工程名称</w:t>
                  </w:r>
                </w:p>
              </w:tc>
              <w:tc>
                <w:tcPr>
                  <w:tcW w:w="6282" w:type="dxa"/>
                  <w:tcBorders>
                    <w:tl2br w:val="nil"/>
                    <w:tr2bl w:val="nil"/>
                  </w:tcBorders>
                  <w:vAlign w:val="center"/>
                </w:tcPr>
                <w:p w14:paraId="3A7C7C87">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主要内容</w:t>
                  </w:r>
                </w:p>
              </w:tc>
            </w:tr>
            <w:tr w14:paraId="25A8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tcBorders>
                    <w:tl2br w:val="nil"/>
                    <w:tr2bl w:val="nil"/>
                  </w:tcBorders>
                  <w:vAlign w:val="center"/>
                </w:tcPr>
                <w:p w14:paraId="14139118">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主体工程</w:t>
                  </w:r>
                </w:p>
              </w:tc>
              <w:tc>
                <w:tcPr>
                  <w:tcW w:w="1683" w:type="dxa"/>
                  <w:tcBorders>
                    <w:tl2br w:val="nil"/>
                    <w:tr2bl w:val="nil"/>
                  </w:tcBorders>
                  <w:vAlign w:val="center"/>
                </w:tcPr>
                <w:p w14:paraId="6269888F">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加油系统</w:t>
                  </w:r>
                </w:p>
              </w:tc>
              <w:tc>
                <w:tcPr>
                  <w:tcW w:w="6282" w:type="dxa"/>
                  <w:tcBorders>
                    <w:tl2br w:val="nil"/>
                    <w:tr2bl w:val="nil"/>
                  </w:tcBorders>
                  <w:vAlign w:val="center"/>
                </w:tcPr>
                <w:p w14:paraId="1FDE5394">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eastAsia="宋体"/>
                      <w:lang w:eastAsia="zh-CN"/>
                    </w:rPr>
                  </w:pPr>
                  <w:r>
                    <w:t>加油罩棚：面积</w:t>
                  </w:r>
                  <w:r>
                    <w:rPr>
                      <w:rFonts w:hint="eastAsia"/>
                      <w:lang w:val="en-US" w:eastAsia="zh-CN"/>
                    </w:rPr>
                    <w:t>1650</w:t>
                  </w:r>
                  <w:r>
                    <w:t>m</w:t>
                  </w:r>
                  <w:r>
                    <w:rPr>
                      <w:vertAlign w:val="superscript"/>
                    </w:rPr>
                    <w:t>2</w:t>
                  </w:r>
                  <w:r>
                    <w:t>，高</w:t>
                  </w:r>
                  <w:r>
                    <w:rPr>
                      <w:rFonts w:hint="eastAsia"/>
                      <w:lang w:val="en-US" w:eastAsia="zh-CN"/>
                    </w:rPr>
                    <w:t>7.5</w:t>
                  </w:r>
                  <w:r>
                    <w:t>m，钢质网架结构；</w:t>
                  </w:r>
                  <w:r>
                    <w:rPr>
                      <w:rFonts w:hint="eastAsia"/>
                      <w:lang w:val="en-US" w:eastAsia="zh-CN"/>
                    </w:rPr>
                    <w:t>2</w:t>
                  </w:r>
                  <w:r>
                    <w:t>台汽油加油机，配套</w:t>
                  </w:r>
                  <w:r>
                    <w:rPr>
                      <w:rFonts w:hint="eastAsia"/>
                      <w:lang w:val="en-US" w:eastAsia="zh-CN"/>
                    </w:rPr>
                    <w:t>二次</w:t>
                  </w:r>
                  <w:r>
                    <w:t>油气回收系统，</w:t>
                  </w:r>
                  <w:r>
                    <w:rPr>
                      <w:rFonts w:hint="eastAsia"/>
                      <w:lang w:val="en-US" w:eastAsia="zh-CN"/>
                    </w:rPr>
                    <w:t>2</w:t>
                  </w:r>
                  <w:r>
                    <w:t>台柴油加油机</w:t>
                  </w:r>
                </w:p>
              </w:tc>
            </w:tr>
            <w:tr w14:paraId="14B7A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restart"/>
                  <w:tcBorders>
                    <w:tl2br w:val="nil"/>
                    <w:tr2bl w:val="nil"/>
                  </w:tcBorders>
                  <w:vAlign w:val="center"/>
                </w:tcPr>
                <w:p w14:paraId="4C0CED09">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辅助工程</w:t>
                  </w:r>
                </w:p>
              </w:tc>
              <w:tc>
                <w:tcPr>
                  <w:tcW w:w="1683" w:type="dxa"/>
                  <w:tcBorders>
                    <w:tl2br w:val="nil"/>
                    <w:tr2bl w:val="nil"/>
                  </w:tcBorders>
                  <w:vAlign w:val="center"/>
                </w:tcPr>
                <w:p w14:paraId="672E2468">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站房</w:t>
                  </w:r>
                </w:p>
              </w:tc>
              <w:tc>
                <w:tcPr>
                  <w:tcW w:w="6282" w:type="dxa"/>
                  <w:tcBorders>
                    <w:tl2br w:val="nil"/>
                    <w:tr2bl w:val="nil"/>
                  </w:tcBorders>
                  <w:vAlign w:val="center"/>
                </w:tcPr>
                <w:p w14:paraId="6F4A5CC7">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rPr>
                      <w:rFonts w:hint="eastAsia"/>
                    </w:rPr>
                    <w:t>1</w:t>
                  </w:r>
                  <w:r>
                    <w:t>层</w:t>
                  </w:r>
                  <w:r>
                    <w:rPr>
                      <w:rFonts w:hint="eastAsia" w:ascii="Times New Roman" w:hAnsi="Times New Roman" w:cs="Times New Roman"/>
                      <w:szCs w:val="24"/>
                      <w:lang w:val="en-US" w:eastAsia="zh-CN"/>
                    </w:rPr>
                    <w:t>砖混结构</w:t>
                  </w:r>
                  <w:r>
                    <w:t>，建筑面积</w:t>
                  </w:r>
                  <w:r>
                    <w:rPr>
                      <w:rFonts w:hint="eastAsia"/>
                      <w:lang w:val="en-US" w:eastAsia="zh-CN"/>
                    </w:rPr>
                    <w:t>198.02</w:t>
                  </w:r>
                  <w:r>
                    <w:t>m</w:t>
                  </w:r>
                  <w:r>
                    <w:rPr>
                      <w:vertAlign w:val="superscript"/>
                    </w:rPr>
                    <w:t>2</w:t>
                  </w:r>
                </w:p>
              </w:tc>
            </w:tr>
            <w:tr w14:paraId="13570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vMerge w:val="continue"/>
                  <w:tcBorders>
                    <w:tl2br w:val="nil"/>
                    <w:tr2bl w:val="nil"/>
                  </w:tcBorders>
                  <w:vAlign w:val="center"/>
                </w:tcPr>
                <w:p w14:paraId="497AB862">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4D7BA935">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rPr>
                    <w:t>门卫</w:t>
                  </w:r>
                  <w:r>
                    <w:rPr>
                      <w:rFonts w:hint="eastAsia"/>
                      <w:lang w:val="en-US" w:eastAsia="zh-CN"/>
                    </w:rPr>
                    <w:t>室</w:t>
                  </w:r>
                </w:p>
              </w:tc>
              <w:tc>
                <w:tcPr>
                  <w:tcW w:w="6282" w:type="dxa"/>
                  <w:tcBorders>
                    <w:tl2br w:val="nil"/>
                    <w:tr2bl w:val="nil"/>
                  </w:tcBorders>
                  <w:vAlign w:val="center"/>
                </w:tcPr>
                <w:p w14:paraId="33BED372">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rPr>
                      <w:rFonts w:hint="eastAsia"/>
                    </w:rPr>
                    <w:t>1层</w:t>
                  </w:r>
                  <w:r>
                    <w:rPr>
                      <w:rFonts w:hint="eastAsia"/>
                      <w:lang w:val="en-US" w:eastAsia="zh-CN"/>
                    </w:rPr>
                    <w:t>彩钢板房</w:t>
                  </w:r>
                  <w:r>
                    <w:rPr>
                      <w:rFonts w:hint="eastAsia"/>
                    </w:rPr>
                    <w:t>，建筑面积10</w:t>
                  </w:r>
                  <w:r>
                    <w:t>m</w:t>
                  </w:r>
                  <w:r>
                    <w:rPr>
                      <w:vertAlign w:val="superscript"/>
                    </w:rPr>
                    <w:t>2</w:t>
                  </w:r>
                </w:p>
              </w:tc>
            </w:tr>
            <w:tr w14:paraId="78A33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restart"/>
                  <w:tcBorders>
                    <w:tl2br w:val="nil"/>
                    <w:tr2bl w:val="nil"/>
                  </w:tcBorders>
                  <w:vAlign w:val="center"/>
                </w:tcPr>
                <w:p w14:paraId="178ACB55">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储运工程</w:t>
                  </w:r>
                </w:p>
              </w:tc>
              <w:tc>
                <w:tcPr>
                  <w:tcW w:w="1683" w:type="dxa"/>
                  <w:tcBorders>
                    <w:tl2br w:val="nil"/>
                    <w:tr2bl w:val="nil"/>
                  </w:tcBorders>
                  <w:vAlign w:val="center"/>
                </w:tcPr>
                <w:p w14:paraId="6D934C4B">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油品</w:t>
                  </w:r>
                  <w:r>
                    <w:t>储罐区</w:t>
                  </w:r>
                </w:p>
              </w:tc>
              <w:tc>
                <w:tcPr>
                  <w:tcW w:w="6282" w:type="dxa"/>
                  <w:tcBorders>
                    <w:tl2br w:val="nil"/>
                    <w:tr2bl w:val="nil"/>
                  </w:tcBorders>
                  <w:vAlign w:val="center"/>
                </w:tcPr>
                <w:p w14:paraId="011A2408">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rPr>
                      <w:rFonts w:hint="eastAsia"/>
                    </w:rPr>
                    <w:t>2</w:t>
                  </w:r>
                  <w:r>
                    <w:t>座30m³SF</w:t>
                  </w:r>
                  <w:r>
                    <w:rPr>
                      <w:rFonts w:hint="default" w:ascii="Times New Roman" w:hAnsi="Times New Roman" w:cs="Times New Roman"/>
                      <w:szCs w:val="24"/>
                      <w:lang w:val="en-US" w:eastAsia="zh-CN"/>
                    </w:rPr>
                    <w:t>双层埋地</w:t>
                  </w:r>
                  <w:r>
                    <w:rPr>
                      <w:rFonts w:hint="eastAsia" w:cs="Times New Roman"/>
                      <w:szCs w:val="24"/>
                      <w:lang w:val="en-US" w:eastAsia="zh-CN"/>
                    </w:rPr>
                    <w:t>柴</w:t>
                  </w:r>
                  <w:r>
                    <w:rPr>
                      <w:rFonts w:hint="default" w:ascii="Times New Roman" w:hAnsi="Times New Roman" w:cs="Times New Roman"/>
                      <w:szCs w:val="24"/>
                      <w:lang w:val="en-US" w:eastAsia="zh-CN"/>
                    </w:rPr>
                    <w:t>油罐</w:t>
                  </w:r>
                  <w:r>
                    <w:t>，</w:t>
                  </w:r>
                  <w:r>
                    <w:rPr>
                      <w:rFonts w:hint="eastAsia"/>
                      <w:lang w:val="en-US" w:eastAsia="zh-CN"/>
                    </w:rPr>
                    <w:t>1</w:t>
                  </w:r>
                  <w:r>
                    <w:t>座</w:t>
                  </w:r>
                  <w:r>
                    <w:rPr>
                      <w:rFonts w:hint="eastAsia"/>
                    </w:rPr>
                    <w:t>25</w:t>
                  </w:r>
                  <w:r>
                    <w:t>m³SF</w:t>
                  </w:r>
                  <w:r>
                    <w:rPr>
                      <w:rFonts w:hint="eastAsia"/>
                    </w:rPr>
                    <w:t>双层埋地汽油罐</w:t>
                  </w:r>
                  <w:r>
                    <w:rPr>
                      <w:rFonts w:hint="eastAsia"/>
                      <w:lang w:eastAsia="zh-CN"/>
                    </w:rPr>
                    <w:t>，</w:t>
                  </w:r>
                  <w:r>
                    <w:rPr>
                      <w:rFonts w:hint="eastAsia"/>
                      <w:lang w:val="en-US" w:eastAsia="zh-CN"/>
                    </w:rPr>
                    <w:t>1</w:t>
                  </w:r>
                  <w:r>
                    <w:t>座</w:t>
                  </w:r>
                  <w:r>
                    <w:rPr>
                      <w:rFonts w:hint="eastAsia"/>
                      <w:lang w:val="en-US" w:eastAsia="zh-CN"/>
                    </w:rPr>
                    <w:t>30</w:t>
                  </w:r>
                  <w:r>
                    <w:t>m³SF</w:t>
                  </w:r>
                  <w:r>
                    <w:rPr>
                      <w:rFonts w:hint="default" w:ascii="Times New Roman" w:hAnsi="Times New Roman" w:cs="Times New Roman"/>
                      <w:szCs w:val="24"/>
                      <w:lang w:val="en-US" w:eastAsia="zh-CN"/>
                    </w:rPr>
                    <w:t>双层埋地汽油罐</w:t>
                  </w:r>
                </w:p>
              </w:tc>
            </w:tr>
            <w:tr w14:paraId="7D414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50237F30">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63AB93BC">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rPr>
                      <w:rFonts w:hint="eastAsia" w:cs="Times New Roman"/>
                      <w:sz w:val="21"/>
                      <w:szCs w:val="21"/>
                    </w:rPr>
                    <w:t>危险废物</w:t>
                  </w:r>
                  <w:r>
                    <w:rPr>
                      <w:rFonts w:hint="eastAsia" w:cs="Times New Roman"/>
                      <w:sz w:val="21"/>
                      <w:szCs w:val="21"/>
                      <w:lang w:val="en-US" w:eastAsia="zh-CN"/>
                    </w:rPr>
                    <w:t>贮存点</w:t>
                  </w:r>
                </w:p>
              </w:tc>
              <w:tc>
                <w:tcPr>
                  <w:tcW w:w="6282" w:type="dxa"/>
                  <w:tcBorders>
                    <w:tl2br w:val="nil"/>
                    <w:tr2bl w:val="nil"/>
                  </w:tcBorders>
                  <w:vAlign w:val="center"/>
                </w:tcPr>
                <w:p w14:paraId="5B550E18">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rPr>
                      <w:rFonts w:hint="eastAsia"/>
                      <w:color w:val="000000"/>
                      <w:szCs w:val="21"/>
                      <w:lang w:val="en-US" w:eastAsia="zh-CN"/>
                    </w:rPr>
                    <w:t>位于厂区西北角，</w:t>
                  </w:r>
                  <w:r>
                    <w:rPr>
                      <w:rFonts w:hint="eastAsia"/>
                      <w:color w:val="000000"/>
                      <w:szCs w:val="21"/>
                    </w:rPr>
                    <w:t>建筑面积</w:t>
                  </w:r>
                  <w:r>
                    <w:rPr>
                      <w:color w:val="000000"/>
                      <w:szCs w:val="21"/>
                    </w:rPr>
                    <w:t>2</w:t>
                  </w:r>
                  <w:r>
                    <w:rPr>
                      <w:color w:val="000000"/>
                      <w:spacing w:val="-6"/>
                      <w:szCs w:val="21"/>
                    </w:rPr>
                    <w:t>m</w:t>
                  </w:r>
                  <w:r>
                    <w:rPr>
                      <w:color w:val="000000"/>
                      <w:spacing w:val="-6"/>
                      <w:szCs w:val="21"/>
                      <w:vertAlign w:val="superscript"/>
                    </w:rPr>
                    <w:t>2</w:t>
                  </w:r>
                  <w:r>
                    <w:rPr>
                      <w:rFonts w:hint="eastAsia"/>
                      <w:color w:val="000000"/>
                      <w:spacing w:val="-6"/>
                      <w:szCs w:val="21"/>
                    </w:rPr>
                    <w:t>，</w:t>
                  </w:r>
                  <w:r>
                    <w:rPr>
                      <w:kern w:val="21"/>
                      <w:szCs w:val="21"/>
                    </w:rPr>
                    <w:t>对</w:t>
                  </w:r>
                  <w:r>
                    <w:rPr>
                      <w:rFonts w:hint="eastAsia"/>
                      <w:kern w:val="21"/>
                      <w:szCs w:val="21"/>
                      <w:lang w:eastAsia="zh-CN"/>
                    </w:rPr>
                    <w:t>危险废物贮存点</w:t>
                  </w:r>
                  <w:r>
                    <w:rPr>
                      <w:kern w:val="21"/>
                      <w:szCs w:val="21"/>
                    </w:rPr>
                    <w:t>地面及四周裙脚进行防渗处理，防渗层渗透系数应小于1×10</w:t>
                  </w:r>
                  <w:r>
                    <w:rPr>
                      <w:kern w:val="21"/>
                      <w:szCs w:val="21"/>
                      <w:vertAlign w:val="superscript"/>
                    </w:rPr>
                    <w:t>-7</w:t>
                  </w:r>
                  <w:r>
                    <w:rPr>
                      <w:kern w:val="21"/>
                      <w:szCs w:val="21"/>
                    </w:rPr>
                    <w:t>cm/s</w:t>
                  </w:r>
                </w:p>
              </w:tc>
            </w:tr>
            <w:tr w14:paraId="2C8AA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restart"/>
                  <w:tcBorders>
                    <w:tl2br w:val="nil"/>
                    <w:tr2bl w:val="nil"/>
                  </w:tcBorders>
                  <w:vAlign w:val="center"/>
                </w:tcPr>
                <w:p w14:paraId="29564EB2">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公用工程</w:t>
                  </w:r>
                </w:p>
              </w:tc>
              <w:tc>
                <w:tcPr>
                  <w:tcW w:w="1683" w:type="dxa"/>
                  <w:tcBorders>
                    <w:tl2br w:val="nil"/>
                    <w:tr2bl w:val="nil"/>
                  </w:tcBorders>
                  <w:vAlign w:val="center"/>
                </w:tcPr>
                <w:p w14:paraId="32CE14BF">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给水</w:t>
                  </w:r>
                </w:p>
              </w:tc>
              <w:tc>
                <w:tcPr>
                  <w:tcW w:w="6282" w:type="dxa"/>
                  <w:tcBorders>
                    <w:tl2br w:val="nil"/>
                    <w:tr2bl w:val="nil"/>
                  </w:tcBorders>
                  <w:vAlign w:val="center"/>
                </w:tcPr>
                <w:p w14:paraId="013CE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eastAsia="宋体"/>
                      <w:lang w:eastAsia="zh-CN"/>
                    </w:rPr>
                  </w:pPr>
                  <w:r>
                    <w:rPr>
                      <w:rFonts w:cs="Times New Roman"/>
                      <w:sz w:val="21"/>
                      <w:szCs w:val="21"/>
                    </w:rPr>
                    <w:t>给水水源接自周边已建市政供水管网</w:t>
                  </w:r>
                  <w:r>
                    <w:rPr>
                      <w:rFonts w:hint="eastAsia" w:cs="Times New Roman"/>
                      <w:sz w:val="21"/>
                      <w:szCs w:val="21"/>
                      <w:lang w:eastAsia="zh-CN"/>
                    </w:rPr>
                    <w:t>，</w:t>
                  </w:r>
                  <w:r>
                    <w:rPr>
                      <w:rFonts w:hint="eastAsia" w:cs="Times New Roman"/>
                      <w:sz w:val="21"/>
                      <w:szCs w:val="21"/>
                      <w:lang w:val="en-US" w:eastAsia="zh-CN"/>
                    </w:rPr>
                    <w:t>给水压力不小于0.3MPa</w:t>
                  </w:r>
                </w:p>
              </w:tc>
            </w:tr>
            <w:tr w14:paraId="738FD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3A170304">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4079B18A">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排水</w:t>
                  </w:r>
                </w:p>
              </w:tc>
              <w:tc>
                <w:tcPr>
                  <w:tcW w:w="6282" w:type="dxa"/>
                  <w:tcBorders>
                    <w:tl2br w:val="nil"/>
                    <w:tr2bl w:val="nil"/>
                  </w:tcBorders>
                  <w:vAlign w:val="center"/>
                </w:tcPr>
                <w:p w14:paraId="286AB282">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eastAsia="宋体"/>
                      <w:lang w:eastAsia="zh-CN"/>
                    </w:rPr>
                  </w:pPr>
                  <w:r>
                    <w:t>生活污水</w:t>
                  </w:r>
                  <w:r>
                    <w:rPr>
                      <w:rFonts w:hint="eastAsia"/>
                    </w:rPr>
                    <w:t>经排水系统收集至化粪池</w:t>
                  </w:r>
                  <w:r>
                    <w:rPr>
                      <w:rFonts w:hint="eastAsia"/>
                      <w:lang w:eastAsia="zh-CN"/>
                    </w:rPr>
                    <w:t>（</w:t>
                  </w:r>
                  <w:r>
                    <w:rPr>
                      <w:rFonts w:hint="eastAsia"/>
                      <w:lang w:val="en-US" w:eastAsia="zh-CN"/>
                    </w:rPr>
                    <w:t>19m</w:t>
                  </w:r>
                  <w:r>
                    <w:rPr>
                      <w:rFonts w:hint="eastAsia"/>
                      <w:vertAlign w:val="superscript"/>
                      <w:lang w:val="en-US" w:eastAsia="zh-CN"/>
                    </w:rPr>
                    <w:t>3</w:t>
                  </w:r>
                  <w:r>
                    <w:rPr>
                      <w:rFonts w:hint="eastAsia"/>
                      <w:lang w:eastAsia="zh-CN"/>
                    </w:rPr>
                    <w:t>）</w:t>
                  </w:r>
                  <w:r>
                    <w:rPr>
                      <w:rFonts w:hint="eastAsia"/>
                    </w:rPr>
                    <w:t>处理后排放至市政排水管道</w:t>
                  </w:r>
                  <w:r>
                    <w:rPr>
                      <w:rFonts w:hint="eastAsia"/>
                      <w:lang w:eastAsia="zh-CN"/>
                    </w:rPr>
                    <w:t>，</w:t>
                  </w:r>
                  <w:r>
                    <w:rPr>
                      <w:rFonts w:hint="eastAsia"/>
                    </w:rPr>
                    <w:t>最终进入</w:t>
                  </w:r>
                  <w:r>
                    <w:rPr>
                      <w:rFonts w:hint="eastAsia"/>
                      <w:lang w:eastAsia="zh-CN"/>
                    </w:rPr>
                    <w:t>库尔勒经济技术开发区工业废水处理厂</w:t>
                  </w:r>
                  <w:r>
                    <w:rPr>
                      <w:rFonts w:hint="eastAsia"/>
                    </w:rPr>
                    <w:t>深度处理</w:t>
                  </w:r>
                </w:p>
              </w:tc>
            </w:tr>
            <w:tr w14:paraId="3008E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32B32FEE">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11FA3F49">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rPr>
                      <w:rFonts w:hint="eastAsia"/>
                    </w:rPr>
                    <w:t>供</w:t>
                  </w:r>
                  <w:r>
                    <w:t>电</w:t>
                  </w:r>
                </w:p>
              </w:tc>
              <w:tc>
                <w:tcPr>
                  <w:tcW w:w="6282" w:type="dxa"/>
                  <w:tcBorders>
                    <w:tl2br w:val="nil"/>
                    <w:tr2bl w:val="nil"/>
                  </w:tcBorders>
                  <w:vAlign w:val="center"/>
                </w:tcPr>
                <w:p w14:paraId="2B3A6192">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eastAsia="宋体"/>
                      <w:lang w:eastAsia="zh-CN"/>
                    </w:rPr>
                  </w:pPr>
                  <w:r>
                    <w:rPr>
                      <w:rFonts w:hint="eastAsia"/>
                      <w:lang w:val="en-US" w:eastAsia="zh-CN"/>
                    </w:rPr>
                    <w:t>由</w:t>
                  </w:r>
                  <w:r>
                    <w:rPr>
                      <w:rFonts w:hint="eastAsia"/>
                    </w:rPr>
                    <w:t>市政电力系统</w:t>
                  </w:r>
                  <w:r>
                    <w:rPr>
                      <w:rFonts w:hint="eastAsia"/>
                      <w:lang w:val="en-US" w:eastAsia="zh-CN"/>
                    </w:rPr>
                    <w:t>供给</w:t>
                  </w:r>
                  <w:r>
                    <w:rPr>
                      <w:rFonts w:hint="eastAsia"/>
                      <w:lang w:eastAsia="zh-CN"/>
                    </w:rPr>
                    <w:t>，1座专用400kVA箱变站</w:t>
                  </w:r>
                </w:p>
              </w:tc>
            </w:tr>
            <w:tr w14:paraId="6563C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3D405019">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69E41E7B">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供暖</w:t>
                  </w:r>
                </w:p>
              </w:tc>
              <w:tc>
                <w:tcPr>
                  <w:tcW w:w="6282" w:type="dxa"/>
                  <w:tcBorders>
                    <w:tl2br w:val="nil"/>
                    <w:tr2bl w:val="nil"/>
                  </w:tcBorders>
                  <w:vAlign w:val="center"/>
                </w:tcPr>
                <w:p w14:paraId="355932D6">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冬季供暖为电采暖</w:t>
                  </w:r>
                </w:p>
              </w:tc>
            </w:tr>
            <w:tr w14:paraId="4A33B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3970FCDF">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058D531D">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消防</w:t>
                  </w:r>
                </w:p>
              </w:tc>
              <w:tc>
                <w:tcPr>
                  <w:tcW w:w="6282" w:type="dxa"/>
                  <w:tcBorders>
                    <w:tl2br w:val="nil"/>
                    <w:tr2bl w:val="nil"/>
                  </w:tcBorders>
                  <w:vAlign w:val="center"/>
                </w:tcPr>
                <w:p w14:paraId="089D989B">
                  <w:pPr>
                    <w:pStyle w:val="3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pPr>
                  <w:r>
                    <w:rPr>
                      <w:rFonts w:cs="Times New Roman"/>
                      <w:sz w:val="21"/>
                      <w:szCs w:val="21"/>
                    </w:rPr>
                    <w:t>按照《汽车加油加气加氢站技术标准》（GB50156-2021）中的要求，配置有一整套消防和灭火设施</w:t>
                  </w:r>
                </w:p>
              </w:tc>
            </w:tr>
            <w:tr w14:paraId="7C70B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vMerge w:val="restart"/>
                  <w:tcBorders>
                    <w:tl2br w:val="nil"/>
                    <w:tr2bl w:val="nil"/>
                  </w:tcBorders>
                  <w:vAlign w:val="center"/>
                </w:tcPr>
                <w:p w14:paraId="0AF792D8">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环保</w:t>
                  </w:r>
                </w:p>
                <w:p w14:paraId="4A281B9F">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工程</w:t>
                  </w:r>
                </w:p>
              </w:tc>
              <w:tc>
                <w:tcPr>
                  <w:tcW w:w="1683" w:type="dxa"/>
                  <w:tcBorders>
                    <w:tl2br w:val="nil"/>
                    <w:tr2bl w:val="nil"/>
                  </w:tcBorders>
                  <w:vAlign w:val="center"/>
                </w:tcPr>
                <w:p w14:paraId="5B0D1B5A">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噪声处理工程</w:t>
                  </w:r>
                </w:p>
              </w:tc>
              <w:tc>
                <w:tcPr>
                  <w:tcW w:w="6282" w:type="dxa"/>
                  <w:tcBorders>
                    <w:tl2br w:val="nil"/>
                    <w:tr2bl w:val="nil"/>
                  </w:tcBorders>
                  <w:vAlign w:val="center"/>
                </w:tcPr>
                <w:p w14:paraId="0FB12272">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cs="Times New Roman"/>
                      <w:sz w:val="21"/>
                      <w:szCs w:val="21"/>
                    </w:rPr>
                    <w:t>隔音措施、减振基座、合理布置生产设备</w:t>
                  </w:r>
                </w:p>
              </w:tc>
            </w:tr>
            <w:tr w14:paraId="3920D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50" w:type="dxa"/>
                  <w:vMerge w:val="continue"/>
                  <w:tcBorders>
                    <w:tl2br w:val="nil"/>
                    <w:tr2bl w:val="nil"/>
                  </w:tcBorders>
                  <w:vAlign w:val="center"/>
                </w:tcPr>
                <w:p w14:paraId="5159E746">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44668234">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废水处理工程</w:t>
                  </w:r>
                </w:p>
              </w:tc>
              <w:tc>
                <w:tcPr>
                  <w:tcW w:w="6282" w:type="dxa"/>
                  <w:tcBorders>
                    <w:tl2br w:val="nil"/>
                    <w:tr2bl w:val="nil"/>
                  </w:tcBorders>
                  <w:vAlign w:val="center"/>
                </w:tcPr>
                <w:p w14:paraId="07AC6FC9">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eastAsia="宋体"/>
                      <w:lang w:eastAsia="zh-CN"/>
                    </w:rPr>
                  </w:pPr>
                  <w:r>
                    <w:t>生活污水</w:t>
                  </w:r>
                  <w:r>
                    <w:rPr>
                      <w:rFonts w:hint="eastAsia"/>
                    </w:rPr>
                    <w:t>经排水系统收集至化粪池</w:t>
                  </w:r>
                  <w:r>
                    <w:rPr>
                      <w:rFonts w:hint="eastAsia"/>
                      <w:lang w:eastAsia="zh-CN"/>
                    </w:rPr>
                    <w:t>（</w:t>
                  </w:r>
                  <w:r>
                    <w:rPr>
                      <w:rFonts w:hint="eastAsia"/>
                      <w:lang w:val="en-US" w:eastAsia="zh-CN"/>
                    </w:rPr>
                    <w:t>19m</w:t>
                  </w:r>
                  <w:r>
                    <w:rPr>
                      <w:rFonts w:hint="eastAsia"/>
                      <w:vertAlign w:val="superscript"/>
                      <w:lang w:val="en-US" w:eastAsia="zh-CN"/>
                    </w:rPr>
                    <w:t>3</w:t>
                  </w:r>
                  <w:r>
                    <w:rPr>
                      <w:rFonts w:hint="eastAsia"/>
                      <w:lang w:eastAsia="zh-CN"/>
                    </w:rPr>
                    <w:t>）</w:t>
                  </w:r>
                  <w:r>
                    <w:rPr>
                      <w:rFonts w:hint="eastAsia"/>
                    </w:rPr>
                    <w:t>处理后排放至市政排水管道</w:t>
                  </w:r>
                  <w:r>
                    <w:rPr>
                      <w:rFonts w:hint="eastAsia"/>
                      <w:lang w:eastAsia="zh-CN"/>
                    </w:rPr>
                    <w:t>，</w:t>
                  </w:r>
                  <w:r>
                    <w:rPr>
                      <w:rFonts w:hint="eastAsia"/>
                    </w:rPr>
                    <w:t>最终进入</w:t>
                  </w:r>
                  <w:r>
                    <w:rPr>
                      <w:rFonts w:hint="eastAsia"/>
                      <w:lang w:eastAsia="zh-CN"/>
                    </w:rPr>
                    <w:t>库尔勒经济技术开发区工业废水处理厂</w:t>
                  </w:r>
                  <w:r>
                    <w:rPr>
                      <w:rFonts w:hint="eastAsia"/>
                    </w:rPr>
                    <w:t>深度处理</w:t>
                  </w:r>
                </w:p>
              </w:tc>
            </w:tr>
            <w:tr w14:paraId="38E39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50" w:type="dxa"/>
                  <w:vMerge w:val="continue"/>
                  <w:tcBorders>
                    <w:tl2br w:val="nil"/>
                    <w:tr2bl w:val="nil"/>
                  </w:tcBorders>
                  <w:vAlign w:val="center"/>
                </w:tcPr>
                <w:p w14:paraId="1AAC8CE3">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74AB64C0">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废气处理工程</w:t>
                  </w:r>
                </w:p>
              </w:tc>
              <w:tc>
                <w:tcPr>
                  <w:tcW w:w="6282" w:type="dxa"/>
                  <w:tcBorders>
                    <w:tl2br w:val="nil"/>
                    <w:tr2bl w:val="nil"/>
                  </w:tcBorders>
                  <w:vAlign w:val="center"/>
                </w:tcPr>
                <w:p w14:paraId="640DFFE8">
                  <w:pPr>
                    <w:pStyle w:val="3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cs="Times New Roman"/>
                      <w:sz w:val="21"/>
                      <w:szCs w:val="21"/>
                    </w:rPr>
                  </w:pPr>
                  <w:r>
                    <w:rPr>
                      <w:rFonts w:hint="eastAsia" w:cs="Times New Roman"/>
                      <w:szCs w:val="24"/>
                      <w:lang w:val="en-US" w:eastAsia="zh-CN"/>
                    </w:rPr>
                    <w:t>配套二次油气回收装置，</w:t>
                  </w:r>
                  <w:r>
                    <w:rPr>
                      <w:rFonts w:hint="eastAsia" w:cs="Times New Roman"/>
                      <w:sz w:val="21"/>
                      <w:szCs w:val="21"/>
                    </w:rPr>
                    <w:t>用于控制</w:t>
                  </w:r>
                  <w:r>
                    <w:rPr>
                      <w:rFonts w:hint="eastAsia" w:cs="Times New Roman"/>
                      <w:szCs w:val="24"/>
                    </w:rPr>
                    <w:t>挥发的油气（以非甲烷总烃计）</w:t>
                  </w:r>
                  <w:r>
                    <w:rPr>
                      <w:rFonts w:hint="eastAsia" w:cs="Times New Roman"/>
                      <w:sz w:val="21"/>
                      <w:szCs w:val="21"/>
                    </w:rPr>
                    <w:t>无组织排放</w:t>
                  </w:r>
                </w:p>
                <w:p w14:paraId="487ECD6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cs="Times New Roman"/>
                      <w:sz w:val="21"/>
                      <w:szCs w:val="21"/>
                    </w:rPr>
                  </w:pPr>
                  <w:r>
                    <w:rPr>
                      <w:rFonts w:hint="eastAsia" w:cs="Times New Roman"/>
                      <w:sz w:val="21"/>
                      <w:szCs w:val="21"/>
                    </w:rPr>
                    <w:t>①卸油油气回收系统：由油罐车、油气回收管线、密封式快速接头、储油罐构成</w:t>
                  </w:r>
                </w:p>
                <w:p w14:paraId="2C35892A">
                  <w:pPr>
                    <w:pStyle w:val="3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cs="Times New Roman"/>
                      <w:sz w:val="21"/>
                      <w:szCs w:val="21"/>
                    </w:rPr>
                  </w:pPr>
                  <w:r>
                    <w:rPr>
                      <w:rFonts w:hint="eastAsia" w:cs="Times New Roman"/>
                      <w:sz w:val="21"/>
                      <w:szCs w:val="21"/>
                    </w:rPr>
                    <w:t>②加油油气回收系统：油气回收型加油枪、油气回收管线、分散式集气泵以及储油罐构成</w:t>
                  </w:r>
                </w:p>
                <w:p w14:paraId="256E8B63">
                  <w:pPr>
                    <w:pStyle w:val="3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eastAsia="宋体" w:cs="Times New Roman"/>
                      <w:sz w:val="21"/>
                      <w:szCs w:val="21"/>
                      <w:lang w:val="en-US" w:eastAsia="zh-CN"/>
                    </w:rPr>
                  </w:pPr>
                  <w:r>
                    <w:rPr>
                      <w:rFonts w:hint="eastAsia" w:cs="Times New Roman"/>
                      <w:szCs w:val="24"/>
                    </w:rPr>
                    <w:t>车辆进出加油站产生的汽车尾气</w:t>
                  </w:r>
                  <w:r>
                    <w:rPr>
                      <w:rFonts w:hint="eastAsia" w:cs="Times New Roman"/>
                      <w:szCs w:val="24"/>
                      <w:lang w:val="en-US" w:eastAsia="zh-CN"/>
                    </w:rPr>
                    <w:t>通过</w:t>
                  </w:r>
                  <w:r>
                    <w:rPr>
                      <w:rFonts w:hint="eastAsia" w:cs="Times New Roman"/>
                      <w:snapToGrid w:val="0"/>
                      <w:kern w:val="0"/>
                      <w:sz w:val="21"/>
                      <w:szCs w:val="24"/>
                    </w:rPr>
                    <w:t>减少机动车辆启动次数及</w:t>
                  </w:r>
                  <w:r>
                    <w:rPr>
                      <w:rFonts w:hint="eastAsia" w:cs="Times New Roman"/>
                      <w:snapToGrid w:val="0"/>
                      <w:kern w:val="0"/>
                      <w:sz w:val="21"/>
                      <w:szCs w:val="24"/>
                      <w:lang w:val="en-US" w:eastAsia="zh-CN"/>
                    </w:rPr>
                    <w:t>减</w:t>
                  </w:r>
                  <w:r>
                    <w:rPr>
                      <w:rFonts w:hint="eastAsia" w:cs="Times New Roman"/>
                      <w:snapToGrid w:val="0"/>
                      <w:kern w:val="0"/>
                      <w:sz w:val="21"/>
                      <w:szCs w:val="24"/>
                    </w:rPr>
                    <w:t>速行驶</w:t>
                  </w:r>
                  <w:r>
                    <w:rPr>
                      <w:rFonts w:hint="eastAsia" w:cs="Times New Roman"/>
                      <w:szCs w:val="24"/>
                      <w:lang w:val="en-US" w:eastAsia="zh-CN"/>
                    </w:rPr>
                    <w:t>自然扩散</w:t>
                  </w:r>
                </w:p>
              </w:tc>
            </w:tr>
            <w:tr w14:paraId="675D5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45C6B47A">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vMerge w:val="restart"/>
                  <w:tcBorders>
                    <w:tl2br w:val="nil"/>
                    <w:tr2bl w:val="nil"/>
                  </w:tcBorders>
                  <w:vAlign w:val="center"/>
                </w:tcPr>
                <w:p w14:paraId="6766D62B">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固废处理工程</w:t>
                  </w:r>
                </w:p>
              </w:tc>
              <w:tc>
                <w:tcPr>
                  <w:tcW w:w="6282" w:type="dxa"/>
                  <w:tcBorders>
                    <w:tl2br w:val="nil"/>
                    <w:tr2bl w:val="nil"/>
                  </w:tcBorders>
                  <w:vAlign w:val="center"/>
                </w:tcPr>
                <w:p w14:paraId="2AA9FEFD">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t>生活垃圾</w:t>
                  </w:r>
                  <w:r>
                    <w:rPr>
                      <w:rFonts w:hint="eastAsia"/>
                      <w:lang w:val="en-US" w:eastAsia="zh-CN"/>
                    </w:rPr>
                    <w:t>集中</w:t>
                  </w:r>
                  <w:r>
                    <w:rPr>
                      <w:rFonts w:hint="eastAsia"/>
                    </w:rPr>
                    <w:t>收集</w:t>
                  </w:r>
                  <w:r>
                    <w:t>后由环卫部门清运</w:t>
                  </w:r>
                </w:p>
              </w:tc>
            </w:tr>
            <w:tr w14:paraId="1CA65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634B433E">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vMerge w:val="continue"/>
                  <w:tcBorders>
                    <w:tl2br w:val="nil"/>
                    <w:tr2bl w:val="nil"/>
                  </w:tcBorders>
                  <w:vAlign w:val="center"/>
                </w:tcPr>
                <w:p w14:paraId="759E1946">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6282" w:type="dxa"/>
                  <w:tcBorders>
                    <w:tl2br w:val="nil"/>
                    <w:tr2bl w:val="nil"/>
                  </w:tcBorders>
                  <w:vAlign w:val="center"/>
                </w:tcPr>
                <w:p w14:paraId="13D5DC50">
                  <w:pPr>
                    <w:pStyle w:val="3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pPr>
                  <w:r>
                    <w:t>油罐清洁工作定期委托站外单位承包，清罐</w:t>
                  </w:r>
                  <w:r>
                    <w:rPr>
                      <w:rFonts w:hint="eastAsia"/>
                      <w:lang w:val="en-US" w:eastAsia="zh-CN"/>
                    </w:rPr>
                    <w:t>油泥、</w:t>
                  </w:r>
                  <w:r>
                    <w:t>污水也由作业方（危废处置单位）处置，不在站区</w:t>
                  </w:r>
                  <w:r>
                    <w:rPr>
                      <w:rFonts w:hint="eastAsia"/>
                      <w:lang w:val="en-US" w:eastAsia="zh-CN"/>
                    </w:rPr>
                    <w:t>贮存</w:t>
                  </w:r>
                  <w:r>
                    <w:rPr>
                      <w:rFonts w:hint="eastAsia"/>
                    </w:rPr>
                    <w:t>；</w:t>
                  </w:r>
                  <w:r>
                    <w:rPr>
                      <w:rFonts w:hint="eastAsia" w:cs="Times New Roman"/>
                      <w:sz w:val="21"/>
                      <w:szCs w:val="21"/>
                    </w:rPr>
                    <w:t>废弃的</w:t>
                  </w:r>
                  <w:r>
                    <w:rPr>
                      <w:rFonts w:hint="eastAsia" w:cs="Times New Roman"/>
                      <w:sz w:val="21"/>
                      <w:szCs w:val="21"/>
                      <w:lang w:eastAsia="zh-CN"/>
                    </w:rPr>
                    <w:t>沾油手套</w:t>
                  </w:r>
                  <w:r>
                    <w:rPr>
                      <w:rFonts w:hint="eastAsia" w:cs="Times New Roman"/>
                      <w:sz w:val="21"/>
                      <w:szCs w:val="21"/>
                      <w:lang w:val="en-US" w:eastAsia="zh-CN"/>
                    </w:rPr>
                    <w:t>和</w:t>
                  </w:r>
                  <w:r>
                    <w:rPr>
                      <w:rFonts w:hint="eastAsia" w:cs="Times New Roman"/>
                      <w:sz w:val="21"/>
                      <w:szCs w:val="21"/>
                    </w:rPr>
                    <w:t>抹布、设备检维修时产生废润滑油，集中收集</w:t>
                  </w:r>
                  <w:r>
                    <w:rPr>
                      <w:rFonts w:hint="eastAsia" w:cs="Times New Roman"/>
                      <w:sz w:val="21"/>
                      <w:szCs w:val="21"/>
                      <w:lang w:val="en-US" w:eastAsia="zh-CN"/>
                    </w:rPr>
                    <w:t>贮存</w:t>
                  </w:r>
                  <w:r>
                    <w:rPr>
                      <w:rFonts w:hint="eastAsia" w:cs="Times New Roman"/>
                      <w:sz w:val="21"/>
                      <w:szCs w:val="21"/>
                    </w:rPr>
                    <w:t>于危险废物</w:t>
                  </w:r>
                  <w:r>
                    <w:rPr>
                      <w:rFonts w:hint="eastAsia" w:cs="Times New Roman"/>
                      <w:sz w:val="21"/>
                      <w:szCs w:val="21"/>
                      <w:lang w:val="en-US" w:eastAsia="zh-CN"/>
                    </w:rPr>
                    <w:t>贮存点</w:t>
                  </w:r>
                  <w:r>
                    <w:rPr>
                      <w:rFonts w:hint="eastAsia" w:cs="Times New Roman"/>
                      <w:sz w:val="21"/>
                      <w:szCs w:val="21"/>
                    </w:rPr>
                    <w:t>并委托有资质单位</w:t>
                  </w:r>
                  <w:r>
                    <w:rPr>
                      <w:rFonts w:hint="eastAsia" w:cs="Times New Roman"/>
                      <w:sz w:val="21"/>
                      <w:szCs w:val="21"/>
                      <w:lang w:val="en-US" w:eastAsia="zh-CN"/>
                    </w:rPr>
                    <w:t>拉运</w:t>
                  </w:r>
                  <w:r>
                    <w:rPr>
                      <w:rFonts w:hint="eastAsia" w:cs="Times New Roman"/>
                      <w:sz w:val="21"/>
                      <w:szCs w:val="21"/>
                    </w:rPr>
                    <w:t>处置</w:t>
                  </w:r>
                </w:p>
              </w:tc>
            </w:tr>
            <w:tr w14:paraId="67DFF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03B471EA">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1426E608">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r>
                    <w:rPr>
                      <w:rFonts w:hint="eastAsia"/>
                    </w:rPr>
                    <w:t>风险防范</w:t>
                  </w:r>
                </w:p>
              </w:tc>
              <w:tc>
                <w:tcPr>
                  <w:tcW w:w="6282" w:type="dxa"/>
                  <w:tcBorders>
                    <w:tl2br w:val="nil"/>
                    <w:tr2bl w:val="nil"/>
                  </w:tcBorders>
                  <w:vAlign w:val="center"/>
                </w:tcPr>
                <w:p w14:paraId="2CEB5150">
                  <w:pPr>
                    <w:pStyle w:val="3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pPr>
                  <w:r>
                    <w:t>设置报警装置、安全阀、紧急切断系统</w:t>
                  </w:r>
                  <w:r>
                    <w:rPr>
                      <w:rFonts w:hint="eastAsia"/>
                    </w:rPr>
                    <w:t>；</w:t>
                  </w:r>
                  <w:r>
                    <w:t>设置消防沙箱、灭火器、</w:t>
                  </w:r>
                  <w:r>
                    <w:rPr>
                      <w:rFonts w:hint="eastAsia"/>
                    </w:rPr>
                    <w:t>灭火毯、</w:t>
                  </w:r>
                  <w:r>
                    <w:t>消防工具箱</w:t>
                  </w:r>
                  <w:r>
                    <w:rPr>
                      <w:rFonts w:hint="eastAsia"/>
                    </w:rPr>
                    <w:t>等</w:t>
                  </w:r>
                  <w:r>
                    <w:t>消防器具</w:t>
                  </w:r>
                </w:p>
              </w:tc>
            </w:tr>
            <w:tr w14:paraId="365CF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6F562A9D">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7FBDE6F4">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绿化工程</w:t>
                  </w:r>
                </w:p>
              </w:tc>
              <w:tc>
                <w:tcPr>
                  <w:tcW w:w="6282" w:type="dxa"/>
                  <w:tcBorders>
                    <w:tl2br w:val="nil"/>
                    <w:tr2bl w:val="nil"/>
                  </w:tcBorders>
                  <w:vAlign w:val="center"/>
                </w:tcPr>
                <w:p w14:paraId="4F93D468">
                  <w:pPr>
                    <w:pStyle w:val="3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eastAsia="宋体"/>
                      <w:lang w:val="en-US" w:eastAsia="zh-CN"/>
                    </w:rPr>
                  </w:pPr>
                  <w:r>
                    <w:rPr>
                      <w:rFonts w:hint="eastAsia"/>
                      <w:lang w:val="en-US" w:eastAsia="zh-CN"/>
                    </w:rPr>
                    <w:t>设计绿化面积1721.92m</w:t>
                  </w:r>
                  <w:r>
                    <w:rPr>
                      <w:rFonts w:hint="eastAsia"/>
                      <w:vertAlign w:val="superscript"/>
                      <w:lang w:val="en-US" w:eastAsia="zh-CN"/>
                    </w:rPr>
                    <w:t>2</w:t>
                  </w:r>
                </w:p>
              </w:tc>
            </w:tr>
            <w:tr w14:paraId="4054F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50" w:type="dxa"/>
                  <w:vMerge w:val="continue"/>
                  <w:tcBorders>
                    <w:tl2br w:val="nil"/>
                    <w:tr2bl w:val="nil"/>
                  </w:tcBorders>
                  <w:vAlign w:val="center"/>
                </w:tcPr>
                <w:p w14:paraId="27DD58CA">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pPr>
                </w:p>
              </w:tc>
              <w:tc>
                <w:tcPr>
                  <w:tcW w:w="1683" w:type="dxa"/>
                  <w:tcBorders>
                    <w:tl2br w:val="nil"/>
                    <w:tr2bl w:val="nil"/>
                  </w:tcBorders>
                  <w:vAlign w:val="center"/>
                </w:tcPr>
                <w:p w14:paraId="16AC9905">
                  <w:pPr>
                    <w:pStyle w:val="3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cs="Times New Roman"/>
                      <w:sz w:val="21"/>
                      <w:szCs w:val="21"/>
                    </w:rPr>
                    <w:t>施工期环保工程</w:t>
                  </w:r>
                </w:p>
              </w:tc>
              <w:tc>
                <w:tcPr>
                  <w:tcW w:w="6282" w:type="dxa"/>
                  <w:tcBorders>
                    <w:tl2br w:val="nil"/>
                    <w:tr2bl w:val="nil"/>
                  </w:tcBorders>
                  <w:vAlign w:val="center"/>
                </w:tcPr>
                <w:p w14:paraId="591476B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cs="Times New Roman"/>
                      <w:sz w:val="21"/>
                      <w:szCs w:val="21"/>
                    </w:rPr>
                  </w:pPr>
                  <w:r>
                    <w:rPr>
                      <w:rFonts w:hint="eastAsia" w:cs="Times New Roman"/>
                      <w:sz w:val="21"/>
                      <w:szCs w:val="21"/>
                    </w:rPr>
                    <w:t>废气：采用洒水设备、抑尘网布，设置围墙遮挡；大风天气停止土方作业，渣土覆盖，严禁带泥上路</w:t>
                  </w:r>
                </w:p>
                <w:p w14:paraId="1E0AB5A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cs="Times New Roman"/>
                      <w:sz w:val="21"/>
                      <w:szCs w:val="21"/>
                    </w:rPr>
                  </w:pPr>
                  <w:r>
                    <w:rPr>
                      <w:rFonts w:hint="eastAsia" w:cs="Times New Roman"/>
                      <w:sz w:val="21"/>
                      <w:szCs w:val="21"/>
                    </w:rPr>
                    <w:t>废水：施工废水经临时沉淀池处理后用于洒水降尘，不外排；项目施工人员不在项目区住宿，不设置施工生活区，无施工生活</w:t>
                  </w:r>
                  <w:r>
                    <w:rPr>
                      <w:rFonts w:hint="eastAsia" w:cs="Times New Roman"/>
                      <w:sz w:val="21"/>
                      <w:szCs w:val="21"/>
                      <w:lang w:val="en-US" w:eastAsia="zh-CN"/>
                    </w:rPr>
                    <w:t>污水</w:t>
                  </w:r>
                  <w:r>
                    <w:rPr>
                      <w:rFonts w:hint="eastAsia" w:cs="Times New Roman"/>
                      <w:sz w:val="21"/>
                      <w:szCs w:val="21"/>
                    </w:rPr>
                    <w:t>产生</w:t>
                  </w:r>
                </w:p>
                <w:p w14:paraId="40E7B3C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cs="Times New Roman"/>
                      <w:sz w:val="21"/>
                      <w:szCs w:val="21"/>
                    </w:rPr>
                  </w:pPr>
                  <w:r>
                    <w:rPr>
                      <w:rFonts w:cs="Times New Roman"/>
                      <w:sz w:val="21"/>
                      <w:szCs w:val="21"/>
                    </w:rPr>
                    <w:t>噪声：合理安排施工时间，选用低噪声设备，避免扰民</w:t>
                  </w:r>
                </w:p>
                <w:p w14:paraId="6690230F">
                  <w:pPr>
                    <w:pStyle w:val="3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pPr>
                  <w:r>
                    <w:rPr>
                      <w:rFonts w:cs="Times New Roman"/>
                      <w:sz w:val="21"/>
                      <w:szCs w:val="21"/>
                    </w:rPr>
                    <w:t>固废：</w:t>
                  </w:r>
                  <w:r>
                    <w:rPr>
                      <w:rFonts w:hint="eastAsia" w:cs="Times New Roman"/>
                      <w:sz w:val="21"/>
                      <w:szCs w:val="21"/>
                    </w:rPr>
                    <w:t>施工中的建筑垃圾主要是碎砖块、灰浆、废材料等，应由各施工队妥善处理，及时清运到环卫部门指定的地方处置；施工期产生的土方主要用作后期工程的回填材料，具体去向包括场地平整、基础回填以及道路或绿化区域的高程调整等；</w:t>
                  </w:r>
                  <w:r>
                    <w:rPr>
                      <w:rFonts w:cs="Times New Roman"/>
                      <w:sz w:val="21"/>
                      <w:szCs w:val="21"/>
                    </w:rPr>
                    <w:t>施工人员生活垃圾集中收集后送至环卫部门指定地点处理</w:t>
                  </w:r>
                </w:p>
              </w:tc>
            </w:tr>
          </w:tbl>
          <w:p w14:paraId="40417922">
            <w:pPr>
              <w:keepLines/>
              <w:adjustRightInd w:val="0"/>
              <w:ind w:firstLine="0" w:firstLineChars="0"/>
              <w:textAlignment w:val="baseline"/>
              <w:outlineLvl w:val="1"/>
              <w:rPr>
                <w:b/>
                <w:color w:val="000000"/>
              </w:rPr>
            </w:pPr>
            <w:r>
              <w:rPr>
                <w:rFonts w:hint="eastAsia"/>
                <w:b/>
                <w:color w:val="000000"/>
              </w:rPr>
              <w:t>2.</w:t>
            </w:r>
            <w:r>
              <w:rPr>
                <w:rFonts w:hint="eastAsia"/>
                <w:b/>
                <w:color w:val="000000"/>
                <w:lang w:val="en-US" w:eastAsia="zh-CN"/>
              </w:rPr>
              <w:t>4</w:t>
            </w:r>
            <w:r>
              <w:rPr>
                <w:rFonts w:hint="eastAsia"/>
                <w:b/>
                <w:color w:val="000000"/>
              </w:rPr>
              <w:t>主要设备</w:t>
            </w:r>
          </w:p>
          <w:p w14:paraId="2DA5F687">
            <w:pPr>
              <w:pStyle w:val="28"/>
              <w:spacing w:before="120"/>
              <w:ind w:firstLine="422"/>
              <w:rPr>
                <w:highlight w:val="none"/>
              </w:rPr>
            </w:pPr>
            <w:r>
              <w:rPr>
                <w:highlight w:val="none"/>
              </w:rPr>
              <w:t>表</w:t>
            </w:r>
            <w:r>
              <w:rPr>
                <w:rFonts w:hint="eastAsia"/>
                <w:highlight w:val="none"/>
              </w:rPr>
              <w:t>2</w:t>
            </w:r>
            <w:r>
              <w:rPr>
                <w:rFonts w:hint="eastAsia"/>
                <w:highlight w:val="none"/>
                <w:lang w:val="en-US" w:eastAsia="zh-CN"/>
              </w:rPr>
              <w:t>-3</w:t>
            </w:r>
            <w:r>
              <w:rPr>
                <w:highlight w:val="none"/>
              </w:rPr>
              <w:t xml:space="preserve"> </w:t>
            </w:r>
            <w:r>
              <w:rPr>
                <w:rFonts w:hint="eastAsia"/>
                <w:highlight w:val="none"/>
                <w:lang w:val="en-US" w:eastAsia="zh-CN"/>
              </w:rPr>
              <w:t xml:space="preserve"> </w:t>
            </w:r>
            <w:r>
              <w:rPr>
                <w:rFonts w:hint="eastAsia"/>
                <w:highlight w:val="none"/>
              </w:rPr>
              <w:t>主要设备</w:t>
            </w:r>
            <w:r>
              <w:rPr>
                <w:highlight w:val="none"/>
              </w:rPr>
              <w:t>一览表</w:t>
            </w:r>
          </w:p>
          <w:tbl>
            <w:tblPr>
              <w:tblStyle w:val="20"/>
              <w:tblW w:w="49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06"/>
              <w:gridCol w:w="1819"/>
              <w:gridCol w:w="675"/>
              <w:gridCol w:w="675"/>
              <w:gridCol w:w="2639"/>
            </w:tblGrid>
            <w:tr w14:paraId="138D3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96" w:type="pct"/>
                  <w:tcBorders>
                    <w:tl2br w:val="nil"/>
                    <w:tr2bl w:val="nil"/>
                  </w:tcBorders>
                  <w:vAlign w:val="center"/>
                </w:tcPr>
                <w:p w14:paraId="25CB3845">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t>序号</w:t>
                  </w:r>
                </w:p>
              </w:tc>
              <w:tc>
                <w:tcPr>
                  <w:tcW w:w="1181" w:type="pct"/>
                  <w:tcBorders>
                    <w:tl2br w:val="nil"/>
                    <w:tr2bl w:val="nil"/>
                  </w:tcBorders>
                  <w:vAlign w:val="center"/>
                </w:tcPr>
                <w:p w14:paraId="70A2B736">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t>设备名称</w:t>
                  </w:r>
                </w:p>
              </w:tc>
              <w:tc>
                <w:tcPr>
                  <w:tcW w:w="1071" w:type="pct"/>
                  <w:tcBorders>
                    <w:tl2br w:val="nil"/>
                    <w:tr2bl w:val="nil"/>
                  </w:tcBorders>
                  <w:vAlign w:val="center"/>
                </w:tcPr>
                <w:p w14:paraId="634AC73E">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t>容量（m³）/型号</w:t>
                  </w:r>
                </w:p>
              </w:tc>
              <w:tc>
                <w:tcPr>
                  <w:tcW w:w="397" w:type="pct"/>
                  <w:tcBorders>
                    <w:tl2br w:val="nil"/>
                    <w:tr2bl w:val="nil"/>
                  </w:tcBorders>
                  <w:vAlign w:val="center"/>
                </w:tcPr>
                <w:p w14:paraId="340B086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t>数量</w:t>
                  </w:r>
                </w:p>
              </w:tc>
              <w:tc>
                <w:tcPr>
                  <w:tcW w:w="397" w:type="pct"/>
                  <w:tcBorders>
                    <w:tl2br w:val="nil"/>
                    <w:tr2bl w:val="nil"/>
                  </w:tcBorders>
                  <w:vAlign w:val="center"/>
                </w:tcPr>
                <w:p w14:paraId="46F69221">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单位</w:t>
                  </w:r>
                </w:p>
              </w:tc>
              <w:tc>
                <w:tcPr>
                  <w:tcW w:w="1554" w:type="pct"/>
                  <w:tcBorders>
                    <w:tl2br w:val="nil"/>
                    <w:tr2bl w:val="nil"/>
                  </w:tcBorders>
                  <w:vAlign w:val="center"/>
                </w:tcPr>
                <w:p w14:paraId="1A8E37E0">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t>备注</w:t>
                  </w:r>
                </w:p>
              </w:tc>
            </w:tr>
            <w:tr w14:paraId="77C4A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000" w:type="pct"/>
                  <w:gridSpan w:val="6"/>
                  <w:tcBorders>
                    <w:tl2br w:val="nil"/>
                    <w:tr2bl w:val="nil"/>
                  </w:tcBorders>
                  <w:vAlign w:val="center"/>
                </w:tcPr>
                <w:p w14:paraId="40455130">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加油工艺主要设备</w:t>
                  </w:r>
                </w:p>
              </w:tc>
            </w:tr>
            <w:tr w14:paraId="64162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6" w:type="pct"/>
                  <w:tcBorders>
                    <w:tl2br w:val="nil"/>
                    <w:tr2bl w:val="nil"/>
                  </w:tcBorders>
                  <w:vAlign w:val="center"/>
                </w:tcPr>
                <w:p w14:paraId="504541B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1</w:t>
                  </w:r>
                </w:p>
              </w:tc>
              <w:tc>
                <w:tcPr>
                  <w:tcW w:w="1181" w:type="pct"/>
                  <w:tcBorders>
                    <w:tl2br w:val="nil"/>
                    <w:tr2bl w:val="nil"/>
                  </w:tcBorders>
                  <w:vAlign w:val="center"/>
                </w:tcPr>
                <w:p w14:paraId="4882848F">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25m</w:t>
                  </w:r>
                  <w:r>
                    <w:rPr>
                      <w:rFonts w:hint="eastAsia"/>
                      <w:vertAlign w:val="superscript"/>
                      <w:lang w:val="en-US" w:eastAsia="zh-CN"/>
                    </w:rPr>
                    <w:t>3</w:t>
                  </w:r>
                  <w:r>
                    <w:rPr>
                      <w:rFonts w:hint="eastAsia"/>
                      <w:lang w:val="en-US" w:eastAsia="zh-CN"/>
                    </w:rPr>
                    <w:t>SF双层汽油罐</w:t>
                  </w:r>
                </w:p>
              </w:tc>
              <w:tc>
                <w:tcPr>
                  <w:tcW w:w="1071" w:type="pct"/>
                  <w:tcBorders>
                    <w:tl2br w:val="nil"/>
                    <w:tr2bl w:val="nil"/>
                  </w:tcBorders>
                  <w:vAlign w:val="center"/>
                </w:tcPr>
                <w:p w14:paraId="07DC671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φ</w:t>
                  </w:r>
                  <w:r>
                    <w:rPr>
                      <w:rFonts w:hint="eastAsia"/>
                    </w:rPr>
                    <w:t>2.4m</w:t>
                  </w:r>
                  <w:r>
                    <w:rPr>
                      <w:rFonts w:hint="default" w:ascii="Arial" w:hAnsi="Arial" w:cs="Arial"/>
                    </w:rPr>
                    <w:t>×</w:t>
                  </w:r>
                  <w:r>
                    <w:rPr>
                      <w:rFonts w:hint="eastAsia"/>
                    </w:rPr>
                    <w:t>6.0m</w:t>
                  </w:r>
                </w:p>
              </w:tc>
              <w:tc>
                <w:tcPr>
                  <w:tcW w:w="397" w:type="pct"/>
                  <w:tcBorders>
                    <w:tl2br w:val="nil"/>
                    <w:tr2bl w:val="nil"/>
                  </w:tcBorders>
                  <w:vAlign w:val="center"/>
                </w:tcPr>
                <w:p w14:paraId="74E1E72E">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1</w:t>
                  </w:r>
                </w:p>
              </w:tc>
              <w:tc>
                <w:tcPr>
                  <w:tcW w:w="397" w:type="pct"/>
                  <w:tcBorders>
                    <w:tl2br w:val="nil"/>
                    <w:tr2bl w:val="nil"/>
                  </w:tcBorders>
                  <w:vAlign w:val="center"/>
                </w:tcPr>
                <w:p w14:paraId="6BACC19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座</w:t>
                  </w:r>
                </w:p>
              </w:tc>
              <w:tc>
                <w:tcPr>
                  <w:tcW w:w="1554" w:type="pct"/>
                  <w:vMerge w:val="restart"/>
                  <w:tcBorders>
                    <w:tl2br w:val="nil"/>
                    <w:tr2bl w:val="nil"/>
                  </w:tcBorders>
                  <w:vAlign w:val="center"/>
                </w:tcPr>
                <w:p w14:paraId="03832076">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内层碳钢SF双层罐</w:t>
                  </w:r>
                  <w:r>
                    <w:rPr>
                      <w:rFonts w:hint="eastAsia"/>
                      <w:lang w:eastAsia="zh-CN"/>
                    </w:rPr>
                    <w:t>，</w:t>
                  </w:r>
                  <w:r>
                    <w:rPr>
                      <w:rFonts w:hint="eastAsia"/>
                    </w:rPr>
                    <w:t>内层钢板厚度6mm</w:t>
                  </w:r>
                  <w:r>
                    <w:rPr>
                      <w:rFonts w:hint="eastAsia"/>
                      <w:lang w:eastAsia="zh-CN"/>
                    </w:rPr>
                    <w:t>，</w:t>
                  </w:r>
                  <w:r>
                    <w:rPr>
                      <w:rFonts w:hint="eastAsia"/>
                    </w:rPr>
                    <w:t>封头钢板厚度7mm</w:t>
                  </w:r>
                  <w:r>
                    <w:rPr>
                      <w:rFonts w:hint="eastAsia"/>
                      <w:lang w:eastAsia="zh-CN"/>
                    </w:rPr>
                    <w:t>；</w:t>
                  </w:r>
                  <w:r>
                    <w:rPr>
                      <w:rFonts w:hint="eastAsia"/>
                    </w:rPr>
                    <w:t>外层玻璃纤维增强塑料，丝网</w:t>
                  </w:r>
                  <w:r>
                    <w:rPr>
                      <w:rFonts w:hint="eastAsia"/>
                      <w:lang w:eastAsia="zh-CN"/>
                    </w:rPr>
                    <w:t>，</w:t>
                  </w:r>
                  <w:r>
                    <w:rPr>
                      <w:rFonts w:hint="eastAsia"/>
                    </w:rPr>
                    <w:t>钢化玻璃纤维4mm</w:t>
                  </w:r>
                </w:p>
              </w:tc>
            </w:tr>
            <w:tr w14:paraId="08199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6" w:type="pct"/>
                  <w:tcBorders>
                    <w:tl2br w:val="nil"/>
                    <w:tr2bl w:val="nil"/>
                  </w:tcBorders>
                  <w:vAlign w:val="center"/>
                </w:tcPr>
                <w:p w14:paraId="6ACC793A">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2</w:t>
                  </w:r>
                </w:p>
              </w:tc>
              <w:tc>
                <w:tcPr>
                  <w:tcW w:w="1181" w:type="pct"/>
                  <w:tcBorders>
                    <w:tl2br w:val="nil"/>
                    <w:tr2bl w:val="nil"/>
                  </w:tcBorders>
                  <w:vAlign w:val="center"/>
                </w:tcPr>
                <w:p w14:paraId="0907038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30m</w:t>
                  </w:r>
                  <w:r>
                    <w:rPr>
                      <w:rFonts w:hint="eastAsia"/>
                      <w:vertAlign w:val="superscript"/>
                      <w:lang w:val="en-US" w:eastAsia="zh-CN"/>
                    </w:rPr>
                    <w:t>3</w:t>
                  </w:r>
                  <w:r>
                    <w:rPr>
                      <w:rFonts w:hint="eastAsia"/>
                      <w:lang w:val="en-US" w:eastAsia="zh-CN"/>
                    </w:rPr>
                    <w:t>SF双层汽油罐</w:t>
                  </w:r>
                </w:p>
              </w:tc>
              <w:tc>
                <w:tcPr>
                  <w:tcW w:w="1071" w:type="pct"/>
                  <w:tcBorders>
                    <w:tl2br w:val="nil"/>
                    <w:tr2bl w:val="nil"/>
                  </w:tcBorders>
                  <w:vAlign w:val="center"/>
                </w:tcPr>
                <w:p w14:paraId="28222E25">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φ</w:t>
                  </w:r>
                  <w:r>
                    <w:rPr>
                      <w:rFonts w:hint="eastAsia"/>
                    </w:rPr>
                    <w:t>2.4m</w:t>
                  </w:r>
                  <w:r>
                    <w:rPr>
                      <w:rFonts w:hint="default" w:ascii="Arial" w:hAnsi="Arial" w:cs="Arial"/>
                    </w:rPr>
                    <w:t>×</w:t>
                  </w:r>
                  <w:r>
                    <w:rPr>
                      <w:rFonts w:hint="eastAsia"/>
                      <w:lang w:val="en-US" w:eastAsia="zh-CN"/>
                    </w:rPr>
                    <w:t>7</w:t>
                  </w:r>
                  <w:r>
                    <w:rPr>
                      <w:rFonts w:hint="eastAsia"/>
                    </w:rPr>
                    <w:t>.0m</w:t>
                  </w:r>
                </w:p>
              </w:tc>
              <w:tc>
                <w:tcPr>
                  <w:tcW w:w="397" w:type="pct"/>
                  <w:tcBorders>
                    <w:tl2br w:val="nil"/>
                    <w:tr2bl w:val="nil"/>
                  </w:tcBorders>
                  <w:vAlign w:val="center"/>
                </w:tcPr>
                <w:p w14:paraId="59D33C62">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1</w:t>
                  </w:r>
                </w:p>
              </w:tc>
              <w:tc>
                <w:tcPr>
                  <w:tcW w:w="397" w:type="pct"/>
                  <w:tcBorders>
                    <w:tl2br w:val="nil"/>
                    <w:tr2bl w:val="nil"/>
                  </w:tcBorders>
                  <w:vAlign w:val="center"/>
                </w:tcPr>
                <w:p w14:paraId="691E317A">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座</w:t>
                  </w:r>
                </w:p>
              </w:tc>
              <w:tc>
                <w:tcPr>
                  <w:tcW w:w="1554" w:type="pct"/>
                  <w:vMerge w:val="continue"/>
                  <w:tcBorders>
                    <w:tl2br w:val="nil"/>
                    <w:tr2bl w:val="nil"/>
                  </w:tcBorders>
                  <w:vAlign w:val="center"/>
                </w:tcPr>
                <w:p w14:paraId="3B3107C7">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r>
            <w:tr w14:paraId="31C6F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1379BFE8">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3</w:t>
                  </w:r>
                </w:p>
              </w:tc>
              <w:tc>
                <w:tcPr>
                  <w:tcW w:w="1181" w:type="pct"/>
                  <w:tcBorders>
                    <w:tl2br w:val="nil"/>
                    <w:tr2bl w:val="nil"/>
                  </w:tcBorders>
                  <w:vAlign w:val="center"/>
                </w:tcPr>
                <w:p w14:paraId="7773A612">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30m</w:t>
                  </w:r>
                  <w:r>
                    <w:rPr>
                      <w:rFonts w:hint="eastAsia"/>
                      <w:vertAlign w:val="superscript"/>
                      <w:lang w:val="en-US" w:eastAsia="zh-CN"/>
                    </w:rPr>
                    <w:t>3</w:t>
                  </w:r>
                  <w:r>
                    <w:rPr>
                      <w:rFonts w:hint="eastAsia"/>
                      <w:lang w:val="en-US" w:eastAsia="zh-CN"/>
                    </w:rPr>
                    <w:t>SF双层柴油罐</w:t>
                  </w:r>
                </w:p>
              </w:tc>
              <w:tc>
                <w:tcPr>
                  <w:tcW w:w="1071" w:type="pct"/>
                  <w:tcBorders>
                    <w:tl2br w:val="nil"/>
                    <w:tr2bl w:val="nil"/>
                  </w:tcBorders>
                  <w:vAlign w:val="center"/>
                </w:tcPr>
                <w:p w14:paraId="26878947">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φ</w:t>
                  </w:r>
                  <w:r>
                    <w:rPr>
                      <w:rFonts w:hint="eastAsia"/>
                    </w:rPr>
                    <w:t>2.4m</w:t>
                  </w:r>
                  <w:r>
                    <w:rPr>
                      <w:rFonts w:hint="default" w:ascii="Arial" w:hAnsi="Arial" w:cs="Arial"/>
                    </w:rPr>
                    <w:t>×</w:t>
                  </w:r>
                  <w:r>
                    <w:rPr>
                      <w:rFonts w:hint="eastAsia"/>
                      <w:lang w:val="en-US" w:eastAsia="zh-CN"/>
                    </w:rPr>
                    <w:t>7</w:t>
                  </w:r>
                  <w:r>
                    <w:rPr>
                      <w:rFonts w:hint="eastAsia"/>
                    </w:rPr>
                    <w:t>.0m</w:t>
                  </w:r>
                </w:p>
              </w:tc>
              <w:tc>
                <w:tcPr>
                  <w:tcW w:w="397" w:type="pct"/>
                  <w:tcBorders>
                    <w:tl2br w:val="nil"/>
                    <w:tr2bl w:val="nil"/>
                  </w:tcBorders>
                  <w:vAlign w:val="center"/>
                </w:tcPr>
                <w:p w14:paraId="1BD7EF5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2</w:t>
                  </w:r>
                </w:p>
              </w:tc>
              <w:tc>
                <w:tcPr>
                  <w:tcW w:w="397" w:type="pct"/>
                  <w:tcBorders>
                    <w:tl2br w:val="nil"/>
                    <w:tr2bl w:val="nil"/>
                  </w:tcBorders>
                  <w:vAlign w:val="center"/>
                </w:tcPr>
                <w:p w14:paraId="6B61AFF0">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座</w:t>
                  </w:r>
                </w:p>
              </w:tc>
              <w:tc>
                <w:tcPr>
                  <w:tcW w:w="1554" w:type="pct"/>
                  <w:vMerge w:val="continue"/>
                  <w:tcBorders>
                    <w:tl2br w:val="nil"/>
                    <w:tr2bl w:val="nil"/>
                  </w:tcBorders>
                  <w:vAlign w:val="center"/>
                </w:tcPr>
                <w:p w14:paraId="023B5BF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tc>
            </w:tr>
            <w:tr w14:paraId="1CFB5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2AD91AE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4</w:t>
                  </w:r>
                </w:p>
              </w:tc>
              <w:tc>
                <w:tcPr>
                  <w:tcW w:w="1181" w:type="pct"/>
                  <w:tcBorders>
                    <w:tl2br w:val="nil"/>
                    <w:tr2bl w:val="nil"/>
                  </w:tcBorders>
                  <w:vAlign w:val="center"/>
                </w:tcPr>
                <w:p w14:paraId="4640CDEB">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汽油加油机</w:t>
                  </w:r>
                </w:p>
              </w:tc>
              <w:tc>
                <w:tcPr>
                  <w:tcW w:w="1071" w:type="pct"/>
                  <w:tcBorders>
                    <w:tl2br w:val="nil"/>
                    <w:tr2bl w:val="nil"/>
                  </w:tcBorders>
                  <w:vAlign w:val="center"/>
                </w:tcPr>
                <w:p w14:paraId="2F59C5BE">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潜油泵式双枪汽油机</w:t>
                  </w:r>
                </w:p>
              </w:tc>
              <w:tc>
                <w:tcPr>
                  <w:tcW w:w="397" w:type="pct"/>
                  <w:tcBorders>
                    <w:tl2br w:val="nil"/>
                    <w:tr2bl w:val="nil"/>
                  </w:tcBorders>
                  <w:vAlign w:val="center"/>
                </w:tcPr>
                <w:p w14:paraId="4588759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2</w:t>
                  </w:r>
                </w:p>
              </w:tc>
              <w:tc>
                <w:tcPr>
                  <w:tcW w:w="397" w:type="pct"/>
                  <w:tcBorders>
                    <w:tl2br w:val="nil"/>
                    <w:tr2bl w:val="nil"/>
                  </w:tcBorders>
                  <w:vAlign w:val="center"/>
                </w:tcPr>
                <w:p w14:paraId="071D9630">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台</w:t>
                  </w:r>
                </w:p>
              </w:tc>
              <w:tc>
                <w:tcPr>
                  <w:tcW w:w="1554" w:type="pct"/>
                  <w:tcBorders>
                    <w:tl2br w:val="nil"/>
                    <w:tr2bl w:val="nil"/>
                  </w:tcBorders>
                  <w:vAlign w:val="center"/>
                </w:tcPr>
                <w:p w14:paraId="6EFCE5D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有紧急切断阀、拉断阀，汽油机带油气回收装置</w:t>
                  </w:r>
                </w:p>
              </w:tc>
            </w:tr>
            <w:tr w14:paraId="6A07D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96" w:type="pct"/>
                  <w:tcBorders>
                    <w:tl2br w:val="nil"/>
                    <w:tr2bl w:val="nil"/>
                  </w:tcBorders>
                  <w:vAlign w:val="center"/>
                </w:tcPr>
                <w:p w14:paraId="18C6A690">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5</w:t>
                  </w:r>
                </w:p>
              </w:tc>
              <w:tc>
                <w:tcPr>
                  <w:tcW w:w="1181" w:type="pct"/>
                  <w:tcBorders>
                    <w:tl2br w:val="nil"/>
                    <w:tr2bl w:val="nil"/>
                  </w:tcBorders>
                  <w:vAlign w:val="center"/>
                </w:tcPr>
                <w:p w14:paraId="4F43BC42">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柴油加油机</w:t>
                  </w:r>
                </w:p>
              </w:tc>
              <w:tc>
                <w:tcPr>
                  <w:tcW w:w="1071" w:type="pct"/>
                  <w:tcBorders>
                    <w:tl2br w:val="nil"/>
                    <w:tr2bl w:val="nil"/>
                  </w:tcBorders>
                  <w:vAlign w:val="center"/>
                </w:tcPr>
                <w:p w14:paraId="1C03946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潜油泵式双枪</w:t>
                  </w:r>
                  <w:r>
                    <w:rPr>
                      <w:rFonts w:hint="eastAsia"/>
                      <w:lang w:val="en-US" w:eastAsia="zh-CN"/>
                    </w:rPr>
                    <w:t>柴</w:t>
                  </w:r>
                  <w:r>
                    <w:rPr>
                      <w:rFonts w:hint="eastAsia"/>
                    </w:rPr>
                    <w:t>油机</w:t>
                  </w:r>
                </w:p>
              </w:tc>
              <w:tc>
                <w:tcPr>
                  <w:tcW w:w="397" w:type="pct"/>
                  <w:tcBorders>
                    <w:tl2br w:val="nil"/>
                    <w:tr2bl w:val="nil"/>
                  </w:tcBorders>
                  <w:vAlign w:val="center"/>
                </w:tcPr>
                <w:p w14:paraId="272F345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2</w:t>
                  </w:r>
                </w:p>
              </w:tc>
              <w:tc>
                <w:tcPr>
                  <w:tcW w:w="397" w:type="pct"/>
                  <w:tcBorders>
                    <w:tl2br w:val="nil"/>
                    <w:tr2bl w:val="nil"/>
                  </w:tcBorders>
                  <w:vAlign w:val="center"/>
                </w:tcPr>
                <w:p w14:paraId="5568CBC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台</w:t>
                  </w:r>
                </w:p>
              </w:tc>
              <w:tc>
                <w:tcPr>
                  <w:tcW w:w="1554" w:type="pct"/>
                  <w:tcBorders>
                    <w:tl2br w:val="nil"/>
                    <w:tr2bl w:val="nil"/>
                  </w:tcBorders>
                  <w:vAlign w:val="center"/>
                </w:tcPr>
                <w:p w14:paraId="7E16854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有紧急切断阀、拉断阀</w:t>
                  </w:r>
                </w:p>
              </w:tc>
            </w:tr>
            <w:tr w14:paraId="328A3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5D9F4CD1">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6</w:t>
                  </w:r>
                </w:p>
              </w:tc>
              <w:tc>
                <w:tcPr>
                  <w:tcW w:w="1181" w:type="pct"/>
                  <w:tcBorders>
                    <w:tl2br w:val="nil"/>
                    <w:tr2bl w:val="nil"/>
                  </w:tcBorders>
                  <w:vAlign w:val="center"/>
                </w:tcPr>
                <w:p w14:paraId="51468B0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磁致式液位仪</w:t>
                  </w:r>
                </w:p>
              </w:tc>
              <w:tc>
                <w:tcPr>
                  <w:tcW w:w="1071" w:type="pct"/>
                  <w:tcBorders>
                    <w:tl2br w:val="nil"/>
                    <w:tr2bl w:val="nil"/>
                  </w:tcBorders>
                  <w:vAlign w:val="center"/>
                </w:tcPr>
                <w:p w14:paraId="05EBEABB">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0.2~2.5m</w:t>
                  </w:r>
                </w:p>
              </w:tc>
              <w:tc>
                <w:tcPr>
                  <w:tcW w:w="397" w:type="pct"/>
                  <w:tcBorders>
                    <w:tl2br w:val="nil"/>
                    <w:tr2bl w:val="nil"/>
                  </w:tcBorders>
                  <w:vAlign w:val="center"/>
                </w:tcPr>
                <w:p w14:paraId="35ECDF3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4</w:t>
                  </w:r>
                </w:p>
              </w:tc>
              <w:tc>
                <w:tcPr>
                  <w:tcW w:w="397" w:type="pct"/>
                  <w:tcBorders>
                    <w:tl2br w:val="nil"/>
                    <w:tr2bl w:val="nil"/>
                  </w:tcBorders>
                  <w:vAlign w:val="center"/>
                </w:tcPr>
                <w:p w14:paraId="478D65D1">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台</w:t>
                  </w:r>
                </w:p>
              </w:tc>
              <w:tc>
                <w:tcPr>
                  <w:tcW w:w="1554" w:type="pct"/>
                  <w:tcBorders>
                    <w:tl2br w:val="nil"/>
                    <w:tr2bl w:val="nil"/>
                  </w:tcBorders>
                  <w:vAlign w:val="center"/>
                </w:tcPr>
                <w:p w14:paraId="1508FF12">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防爆型，液位</w:t>
                  </w:r>
                  <w:r>
                    <w:rPr>
                      <w:rFonts w:hint="eastAsia"/>
                      <w:lang w:eastAsia="zh-CN"/>
                    </w:rPr>
                    <w:t>、</w:t>
                  </w:r>
                  <w:r>
                    <w:rPr>
                      <w:rFonts w:hint="eastAsia"/>
                    </w:rPr>
                    <w:t>水位</w:t>
                  </w:r>
                  <w:r>
                    <w:rPr>
                      <w:rFonts w:hint="eastAsia"/>
                      <w:lang w:eastAsia="zh-CN"/>
                    </w:rPr>
                    <w:t>、</w:t>
                  </w:r>
                  <w:r>
                    <w:rPr>
                      <w:rFonts w:hint="eastAsia"/>
                    </w:rPr>
                    <w:t>温度</w:t>
                  </w:r>
                  <w:r>
                    <w:rPr>
                      <w:rFonts w:hint="eastAsia"/>
                      <w:lang w:eastAsia="zh-CN"/>
                    </w:rPr>
                    <w:t>、</w:t>
                  </w:r>
                  <w:r>
                    <w:rPr>
                      <w:rFonts w:hint="eastAsia"/>
                    </w:rPr>
                    <w:t>侧漏</w:t>
                  </w:r>
                  <w:r>
                    <w:rPr>
                      <w:rFonts w:hint="eastAsia"/>
                      <w:lang w:eastAsia="zh-CN"/>
                    </w:rPr>
                    <w:t>、</w:t>
                  </w:r>
                  <w:r>
                    <w:rPr>
                      <w:rFonts w:hint="eastAsia"/>
                    </w:rPr>
                    <w:t>高低位报警</w:t>
                  </w:r>
                </w:p>
              </w:tc>
            </w:tr>
            <w:tr w14:paraId="5D31D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6169BB3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7</w:t>
                  </w:r>
                </w:p>
              </w:tc>
              <w:tc>
                <w:tcPr>
                  <w:tcW w:w="1181" w:type="pct"/>
                  <w:tcBorders>
                    <w:tl2br w:val="nil"/>
                    <w:tr2bl w:val="nil"/>
                  </w:tcBorders>
                  <w:vAlign w:val="center"/>
                </w:tcPr>
                <w:p w14:paraId="54A012A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潜油泵</w:t>
                  </w:r>
                </w:p>
              </w:tc>
              <w:tc>
                <w:tcPr>
                  <w:tcW w:w="1071" w:type="pct"/>
                  <w:tcBorders>
                    <w:tl2br w:val="nil"/>
                    <w:tr2bl w:val="nil"/>
                  </w:tcBorders>
                  <w:vAlign w:val="center"/>
                </w:tcPr>
                <w:p w14:paraId="13CE42EF">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防爆型</w:t>
                  </w:r>
                </w:p>
              </w:tc>
              <w:tc>
                <w:tcPr>
                  <w:tcW w:w="397" w:type="pct"/>
                  <w:tcBorders>
                    <w:tl2br w:val="nil"/>
                    <w:tr2bl w:val="nil"/>
                  </w:tcBorders>
                  <w:vAlign w:val="center"/>
                </w:tcPr>
                <w:p w14:paraId="5C4DAC0E">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4</w:t>
                  </w:r>
                </w:p>
              </w:tc>
              <w:tc>
                <w:tcPr>
                  <w:tcW w:w="397" w:type="pct"/>
                  <w:tcBorders>
                    <w:tl2br w:val="nil"/>
                    <w:tr2bl w:val="nil"/>
                  </w:tcBorders>
                  <w:vAlign w:val="center"/>
                </w:tcPr>
                <w:p w14:paraId="265B915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lang w:val="en-US" w:eastAsia="zh-CN"/>
                    </w:rPr>
                    <w:t>台</w:t>
                  </w:r>
                </w:p>
              </w:tc>
              <w:tc>
                <w:tcPr>
                  <w:tcW w:w="1554" w:type="pct"/>
                  <w:tcBorders>
                    <w:tl2br w:val="nil"/>
                    <w:tr2bl w:val="nil"/>
                  </w:tcBorders>
                  <w:vAlign w:val="center"/>
                </w:tcPr>
                <w:p w14:paraId="4CFC0E33">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380V</w:t>
                  </w:r>
                  <w:r>
                    <w:rPr>
                      <w:rFonts w:hint="eastAsia"/>
                      <w:lang w:eastAsia="zh-CN"/>
                    </w:rPr>
                    <w:t>，</w:t>
                  </w:r>
                  <w:r>
                    <w:rPr>
                      <w:rFonts w:hint="eastAsia"/>
                    </w:rPr>
                    <w:t>0.75HP 220L/min</w:t>
                  </w:r>
                </w:p>
              </w:tc>
            </w:tr>
            <w:tr w14:paraId="6AA83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3F69326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8</w:t>
                  </w:r>
                </w:p>
              </w:tc>
              <w:tc>
                <w:tcPr>
                  <w:tcW w:w="1181" w:type="pct"/>
                  <w:tcBorders>
                    <w:tl2br w:val="nil"/>
                    <w:tr2bl w:val="nil"/>
                  </w:tcBorders>
                  <w:vAlign w:val="center"/>
                </w:tcPr>
                <w:p w14:paraId="093F473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量油帽</w:t>
                  </w:r>
                </w:p>
              </w:tc>
              <w:tc>
                <w:tcPr>
                  <w:tcW w:w="1071" w:type="pct"/>
                  <w:tcBorders>
                    <w:tl2br w:val="nil"/>
                    <w:tr2bl w:val="nil"/>
                  </w:tcBorders>
                  <w:vAlign w:val="center"/>
                </w:tcPr>
                <w:p w14:paraId="0BD74896">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DN100</w:t>
                  </w:r>
                </w:p>
              </w:tc>
              <w:tc>
                <w:tcPr>
                  <w:tcW w:w="397" w:type="pct"/>
                  <w:tcBorders>
                    <w:tl2br w:val="nil"/>
                    <w:tr2bl w:val="nil"/>
                  </w:tcBorders>
                  <w:vAlign w:val="center"/>
                </w:tcPr>
                <w:p w14:paraId="20010366">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lang w:val="en-US" w:eastAsia="zh-CN"/>
                    </w:rPr>
                  </w:pPr>
                  <w:r>
                    <w:rPr>
                      <w:rFonts w:hint="eastAsia"/>
                      <w:lang w:val="en-US" w:eastAsia="zh-CN"/>
                    </w:rPr>
                    <w:t>4</w:t>
                  </w:r>
                </w:p>
              </w:tc>
              <w:tc>
                <w:tcPr>
                  <w:tcW w:w="397" w:type="pct"/>
                  <w:tcBorders>
                    <w:tl2br w:val="nil"/>
                    <w:tr2bl w:val="nil"/>
                  </w:tcBorders>
                  <w:vAlign w:val="center"/>
                </w:tcPr>
                <w:p w14:paraId="2B0F7E70">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个</w:t>
                  </w:r>
                </w:p>
              </w:tc>
              <w:tc>
                <w:tcPr>
                  <w:tcW w:w="1554" w:type="pct"/>
                  <w:tcBorders>
                    <w:tl2br w:val="nil"/>
                    <w:tr2bl w:val="nil"/>
                  </w:tcBorders>
                  <w:vAlign w:val="center"/>
                </w:tcPr>
                <w:p w14:paraId="12640373">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铝合金旋转式带锁，汽油量油帽下加装铝合金球阀</w:t>
                  </w:r>
                </w:p>
              </w:tc>
            </w:tr>
            <w:tr w14:paraId="40947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5A380B6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9</w:t>
                  </w:r>
                </w:p>
              </w:tc>
              <w:tc>
                <w:tcPr>
                  <w:tcW w:w="1181" w:type="pct"/>
                  <w:tcBorders>
                    <w:tl2br w:val="nil"/>
                    <w:tr2bl w:val="nil"/>
                  </w:tcBorders>
                  <w:vAlign w:val="center"/>
                </w:tcPr>
                <w:p w14:paraId="6ED056E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阻火透气帽</w:t>
                  </w:r>
                </w:p>
              </w:tc>
              <w:tc>
                <w:tcPr>
                  <w:tcW w:w="1071" w:type="pct"/>
                  <w:tcBorders>
                    <w:tl2br w:val="nil"/>
                    <w:tr2bl w:val="nil"/>
                  </w:tcBorders>
                  <w:vAlign w:val="center"/>
                </w:tcPr>
                <w:p w14:paraId="5F3BB48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DN50</w:t>
                  </w:r>
                </w:p>
              </w:tc>
              <w:tc>
                <w:tcPr>
                  <w:tcW w:w="397" w:type="pct"/>
                  <w:tcBorders>
                    <w:tl2br w:val="nil"/>
                    <w:tr2bl w:val="nil"/>
                  </w:tcBorders>
                  <w:vAlign w:val="center"/>
                </w:tcPr>
                <w:p w14:paraId="690A2AEA">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3</w:t>
                  </w:r>
                </w:p>
              </w:tc>
              <w:tc>
                <w:tcPr>
                  <w:tcW w:w="397" w:type="pct"/>
                  <w:tcBorders>
                    <w:tl2br w:val="nil"/>
                    <w:tr2bl w:val="nil"/>
                  </w:tcBorders>
                  <w:vAlign w:val="center"/>
                </w:tcPr>
                <w:p w14:paraId="390F4E1A">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个</w:t>
                  </w:r>
                </w:p>
              </w:tc>
              <w:tc>
                <w:tcPr>
                  <w:tcW w:w="1554" w:type="pct"/>
                  <w:tcBorders>
                    <w:tl2br w:val="nil"/>
                    <w:tr2bl w:val="nil"/>
                  </w:tcBorders>
                  <w:vAlign w:val="center"/>
                </w:tcPr>
                <w:p w14:paraId="45D2489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不锈钢、全天候</w:t>
                  </w:r>
                </w:p>
              </w:tc>
            </w:tr>
            <w:tr w14:paraId="2DC38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2B2B3808">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10</w:t>
                  </w:r>
                </w:p>
              </w:tc>
              <w:tc>
                <w:tcPr>
                  <w:tcW w:w="1181" w:type="pct"/>
                  <w:tcBorders>
                    <w:tl2br w:val="nil"/>
                    <w:tr2bl w:val="nil"/>
                  </w:tcBorders>
                  <w:vAlign w:val="center"/>
                </w:tcPr>
                <w:p w14:paraId="27029DB6">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阻火式机械呼吸阀</w:t>
                  </w:r>
                </w:p>
              </w:tc>
              <w:tc>
                <w:tcPr>
                  <w:tcW w:w="1071" w:type="pct"/>
                  <w:tcBorders>
                    <w:tl2br w:val="nil"/>
                    <w:tr2bl w:val="nil"/>
                  </w:tcBorders>
                  <w:vAlign w:val="center"/>
                </w:tcPr>
                <w:p w14:paraId="4ADA60A2">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DN50</w:t>
                  </w:r>
                </w:p>
              </w:tc>
              <w:tc>
                <w:tcPr>
                  <w:tcW w:w="397" w:type="pct"/>
                  <w:tcBorders>
                    <w:tl2br w:val="nil"/>
                    <w:tr2bl w:val="nil"/>
                  </w:tcBorders>
                  <w:vAlign w:val="center"/>
                </w:tcPr>
                <w:p w14:paraId="456A9EA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1</w:t>
                  </w:r>
                </w:p>
              </w:tc>
              <w:tc>
                <w:tcPr>
                  <w:tcW w:w="397" w:type="pct"/>
                  <w:tcBorders>
                    <w:tl2br w:val="nil"/>
                    <w:tr2bl w:val="nil"/>
                  </w:tcBorders>
                  <w:vAlign w:val="center"/>
                </w:tcPr>
                <w:p w14:paraId="4664D98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个</w:t>
                  </w:r>
                </w:p>
              </w:tc>
              <w:tc>
                <w:tcPr>
                  <w:tcW w:w="1554" w:type="pct"/>
                  <w:tcBorders>
                    <w:tl2br w:val="nil"/>
                    <w:tr2bl w:val="nil"/>
                  </w:tcBorders>
                  <w:vAlign w:val="center"/>
                </w:tcPr>
                <w:p w14:paraId="1F4C4CE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正压2kPa~3kPa</w:t>
                  </w:r>
                  <w:r>
                    <w:rPr>
                      <w:rFonts w:hint="eastAsia"/>
                      <w:lang w:eastAsia="zh-CN"/>
                    </w:rPr>
                    <w:t>，</w:t>
                  </w:r>
                  <w:r>
                    <w:rPr>
                      <w:rFonts w:hint="eastAsia"/>
                    </w:rPr>
                    <w:t>负压1.5kPa~2kPa</w:t>
                  </w:r>
                </w:p>
              </w:tc>
            </w:tr>
            <w:tr w14:paraId="7E1DF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42179D6B">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11</w:t>
                  </w:r>
                </w:p>
              </w:tc>
              <w:tc>
                <w:tcPr>
                  <w:tcW w:w="1181" w:type="pct"/>
                  <w:tcBorders>
                    <w:tl2br w:val="nil"/>
                    <w:tr2bl w:val="nil"/>
                  </w:tcBorders>
                  <w:vAlign w:val="center"/>
                </w:tcPr>
                <w:p w14:paraId="2FB3094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eastAsia="zh-CN"/>
                    </w:rPr>
                  </w:pPr>
                  <w:r>
                    <w:rPr>
                      <w:rFonts w:hint="eastAsia" w:eastAsia="宋体"/>
                      <w:lang w:eastAsia="zh-CN"/>
                    </w:rPr>
                    <w:t>铝合金</w:t>
                  </w:r>
                  <w:r>
                    <w:rPr>
                      <w:rFonts w:hint="eastAsia"/>
                      <w:lang w:eastAsia="zh-CN"/>
                    </w:rPr>
                    <w:t>（</w:t>
                  </w:r>
                  <w:r>
                    <w:rPr>
                      <w:rFonts w:hint="eastAsia" w:eastAsia="宋体"/>
                      <w:lang w:eastAsia="zh-CN"/>
                    </w:rPr>
                    <w:t>不锈钢</w:t>
                  </w:r>
                  <w:r>
                    <w:rPr>
                      <w:rFonts w:hint="eastAsia"/>
                      <w:lang w:eastAsia="zh-CN"/>
                    </w:rPr>
                    <w:t>）</w:t>
                  </w:r>
                  <w:r>
                    <w:rPr>
                      <w:rFonts w:hint="eastAsia" w:eastAsia="宋体"/>
                      <w:lang w:eastAsia="zh-CN"/>
                    </w:rPr>
                    <w:t>单向球阀</w:t>
                  </w:r>
                </w:p>
              </w:tc>
              <w:tc>
                <w:tcPr>
                  <w:tcW w:w="1071" w:type="pct"/>
                  <w:tcBorders>
                    <w:tl2br w:val="nil"/>
                    <w:tr2bl w:val="nil"/>
                  </w:tcBorders>
                  <w:vAlign w:val="center"/>
                </w:tcPr>
                <w:p w14:paraId="009F5E0E">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DN100</w:t>
                  </w:r>
                </w:p>
              </w:tc>
              <w:tc>
                <w:tcPr>
                  <w:tcW w:w="397" w:type="pct"/>
                  <w:tcBorders>
                    <w:tl2br w:val="nil"/>
                    <w:tr2bl w:val="nil"/>
                  </w:tcBorders>
                  <w:vAlign w:val="center"/>
                </w:tcPr>
                <w:p w14:paraId="503851F7">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3</w:t>
                  </w:r>
                </w:p>
              </w:tc>
              <w:tc>
                <w:tcPr>
                  <w:tcW w:w="397" w:type="pct"/>
                  <w:tcBorders>
                    <w:tl2br w:val="nil"/>
                    <w:tr2bl w:val="nil"/>
                  </w:tcBorders>
                  <w:vAlign w:val="center"/>
                </w:tcPr>
                <w:p w14:paraId="0332075F">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个</w:t>
                  </w:r>
                </w:p>
              </w:tc>
              <w:tc>
                <w:tcPr>
                  <w:tcW w:w="1554" w:type="pct"/>
                  <w:tcBorders>
                    <w:tl2br w:val="nil"/>
                    <w:tr2bl w:val="nil"/>
                  </w:tcBorders>
                  <w:vAlign w:val="center"/>
                </w:tcPr>
                <w:p w14:paraId="794FC93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快速接头，阳端连接</w:t>
                  </w:r>
                  <w:r>
                    <w:rPr>
                      <w:rFonts w:hint="eastAsia"/>
                      <w:lang w:eastAsia="zh-CN"/>
                    </w:rPr>
                    <w:t>；</w:t>
                  </w:r>
                  <w:r>
                    <w:rPr>
                      <w:rFonts w:hint="eastAsia"/>
                    </w:rPr>
                    <w:t>成品油采用铝合金</w:t>
                  </w:r>
                </w:p>
              </w:tc>
            </w:tr>
            <w:tr w14:paraId="01F41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6B870CF8">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12</w:t>
                  </w:r>
                </w:p>
              </w:tc>
              <w:tc>
                <w:tcPr>
                  <w:tcW w:w="1181" w:type="pct"/>
                  <w:tcBorders>
                    <w:tl2br w:val="nil"/>
                    <w:tr2bl w:val="nil"/>
                  </w:tcBorders>
                  <w:vAlign w:val="center"/>
                </w:tcPr>
                <w:p w14:paraId="4C56F6F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eastAsia="zh-CN"/>
                    </w:rPr>
                  </w:pPr>
                  <w:r>
                    <w:rPr>
                      <w:rFonts w:hint="eastAsia" w:eastAsia="宋体"/>
                      <w:lang w:eastAsia="zh-CN"/>
                    </w:rPr>
                    <w:t>快速接头</w:t>
                  </w:r>
                </w:p>
              </w:tc>
              <w:tc>
                <w:tcPr>
                  <w:tcW w:w="1071" w:type="pct"/>
                  <w:tcBorders>
                    <w:tl2br w:val="nil"/>
                    <w:tr2bl w:val="nil"/>
                  </w:tcBorders>
                  <w:vAlign w:val="center"/>
                </w:tcPr>
                <w:p w14:paraId="4570714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DN100</w:t>
                  </w:r>
                </w:p>
              </w:tc>
              <w:tc>
                <w:tcPr>
                  <w:tcW w:w="397" w:type="pct"/>
                  <w:tcBorders>
                    <w:tl2br w:val="nil"/>
                    <w:tr2bl w:val="nil"/>
                  </w:tcBorders>
                  <w:vAlign w:val="center"/>
                </w:tcPr>
                <w:p w14:paraId="1DC0E135">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2</w:t>
                  </w:r>
                </w:p>
              </w:tc>
              <w:tc>
                <w:tcPr>
                  <w:tcW w:w="397" w:type="pct"/>
                  <w:tcBorders>
                    <w:tl2br w:val="nil"/>
                    <w:tr2bl w:val="nil"/>
                  </w:tcBorders>
                  <w:vAlign w:val="center"/>
                </w:tcPr>
                <w:p w14:paraId="2D33CE57">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个</w:t>
                  </w:r>
                </w:p>
              </w:tc>
              <w:tc>
                <w:tcPr>
                  <w:tcW w:w="1554" w:type="pct"/>
                  <w:tcBorders>
                    <w:tl2br w:val="nil"/>
                    <w:tr2bl w:val="nil"/>
                  </w:tcBorders>
                  <w:vAlign w:val="center"/>
                </w:tcPr>
                <w:p w14:paraId="7B1CB2D0">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rPr>
                    <w:t>快速接头，阴端连接</w:t>
                  </w:r>
                </w:p>
              </w:tc>
            </w:tr>
            <w:tr w14:paraId="4F9B9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000" w:type="pct"/>
                  <w:gridSpan w:val="6"/>
                  <w:tcBorders>
                    <w:tl2br w:val="nil"/>
                    <w:tr2bl w:val="nil"/>
                  </w:tcBorders>
                  <w:vAlign w:val="center"/>
                </w:tcPr>
                <w:p w14:paraId="33436FEF">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lang w:val="en-US" w:eastAsia="zh-CN"/>
                    </w:rPr>
                  </w:pPr>
                  <w:r>
                    <w:rPr>
                      <w:rFonts w:hint="eastAsia"/>
                      <w:lang w:val="en-US" w:eastAsia="zh-CN"/>
                    </w:rPr>
                    <w:t>其他辅助设备</w:t>
                  </w:r>
                </w:p>
              </w:tc>
            </w:tr>
            <w:tr w14:paraId="0D555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4959AC51">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1</w:t>
                  </w:r>
                </w:p>
              </w:tc>
              <w:tc>
                <w:tcPr>
                  <w:tcW w:w="1181" w:type="pct"/>
                  <w:tcBorders>
                    <w:tl2br w:val="nil"/>
                    <w:tr2bl w:val="nil"/>
                  </w:tcBorders>
                  <w:vAlign w:val="center"/>
                </w:tcPr>
                <w:p w14:paraId="6CC09B85">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PLC控制器</w:t>
                  </w:r>
                </w:p>
              </w:tc>
              <w:tc>
                <w:tcPr>
                  <w:tcW w:w="1071" w:type="pct"/>
                  <w:tcBorders>
                    <w:tl2br w:val="nil"/>
                    <w:tr2bl w:val="nil"/>
                  </w:tcBorders>
                  <w:vAlign w:val="center"/>
                </w:tcPr>
                <w:p w14:paraId="3063EFD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双重冗余系统、控制I/O卡（500点）</w:t>
                  </w:r>
                </w:p>
              </w:tc>
              <w:tc>
                <w:tcPr>
                  <w:tcW w:w="397" w:type="pct"/>
                  <w:tcBorders>
                    <w:tl2br w:val="nil"/>
                    <w:tr2bl w:val="nil"/>
                  </w:tcBorders>
                  <w:vAlign w:val="center"/>
                </w:tcPr>
                <w:p w14:paraId="06B31270">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w:t>
                  </w:r>
                </w:p>
              </w:tc>
              <w:tc>
                <w:tcPr>
                  <w:tcW w:w="397" w:type="pct"/>
                  <w:tcBorders>
                    <w:tl2br w:val="nil"/>
                    <w:tr2bl w:val="nil"/>
                  </w:tcBorders>
                  <w:vAlign w:val="center"/>
                </w:tcPr>
                <w:p w14:paraId="67D889B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套</w:t>
                  </w:r>
                </w:p>
              </w:tc>
              <w:tc>
                <w:tcPr>
                  <w:tcW w:w="1554" w:type="pct"/>
                  <w:tcBorders>
                    <w:tl2br w:val="nil"/>
                    <w:tr2bl w:val="nil"/>
                  </w:tcBorders>
                  <w:vAlign w:val="center"/>
                </w:tcPr>
                <w:p w14:paraId="5E484B03">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配系统机柜（800x600）</w:t>
                  </w:r>
                </w:p>
              </w:tc>
            </w:tr>
            <w:tr w14:paraId="48AAB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4A0D325E">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2</w:t>
                  </w:r>
                </w:p>
              </w:tc>
              <w:tc>
                <w:tcPr>
                  <w:tcW w:w="1181" w:type="pct"/>
                  <w:tcBorders>
                    <w:tl2br w:val="nil"/>
                    <w:tr2bl w:val="nil"/>
                  </w:tcBorders>
                  <w:vAlign w:val="center"/>
                </w:tcPr>
                <w:p w14:paraId="284CCA1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可燃气体报警控制器</w:t>
                  </w:r>
                </w:p>
              </w:tc>
              <w:tc>
                <w:tcPr>
                  <w:tcW w:w="1071" w:type="pct"/>
                  <w:tcBorders>
                    <w:tl2br w:val="nil"/>
                    <w:tr2bl w:val="nil"/>
                  </w:tcBorders>
                  <w:vAlign w:val="center"/>
                </w:tcPr>
                <w:p w14:paraId="14A5300B">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工作点数：16点</w:t>
                  </w:r>
                </w:p>
              </w:tc>
              <w:tc>
                <w:tcPr>
                  <w:tcW w:w="397" w:type="pct"/>
                  <w:tcBorders>
                    <w:tl2br w:val="nil"/>
                    <w:tr2bl w:val="nil"/>
                  </w:tcBorders>
                  <w:vAlign w:val="center"/>
                </w:tcPr>
                <w:p w14:paraId="567DDA39">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1</w:t>
                  </w:r>
                </w:p>
              </w:tc>
              <w:tc>
                <w:tcPr>
                  <w:tcW w:w="397" w:type="pct"/>
                  <w:tcBorders>
                    <w:tl2br w:val="nil"/>
                    <w:tr2bl w:val="nil"/>
                  </w:tcBorders>
                  <w:vAlign w:val="center"/>
                </w:tcPr>
                <w:p w14:paraId="4B8A2AC3">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台</w:t>
                  </w:r>
                </w:p>
              </w:tc>
              <w:tc>
                <w:tcPr>
                  <w:tcW w:w="1554" w:type="pct"/>
                  <w:tcBorders>
                    <w:tl2br w:val="nil"/>
                    <w:tr2bl w:val="nil"/>
                  </w:tcBorders>
                  <w:vAlign w:val="center"/>
                </w:tcPr>
                <w:p w14:paraId="68F888C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带声光报警（预留5个探测器回路）</w:t>
                  </w:r>
                </w:p>
              </w:tc>
            </w:tr>
            <w:tr w14:paraId="34582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67655A56">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3</w:t>
                  </w:r>
                </w:p>
              </w:tc>
              <w:tc>
                <w:tcPr>
                  <w:tcW w:w="1181" w:type="pct"/>
                  <w:tcBorders>
                    <w:tl2br w:val="nil"/>
                    <w:tr2bl w:val="nil"/>
                  </w:tcBorders>
                  <w:vAlign w:val="center"/>
                </w:tcPr>
                <w:p w14:paraId="2CBC098F">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可燃气体探测器</w:t>
                  </w:r>
                </w:p>
              </w:tc>
              <w:tc>
                <w:tcPr>
                  <w:tcW w:w="1071" w:type="pct"/>
                  <w:tcBorders>
                    <w:tl2br w:val="nil"/>
                    <w:tr2bl w:val="nil"/>
                  </w:tcBorders>
                  <w:vAlign w:val="center"/>
                </w:tcPr>
                <w:p w14:paraId="3D80D2AD">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ExdIICT6、IP65</w:t>
                  </w:r>
                </w:p>
              </w:tc>
              <w:tc>
                <w:tcPr>
                  <w:tcW w:w="397" w:type="pct"/>
                  <w:tcBorders>
                    <w:tl2br w:val="nil"/>
                    <w:tr2bl w:val="nil"/>
                  </w:tcBorders>
                  <w:vAlign w:val="center"/>
                </w:tcPr>
                <w:p w14:paraId="5166AB01">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11</w:t>
                  </w:r>
                </w:p>
              </w:tc>
              <w:tc>
                <w:tcPr>
                  <w:tcW w:w="397" w:type="pct"/>
                  <w:tcBorders>
                    <w:tl2br w:val="nil"/>
                    <w:tr2bl w:val="nil"/>
                  </w:tcBorders>
                  <w:vAlign w:val="center"/>
                </w:tcPr>
                <w:p w14:paraId="38416244">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个</w:t>
                  </w:r>
                </w:p>
              </w:tc>
              <w:tc>
                <w:tcPr>
                  <w:tcW w:w="1554" w:type="pct"/>
                  <w:tcBorders>
                    <w:tl2br w:val="nil"/>
                    <w:tr2bl w:val="nil"/>
                  </w:tcBorders>
                  <w:vAlign w:val="center"/>
                </w:tcPr>
                <w:p w14:paraId="0135DCD6">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w:t>
                  </w:r>
                </w:p>
              </w:tc>
            </w:tr>
            <w:tr w14:paraId="48766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52E4E202">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4</w:t>
                  </w:r>
                </w:p>
              </w:tc>
              <w:tc>
                <w:tcPr>
                  <w:tcW w:w="1181" w:type="pct"/>
                  <w:tcBorders>
                    <w:tl2br w:val="nil"/>
                    <w:tr2bl w:val="nil"/>
                  </w:tcBorders>
                  <w:vAlign w:val="center"/>
                </w:tcPr>
                <w:p w14:paraId="05D1EA1F">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弹簧管压力表螺</w:t>
                  </w:r>
                </w:p>
              </w:tc>
              <w:tc>
                <w:tcPr>
                  <w:tcW w:w="1071" w:type="pct"/>
                  <w:tcBorders>
                    <w:tl2br w:val="nil"/>
                    <w:tr2bl w:val="nil"/>
                  </w:tcBorders>
                  <w:vAlign w:val="center"/>
                </w:tcPr>
                <w:p w14:paraId="6377733E">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螺纹接口M20</w:t>
                  </w:r>
                  <w:r>
                    <w:rPr>
                      <w:rFonts w:hint="default"/>
                      <w:lang w:val="en-US" w:eastAsia="zh-CN"/>
                    </w:rPr>
                    <w:t>×</w:t>
                  </w:r>
                  <w:r>
                    <w:rPr>
                      <w:rFonts w:hint="eastAsia"/>
                      <w:lang w:val="en-US" w:eastAsia="zh-CN"/>
                    </w:rPr>
                    <w:t>1.5</w:t>
                  </w:r>
                </w:p>
              </w:tc>
              <w:tc>
                <w:tcPr>
                  <w:tcW w:w="397" w:type="pct"/>
                  <w:tcBorders>
                    <w:tl2br w:val="nil"/>
                    <w:tr2bl w:val="nil"/>
                  </w:tcBorders>
                  <w:vAlign w:val="center"/>
                </w:tcPr>
                <w:p w14:paraId="1DE20ECA">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6</w:t>
                  </w:r>
                </w:p>
              </w:tc>
              <w:tc>
                <w:tcPr>
                  <w:tcW w:w="397" w:type="pct"/>
                  <w:tcBorders>
                    <w:tl2br w:val="nil"/>
                    <w:tr2bl w:val="nil"/>
                  </w:tcBorders>
                  <w:vAlign w:val="center"/>
                </w:tcPr>
                <w:p w14:paraId="45C286EE">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个</w:t>
                  </w:r>
                </w:p>
              </w:tc>
              <w:tc>
                <w:tcPr>
                  <w:tcW w:w="1554" w:type="pct"/>
                  <w:tcBorders>
                    <w:tl2br w:val="nil"/>
                    <w:tr2bl w:val="nil"/>
                  </w:tcBorders>
                  <w:vAlign w:val="center"/>
                </w:tcPr>
                <w:p w14:paraId="1623D34B">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val="en-US" w:eastAsia="zh-CN"/>
                    </w:rPr>
                  </w:pPr>
                  <w:r>
                    <w:rPr>
                      <w:rFonts w:hint="eastAsia"/>
                      <w:lang w:val="en-US" w:eastAsia="zh-CN"/>
                    </w:rPr>
                    <w:t>/</w:t>
                  </w:r>
                </w:p>
              </w:tc>
            </w:tr>
            <w:tr w14:paraId="1C4BB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tcBorders>
                    <w:tl2br w:val="nil"/>
                    <w:tr2bl w:val="nil"/>
                  </w:tcBorders>
                  <w:vAlign w:val="center"/>
                </w:tcPr>
                <w:p w14:paraId="3451F97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5</w:t>
                  </w:r>
                </w:p>
              </w:tc>
              <w:tc>
                <w:tcPr>
                  <w:tcW w:w="1181" w:type="pct"/>
                  <w:tcBorders>
                    <w:tl2br w:val="nil"/>
                    <w:tr2bl w:val="nil"/>
                  </w:tcBorders>
                  <w:vAlign w:val="center"/>
                </w:tcPr>
                <w:p w14:paraId="6186CAF1">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化粪池</w:t>
                  </w:r>
                </w:p>
              </w:tc>
              <w:tc>
                <w:tcPr>
                  <w:tcW w:w="1071" w:type="pct"/>
                  <w:tcBorders>
                    <w:tl2br w:val="nil"/>
                    <w:tr2bl w:val="nil"/>
                  </w:tcBorders>
                  <w:vAlign w:val="center"/>
                </w:tcPr>
                <w:p w14:paraId="5BA0815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HFBH-6-I，玻璃钢</w:t>
                  </w:r>
                </w:p>
              </w:tc>
              <w:tc>
                <w:tcPr>
                  <w:tcW w:w="397" w:type="pct"/>
                  <w:tcBorders>
                    <w:tl2br w:val="nil"/>
                    <w:tr2bl w:val="nil"/>
                  </w:tcBorders>
                  <w:vAlign w:val="center"/>
                </w:tcPr>
                <w:p w14:paraId="35F1DF6A">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1</w:t>
                  </w:r>
                </w:p>
              </w:tc>
              <w:tc>
                <w:tcPr>
                  <w:tcW w:w="397" w:type="pct"/>
                  <w:tcBorders>
                    <w:tl2br w:val="nil"/>
                    <w:tr2bl w:val="nil"/>
                  </w:tcBorders>
                  <w:vAlign w:val="center"/>
                </w:tcPr>
                <w:p w14:paraId="5945622C">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座</w:t>
                  </w:r>
                </w:p>
              </w:tc>
              <w:tc>
                <w:tcPr>
                  <w:tcW w:w="1554" w:type="pct"/>
                  <w:tcBorders>
                    <w:tl2br w:val="nil"/>
                    <w:tr2bl w:val="nil"/>
                  </w:tcBorders>
                  <w:vAlign w:val="center"/>
                </w:tcPr>
                <w:p w14:paraId="627EC50A">
                  <w:pPr>
                    <w:pStyle w:val="3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L=3300mm；H=2300mm；D=2600mm，约19m</w:t>
                  </w:r>
                  <w:r>
                    <w:rPr>
                      <w:rFonts w:hint="eastAsia"/>
                      <w:vertAlign w:val="superscript"/>
                      <w:lang w:val="en-US" w:eastAsia="zh-CN"/>
                    </w:rPr>
                    <w:t>3</w:t>
                  </w:r>
                </w:p>
              </w:tc>
            </w:tr>
          </w:tbl>
          <w:p w14:paraId="49F124BF">
            <w:pPr>
              <w:keepLines/>
              <w:adjustRightInd w:val="0"/>
              <w:ind w:firstLine="0" w:firstLineChars="0"/>
              <w:textAlignment w:val="baseline"/>
              <w:outlineLvl w:val="1"/>
              <w:rPr>
                <w:b/>
                <w:color w:val="000000"/>
              </w:rPr>
            </w:pPr>
            <w:r>
              <w:rPr>
                <w:rFonts w:hint="eastAsia"/>
                <w:b/>
                <w:color w:val="000000"/>
              </w:rPr>
              <w:t>2.</w:t>
            </w:r>
            <w:r>
              <w:rPr>
                <w:rFonts w:hint="eastAsia"/>
                <w:b/>
                <w:color w:val="000000"/>
                <w:lang w:val="en-US" w:eastAsia="zh-CN"/>
              </w:rPr>
              <w:t>5</w:t>
            </w:r>
            <w:r>
              <w:rPr>
                <w:rFonts w:hint="eastAsia"/>
                <w:b/>
                <w:color w:val="000000"/>
              </w:rPr>
              <w:t>主要原辅材料及能源消耗</w:t>
            </w:r>
          </w:p>
          <w:p w14:paraId="69313CEF">
            <w:pPr>
              <w:ind w:firstLine="480"/>
            </w:pPr>
            <w:r>
              <w:rPr>
                <w:rFonts w:hint="eastAsia"/>
                <w:lang w:val="en-US" w:eastAsia="zh-CN"/>
              </w:rPr>
              <w:t>本</w:t>
            </w:r>
            <w:r>
              <w:t>项目主要</w:t>
            </w:r>
            <w:r>
              <w:rPr>
                <w:rFonts w:hint="eastAsia"/>
              </w:rPr>
              <w:t>原辅材料及能源消耗量</w:t>
            </w:r>
            <w:r>
              <w:t>见表</w:t>
            </w:r>
            <w:r>
              <w:rPr>
                <w:rFonts w:hint="eastAsia"/>
              </w:rPr>
              <w:t>2</w:t>
            </w:r>
            <w:r>
              <w:rPr>
                <w:rFonts w:hint="eastAsia"/>
                <w:lang w:val="en-US" w:eastAsia="zh-CN"/>
              </w:rPr>
              <w:t>-4</w:t>
            </w:r>
            <w:r>
              <w:t>。</w:t>
            </w:r>
          </w:p>
          <w:p w14:paraId="439BBE38">
            <w:pPr>
              <w:pStyle w:val="28"/>
              <w:spacing w:before="120"/>
              <w:ind w:firstLine="422"/>
              <w:rPr>
                <w:rFonts w:ascii="宋体" w:hAnsi="宋体"/>
                <w:bCs/>
                <w:szCs w:val="21"/>
              </w:rPr>
            </w:pPr>
            <w:r>
              <w:t>表</w:t>
            </w:r>
            <w:r>
              <w:rPr>
                <w:rFonts w:hint="eastAsia"/>
              </w:rPr>
              <w:t>2</w:t>
            </w:r>
            <w:r>
              <w:rPr>
                <w:rFonts w:hint="eastAsia"/>
                <w:lang w:val="en-US" w:eastAsia="zh-CN"/>
              </w:rPr>
              <w:t>-4</w:t>
            </w:r>
            <w:r>
              <w:t xml:space="preserve"> 项目</w:t>
            </w:r>
            <w:r>
              <w:rPr>
                <w:rFonts w:hint="eastAsia"/>
              </w:rPr>
              <w:t>主要原辅材料及能源</w:t>
            </w:r>
            <w:r>
              <w:t>消耗量一览表</w:t>
            </w:r>
          </w:p>
          <w:tbl>
            <w:tblPr>
              <w:tblStyle w:val="20"/>
              <w:tblW w:w="86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1657"/>
              <w:gridCol w:w="1559"/>
              <w:gridCol w:w="1559"/>
              <w:gridCol w:w="3119"/>
            </w:tblGrid>
            <w:tr w14:paraId="6F6DC2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tcBorders>
                    <w:tl2br w:val="nil"/>
                    <w:tr2bl w:val="nil"/>
                  </w:tcBorders>
                  <w:vAlign w:val="center"/>
                </w:tcPr>
                <w:p w14:paraId="0B8DE40D">
                  <w:pPr>
                    <w:pStyle w:val="32"/>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657" w:type="dxa"/>
                  <w:tcBorders>
                    <w:tl2br w:val="nil"/>
                    <w:tr2bl w:val="nil"/>
                  </w:tcBorders>
                  <w:vAlign w:val="center"/>
                </w:tcPr>
                <w:p w14:paraId="236A6AC3">
                  <w:pPr>
                    <w:pStyle w:val="32"/>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1559" w:type="dxa"/>
                  <w:tcBorders>
                    <w:tl2br w:val="nil"/>
                    <w:tr2bl w:val="nil"/>
                  </w:tcBorders>
                  <w:vAlign w:val="center"/>
                </w:tcPr>
                <w:p w14:paraId="28EA48B1">
                  <w:pPr>
                    <w:pStyle w:val="32"/>
                    <w:rPr>
                      <w:color w:val="000000" w:themeColor="text1"/>
                      <w14:textFill>
                        <w14:solidFill>
                          <w14:schemeClr w14:val="tx1"/>
                        </w14:solidFill>
                      </w14:textFill>
                    </w:rPr>
                  </w:pPr>
                  <w:r>
                    <w:rPr>
                      <w:color w:val="000000" w:themeColor="text1"/>
                      <w14:textFill>
                        <w14:solidFill>
                          <w14:schemeClr w14:val="tx1"/>
                        </w14:solidFill>
                      </w14:textFill>
                    </w:rPr>
                    <w:t>计量单位</w:t>
                  </w:r>
                </w:p>
              </w:tc>
              <w:tc>
                <w:tcPr>
                  <w:tcW w:w="1559" w:type="dxa"/>
                  <w:tcBorders>
                    <w:tl2br w:val="nil"/>
                    <w:tr2bl w:val="nil"/>
                  </w:tcBorders>
                  <w:vAlign w:val="center"/>
                </w:tcPr>
                <w:p w14:paraId="22CD9AC6">
                  <w:pPr>
                    <w:pStyle w:val="32"/>
                    <w:rPr>
                      <w:color w:val="000000" w:themeColor="text1"/>
                      <w14:textFill>
                        <w14:solidFill>
                          <w14:schemeClr w14:val="tx1"/>
                        </w14:solidFill>
                      </w14:textFill>
                    </w:rPr>
                  </w:pPr>
                  <w:r>
                    <w:rPr>
                      <w:color w:val="000000" w:themeColor="text1"/>
                      <w14:textFill>
                        <w14:solidFill>
                          <w14:schemeClr w14:val="tx1"/>
                        </w14:solidFill>
                      </w14:textFill>
                    </w:rPr>
                    <w:t>耗量</w:t>
                  </w:r>
                </w:p>
              </w:tc>
              <w:tc>
                <w:tcPr>
                  <w:tcW w:w="3119" w:type="dxa"/>
                  <w:tcBorders>
                    <w:tl2br w:val="nil"/>
                    <w:tr2bl w:val="nil"/>
                  </w:tcBorders>
                  <w:vAlign w:val="center"/>
                </w:tcPr>
                <w:p w14:paraId="54067EC2">
                  <w:pPr>
                    <w:pStyle w:val="32"/>
                  </w:pPr>
                  <w:r>
                    <w:t>提供单位</w:t>
                  </w:r>
                </w:p>
              </w:tc>
            </w:tr>
            <w:tr w14:paraId="67597E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tcBorders>
                    <w:tl2br w:val="nil"/>
                    <w:tr2bl w:val="nil"/>
                  </w:tcBorders>
                  <w:vAlign w:val="center"/>
                </w:tcPr>
                <w:p w14:paraId="57935F02">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657" w:type="dxa"/>
                  <w:tcBorders>
                    <w:tl2br w:val="nil"/>
                    <w:tr2bl w:val="nil"/>
                  </w:tcBorders>
                  <w:vAlign w:val="center"/>
                </w:tcPr>
                <w:p w14:paraId="6CB5DB4A">
                  <w:pPr>
                    <w:pStyle w:val="3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汽油</w:t>
                  </w:r>
                </w:p>
              </w:tc>
              <w:tc>
                <w:tcPr>
                  <w:tcW w:w="1559" w:type="dxa"/>
                  <w:tcBorders>
                    <w:tl2br w:val="nil"/>
                    <w:tr2bl w:val="nil"/>
                  </w:tcBorders>
                  <w:vAlign w:val="center"/>
                </w:tcPr>
                <w:p w14:paraId="4130EE92">
                  <w:pPr>
                    <w:pStyle w:val="3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t/a</w:t>
                  </w:r>
                </w:p>
              </w:tc>
              <w:tc>
                <w:tcPr>
                  <w:tcW w:w="1559" w:type="dxa"/>
                  <w:tcBorders>
                    <w:tl2br w:val="nil"/>
                    <w:tr2bl w:val="nil"/>
                  </w:tcBorders>
                  <w:vAlign w:val="center"/>
                </w:tcPr>
                <w:p w14:paraId="51E29888">
                  <w:pPr>
                    <w:pStyle w:val="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00</w:t>
                  </w:r>
                </w:p>
              </w:tc>
              <w:tc>
                <w:tcPr>
                  <w:tcW w:w="3119" w:type="dxa"/>
                  <w:tcBorders>
                    <w:tl2br w:val="nil"/>
                    <w:tr2bl w:val="nil"/>
                  </w:tcBorders>
                  <w:vAlign w:val="center"/>
                </w:tcPr>
                <w:p w14:paraId="6E924783">
                  <w:pPr>
                    <w:pStyle w:val="32"/>
                  </w:pPr>
                  <w:r>
                    <w:rPr>
                      <w:rFonts w:hint="eastAsia"/>
                      <w:color w:val="000000" w:themeColor="text1"/>
                      <w:highlight w:val="none"/>
                      <w:lang w:val="en-US" w:eastAsia="zh-CN"/>
                      <w14:textFill>
                        <w14:solidFill>
                          <w14:schemeClr w14:val="tx1"/>
                        </w14:solidFill>
                      </w14:textFill>
                    </w:rPr>
                    <w:t>中国石油天然气股份有限公司</w:t>
                  </w:r>
                </w:p>
              </w:tc>
            </w:tr>
            <w:tr w14:paraId="6B3611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9" w:type="dxa"/>
                  <w:tcBorders>
                    <w:tl2br w:val="nil"/>
                    <w:tr2bl w:val="nil"/>
                  </w:tcBorders>
                  <w:vAlign w:val="center"/>
                </w:tcPr>
                <w:p w14:paraId="4FA3AA74">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657" w:type="dxa"/>
                  <w:tcBorders>
                    <w:tl2br w:val="nil"/>
                    <w:tr2bl w:val="nil"/>
                  </w:tcBorders>
                  <w:vAlign w:val="center"/>
                </w:tcPr>
                <w:p w14:paraId="4520806E">
                  <w:pPr>
                    <w:pStyle w:val="3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柴油</w:t>
                  </w:r>
                </w:p>
              </w:tc>
              <w:tc>
                <w:tcPr>
                  <w:tcW w:w="1559" w:type="dxa"/>
                  <w:tcBorders>
                    <w:tl2br w:val="nil"/>
                    <w:tr2bl w:val="nil"/>
                  </w:tcBorders>
                  <w:vAlign w:val="center"/>
                </w:tcPr>
                <w:p w14:paraId="63BF74E2">
                  <w:pPr>
                    <w:pStyle w:val="3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t/a</w:t>
                  </w:r>
                </w:p>
              </w:tc>
              <w:tc>
                <w:tcPr>
                  <w:tcW w:w="1559" w:type="dxa"/>
                  <w:tcBorders>
                    <w:tl2br w:val="nil"/>
                    <w:tr2bl w:val="nil"/>
                  </w:tcBorders>
                  <w:vAlign w:val="center"/>
                </w:tcPr>
                <w:p w14:paraId="261FDDD5">
                  <w:pPr>
                    <w:pStyle w:val="3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7200</w:t>
                  </w:r>
                </w:p>
              </w:tc>
              <w:tc>
                <w:tcPr>
                  <w:tcW w:w="3119" w:type="dxa"/>
                  <w:tcBorders>
                    <w:tl2br w:val="nil"/>
                    <w:tr2bl w:val="nil"/>
                  </w:tcBorders>
                  <w:vAlign w:val="center"/>
                </w:tcPr>
                <w:p w14:paraId="727052E7">
                  <w:pPr>
                    <w:pStyle w:val="32"/>
                  </w:pPr>
                  <w:r>
                    <w:rPr>
                      <w:rFonts w:hint="eastAsia"/>
                      <w:color w:val="000000" w:themeColor="text1"/>
                      <w:highlight w:val="none"/>
                      <w:lang w:val="en-US" w:eastAsia="zh-CN"/>
                      <w14:textFill>
                        <w14:solidFill>
                          <w14:schemeClr w14:val="tx1"/>
                        </w14:solidFill>
                      </w14:textFill>
                    </w:rPr>
                    <w:t>中国石油天然气股份有限公司</w:t>
                  </w:r>
                </w:p>
              </w:tc>
            </w:tr>
            <w:tr w14:paraId="5CEA4D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tcBorders>
                    <w:tl2br w:val="nil"/>
                    <w:tr2bl w:val="nil"/>
                  </w:tcBorders>
                  <w:vAlign w:val="center"/>
                </w:tcPr>
                <w:p w14:paraId="7949A6A1">
                  <w:pPr>
                    <w:pStyle w:val="32"/>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657" w:type="dxa"/>
                  <w:tcBorders>
                    <w:tl2br w:val="nil"/>
                    <w:tr2bl w:val="nil"/>
                  </w:tcBorders>
                  <w:vAlign w:val="center"/>
                </w:tcPr>
                <w:p w14:paraId="3536158D">
                  <w:pPr>
                    <w:pStyle w:val="32"/>
                    <w:rPr>
                      <w:color w:val="000000" w:themeColor="text1"/>
                      <w14:textFill>
                        <w14:solidFill>
                          <w14:schemeClr w14:val="tx1"/>
                        </w14:solidFill>
                      </w14:textFill>
                    </w:rPr>
                  </w:pPr>
                  <w:r>
                    <w:rPr>
                      <w:color w:val="000000" w:themeColor="text1"/>
                      <w14:textFill>
                        <w14:solidFill>
                          <w14:schemeClr w14:val="tx1"/>
                        </w14:solidFill>
                      </w14:textFill>
                    </w:rPr>
                    <w:t>水</w:t>
                  </w:r>
                </w:p>
              </w:tc>
              <w:tc>
                <w:tcPr>
                  <w:tcW w:w="1559" w:type="dxa"/>
                  <w:tcBorders>
                    <w:tl2br w:val="nil"/>
                    <w:tr2bl w:val="nil"/>
                  </w:tcBorders>
                  <w:vAlign w:val="center"/>
                </w:tcPr>
                <w:p w14:paraId="5E7E9E1A">
                  <w:pPr>
                    <w:pStyle w:val="3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m³/a</w:t>
                  </w:r>
                </w:p>
              </w:tc>
              <w:tc>
                <w:tcPr>
                  <w:tcW w:w="1559" w:type="dxa"/>
                  <w:tcBorders>
                    <w:tl2br w:val="nil"/>
                    <w:tr2bl w:val="nil"/>
                  </w:tcBorders>
                  <w:vAlign w:val="center"/>
                </w:tcPr>
                <w:p w14:paraId="51E8801B">
                  <w:pPr>
                    <w:pStyle w:val="32"/>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532.9</w:t>
                  </w:r>
                </w:p>
              </w:tc>
              <w:tc>
                <w:tcPr>
                  <w:tcW w:w="3119" w:type="dxa"/>
                  <w:tcBorders>
                    <w:tl2br w:val="nil"/>
                    <w:tr2bl w:val="nil"/>
                  </w:tcBorders>
                  <w:vAlign w:val="center"/>
                </w:tcPr>
                <w:p w14:paraId="548B0EB4">
                  <w:pPr>
                    <w:pStyle w:val="32"/>
                    <w:rPr>
                      <w:rFonts w:hint="eastAsia" w:eastAsia="宋体"/>
                      <w:lang w:val="en-US" w:eastAsia="zh-CN"/>
                    </w:rPr>
                  </w:pPr>
                  <w:r>
                    <w:rPr>
                      <w:rFonts w:cs="Times New Roman"/>
                      <w:sz w:val="21"/>
                      <w:szCs w:val="21"/>
                    </w:rPr>
                    <w:t>市政供水管网</w:t>
                  </w:r>
                  <w:r>
                    <w:rPr>
                      <w:rFonts w:hint="eastAsia" w:cs="Times New Roman"/>
                      <w:sz w:val="21"/>
                      <w:szCs w:val="21"/>
                      <w:lang w:val="en-US" w:eastAsia="zh-CN"/>
                    </w:rPr>
                    <w:t>供给</w:t>
                  </w:r>
                </w:p>
              </w:tc>
            </w:tr>
            <w:tr w14:paraId="31BA28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19" w:type="dxa"/>
                  <w:tcBorders>
                    <w:tl2br w:val="nil"/>
                    <w:tr2bl w:val="nil"/>
                  </w:tcBorders>
                  <w:vAlign w:val="center"/>
                </w:tcPr>
                <w:p w14:paraId="673E1673">
                  <w:pPr>
                    <w:pStyle w:val="32"/>
                    <w:rPr>
                      <w:rFonts w:hint="eastAsia" w:eastAsia="宋体"/>
                      <w:lang w:eastAsia="zh-CN"/>
                    </w:rPr>
                  </w:pPr>
                  <w:r>
                    <w:rPr>
                      <w:rFonts w:hint="eastAsia"/>
                      <w:lang w:val="en-US" w:eastAsia="zh-CN"/>
                    </w:rPr>
                    <w:t>4</w:t>
                  </w:r>
                </w:p>
              </w:tc>
              <w:tc>
                <w:tcPr>
                  <w:tcW w:w="1657" w:type="dxa"/>
                  <w:tcBorders>
                    <w:tl2br w:val="nil"/>
                    <w:tr2bl w:val="nil"/>
                  </w:tcBorders>
                  <w:vAlign w:val="center"/>
                </w:tcPr>
                <w:p w14:paraId="43A83C29">
                  <w:pPr>
                    <w:pStyle w:val="32"/>
                  </w:pPr>
                  <w:r>
                    <w:t>电</w:t>
                  </w:r>
                </w:p>
              </w:tc>
              <w:tc>
                <w:tcPr>
                  <w:tcW w:w="1559" w:type="dxa"/>
                  <w:tcBorders>
                    <w:tl2br w:val="nil"/>
                    <w:tr2bl w:val="nil"/>
                  </w:tcBorders>
                  <w:vAlign w:val="center"/>
                </w:tcPr>
                <w:p w14:paraId="63F0FB61">
                  <w:pPr>
                    <w:pStyle w:val="32"/>
                  </w:pPr>
                  <w:r>
                    <w:rPr>
                      <w:rFonts w:hint="eastAsia"/>
                    </w:rPr>
                    <w:t>kW·h</w:t>
                  </w:r>
                </w:p>
              </w:tc>
              <w:tc>
                <w:tcPr>
                  <w:tcW w:w="1559" w:type="dxa"/>
                  <w:tcBorders>
                    <w:tl2br w:val="nil"/>
                    <w:tr2bl w:val="nil"/>
                  </w:tcBorders>
                  <w:vAlign w:val="center"/>
                </w:tcPr>
                <w:p w14:paraId="6E2591E3">
                  <w:pPr>
                    <w:pStyle w:val="32"/>
                    <w:rPr>
                      <w:rFonts w:hint="default" w:eastAsia="宋体"/>
                      <w:lang w:val="en-US" w:eastAsia="zh-CN"/>
                    </w:rPr>
                  </w:pPr>
                  <w:r>
                    <w:rPr>
                      <w:rFonts w:hint="eastAsia"/>
                      <w:lang w:val="en-US" w:eastAsia="zh-CN"/>
                    </w:rPr>
                    <w:t>125万</w:t>
                  </w:r>
                </w:p>
              </w:tc>
              <w:tc>
                <w:tcPr>
                  <w:tcW w:w="3119" w:type="dxa"/>
                  <w:tcBorders>
                    <w:tl2br w:val="nil"/>
                    <w:tr2bl w:val="nil"/>
                  </w:tcBorders>
                  <w:vAlign w:val="center"/>
                </w:tcPr>
                <w:p w14:paraId="42E56E4B">
                  <w:pPr>
                    <w:pStyle w:val="32"/>
                  </w:pPr>
                  <w:r>
                    <w:rPr>
                      <w:rFonts w:hint="eastAsia"/>
                    </w:rPr>
                    <w:t>市政电力系统供给</w:t>
                  </w:r>
                </w:p>
              </w:tc>
            </w:tr>
          </w:tbl>
          <w:p w14:paraId="0ABC176D">
            <w:pPr>
              <w:widowControl/>
              <w:tabs>
                <w:tab w:val="left" w:pos="512"/>
              </w:tabs>
              <w:adjustRightInd w:val="0"/>
              <w:snapToGrid w:val="0"/>
              <w:ind w:firstLine="504" w:firstLineChars="210"/>
              <w:textAlignment w:val="auto"/>
              <w:rPr>
                <w:rFonts w:cs="Times New Roman"/>
                <w:kern w:val="0"/>
                <w:szCs w:val="24"/>
              </w:rPr>
            </w:pPr>
            <w:r>
              <w:rPr>
                <w:rFonts w:cs="Times New Roman"/>
                <w:kern w:val="0"/>
                <w:szCs w:val="24"/>
              </w:rPr>
              <w:t>本项目</w:t>
            </w:r>
            <w:r>
              <w:rPr>
                <w:rFonts w:cs="Times New Roman"/>
                <w:szCs w:val="24"/>
              </w:rPr>
              <w:t>主要原辅材料</w:t>
            </w:r>
            <w:r>
              <w:rPr>
                <w:rFonts w:cs="Times New Roman"/>
                <w:kern w:val="0"/>
                <w:szCs w:val="24"/>
              </w:rPr>
              <w:t>理化性质见表</w:t>
            </w:r>
            <w:r>
              <w:rPr>
                <w:rFonts w:hint="eastAsia" w:cs="Times New Roman"/>
                <w:kern w:val="0"/>
                <w:szCs w:val="24"/>
              </w:rPr>
              <w:t>2</w:t>
            </w:r>
            <w:r>
              <w:rPr>
                <w:rFonts w:hint="eastAsia" w:cs="Times New Roman"/>
                <w:kern w:val="0"/>
                <w:szCs w:val="24"/>
                <w:lang w:val="en-US" w:eastAsia="zh-CN"/>
              </w:rPr>
              <w:t>-</w:t>
            </w:r>
            <w:r>
              <w:rPr>
                <w:rFonts w:cs="Times New Roman"/>
                <w:kern w:val="0"/>
                <w:szCs w:val="24"/>
              </w:rPr>
              <w:t>5、表</w:t>
            </w:r>
            <w:r>
              <w:rPr>
                <w:rFonts w:hint="eastAsia" w:cs="Times New Roman"/>
                <w:kern w:val="0"/>
                <w:szCs w:val="24"/>
              </w:rPr>
              <w:t>2</w:t>
            </w:r>
            <w:r>
              <w:rPr>
                <w:rFonts w:hint="eastAsia" w:cs="Times New Roman"/>
                <w:kern w:val="0"/>
                <w:szCs w:val="24"/>
                <w:lang w:val="en-US" w:eastAsia="zh-CN"/>
              </w:rPr>
              <w:t>-</w:t>
            </w:r>
            <w:r>
              <w:rPr>
                <w:rFonts w:cs="Times New Roman"/>
                <w:kern w:val="0"/>
                <w:szCs w:val="24"/>
              </w:rPr>
              <w:t>6。</w:t>
            </w:r>
          </w:p>
          <w:p w14:paraId="7A4B27FF">
            <w:pPr>
              <w:spacing w:line="240" w:lineRule="auto"/>
              <w:ind w:firstLine="422"/>
              <w:jc w:val="center"/>
              <w:textAlignment w:val="auto"/>
              <w:rPr>
                <w:rFonts w:cs="Times New Roman"/>
                <w:b/>
                <w:sz w:val="21"/>
                <w:szCs w:val="21"/>
              </w:rPr>
            </w:pPr>
            <w:r>
              <w:rPr>
                <w:rFonts w:cs="Times New Roman"/>
                <w:b/>
                <w:sz w:val="21"/>
                <w:szCs w:val="21"/>
              </w:rPr>
              <w:t>表</w:t>
            </w:r>
            <w:r>
              <w:rPr>
                <w:rFonts w:hint="eastAsia" w:cs="Times New Roman"/>
                <w:b/>
                <w:sz w:val="21"/>
                <w:szCs w:val="21"/>
              </w:rPr>
              <w:t>2</w:t>
            </w:r>
            <w:r>
              <w:rPr>
                <w:rFonts w:hint="eastAsia" w:cs="Times New Roman"/>
                <w:b/>
                <w:sz w:val="21"/>
                <w:szCs w:val="21"/>
                <w:lang w:val="en-US" w:eastAsia="zh-CN"/>
              </w:rPr>
              <w:t>-</w:t>
            </w:r>
            <w:r>
              <w:rPr>
                <w:rFonts w:cs="Times New Roman"/>
                <w:b/>
                <w:sz w:val="21"/>
                <w:szCs w:val="21"/>
              </w:rPr>
              <w:t>5  汽油理化性质一览表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3372"/>
              <w:gridCol w:w="10"/>
              <w:gridCol w:w="506"/>
              <w:gridCol w:w="3621"/>
            </w:tblGrid>
            <w:tr w14:paraId="7BFAB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restart"/>
                  <w:tcBorders>
                    <w:tl2br w:val="nil"/>
                    <w:tr2bl w:val="nil"/>
                  </w:tcBorders>
                  <w:vAlign w:val="center"/>
                </w:tcPr>
                <w:p w14:paraId="370743ED">
                  <w:pPr>
                    <w:spacing w:line="240" w:lineRule="auto"/>
                    <w:ind w:firstLine="0" w:firstLineChars="0"/>
                    <w:jc w:val="center"/>
                    <w:textAlignment w:val="auto"/>
                    <w:rPr>
                      <w:rFonts w:cs="Times New Roman"/>
                      <w:snapToGrid w:val="0"/>
                      <w:sz w:val="21"/>
                      <w:szCs w:val="21"/>
                    </w:rPr>
                  </w:pPr>
                  <w:r>
                    <w:rPr>
                      <w:rFonts w:cs="Times New Roman"/>
                      <w:snapToGrid w:val="0"/>
                      <w:sz w:val="21"/>
                      <w:szCs w:val="21"/>
                    </w:rPr>
                    <w:t>标识</w:t>
                  </w:r>
                </w:p>
              </w:tc>
              <w:tc>
                <w:tcPr>
                  <w:tcW w:w="1974" w:type="pct"/>
                  <w:tcBorders>
                    <w:tl2br w:val="nil"/>
                    <w:tr2bl w:val="nil"/>
                  </w:tcBorders>
                  <w:vAlign w:val="center"/>
                </w:tcPr>
                <w:p w14:paraId="73036A77">
                  <w:pPr>
                    <w:spacing w:line="240" w:lineRule="auto"/>
                    <w:ind w:firstLine="0" w:firstLineChars="0"/>
                    <w:textAlignment w:val="auto"/>
                    <w:rPr>
                      <w:rFonts w:cs="Times New Roman"/>
                      <w:snapToGrid w:val="0"/>
                      <w:sz w:val="21"/>
                      <w:szCs w:val="21"/>
                    </w:rPr>
                  </w:pPr>
                  <w:r>
                    <w:rPr>
                      <w:rFonts w:cs="Times New Roman"/>
                      <w:snapToGrid w:val="0"/>
                      <w:sz w:val="21"/>
                      <w:szCs w:val="21"/>
                    </w:rPr>
                    <w:t>CAS号：8006-61-9</w:t>
                  </w:r>
                </w:p>
              </w:tc>
              <w:tc>
                <w:tcPr>
                  <w:tcW w:w="2422" w:type="pct"/>
                  <w:gridSpan w:val="3"/>
                  <w:tcBorders>
                    <w:tl2br w:val="nil"/>
                    <w:tr2bl w:val="nil"/>
                  </w:tcBorders>
                  <w:vAlign w:val="center"/>
                </w:tcPr>
                <w:p w14:paraId="6D21C0F7">
                  <w:pPr>
                    <w:spacing w:line="240" w:lineRule="auto"/>
                    <w:ind w:firstLine="0" w:firstLineChars="0"/>
                    <w:textAlignment w:val="auto"/>
                    <w:rPr>
                      <w:rFonts w:cs="Times New Roman"/>
                      <w:snapToGrid w:val="0"/>
                      <w:sz w:val="21"/>
                      <w:szCs w:val="21"/>
                    </w:rPr>
                  </w:pPr>
                  <w:r>
                    <w:rPr>
                      <w:rFonts w:cs="Times New Roman"/>
                      <w:snapToGrid w:val="0"/>
                      <w:sz w:val="21"/>
                      <w:szCs w:val="21"/>
                    </w:rPr>
                    <w:t>危险性类别：第3.1类  低闪点易燃液体</w:t>
                  </w:r>
                </w:p>
              </w:tc>
            </w:tr>
            <w:tr w14:paraId="783A1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7512C8A3">
                  <w:pPr>
                    <w:spacing w:line="240" w:lineRule="auto"/>
                    <w:ind w:firstLine="0" w:firstLineChars="0"/>
                    <w:jc w:val="center"/>
                    <w:textAlignment w:val="auto"/>
                    <w:rPr>
                      <w:rFonts w:cs="Times New Roman"/>
                      <w:snapToGrid w:val="0"/>
                      <w:sz w:val="21"/>
                      <w:szCs w:val="21"/>
                    </w:rPr>
                  </w:pPr>
                </w:p>
              </w:tc>
              <w:tc>
                <w:tcPr>
                  <w:tcW w:w="4396" w:type="pct"/>
                  <w:gridSpan w:val="4"/>
                  <w:tcBorders>
                    <w:tl2br w:val="nil"/>
                    <w:tr2bl w:val="nil"/>
                  </w:tcBorders>
                  <w:vAlign w:val="center"/>
                </w:tcPr>
                <w:p w14:paraId="12200CBC">
                  <w:pPr>
                    <w:spacing w:line="240" w:lineRule="auto"/>
                    <w:ind w:firstLine="0" w:firstLineChars="0"/>
                    <w:textAlignment w:val="auto"/>
                    <w:rPr>
                      <w:rFonts w:cs="Times New Roman"/>
                      <w:snapToGrid w:val="0"/>
                      <w:sz w:val="21"/>
                      <w:szCs w:val="21"/>
                    </w:rPr>
                  </w:pPr>
                  <w:r>
                    <w:rPr>
                      <w:rFonts w:cs="Times New Roman"/>
                      <w:snapToGrid w:val="0"/>
                      <w:sz w:val="21"/>
                      <w:szCs w:val="21"/>
                    </w:rPr>
                    <w:t>化学类别：烷烃</w:t>
                  </w:r>
                </w:p>
              </w:tc>
            </w:tr>
            <w:tr w14:paraId="2B020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restart"/>
                  <w:tcBorders>
                    <w:tl2br w:val="nil"/>
                    <w:tr2bl w:val="nil"/>
                  </w:tcBorders>
                  <w:vAlign w:val="center"/>
                </w:tcPr>
                <w:p w14:paraId="7A457E82">
                  <w:pPr>
                    <w:spacing w:line="240" w:lineRule="auto"/>
                    <w:ind w:firstLine="0" w:firstLineChars="0"/>
                    <w:jc w:val="center"/>
                    <w:textAlignment w:val="auto"/>
                    <w:rPr>
                      <w:rFonts w:cs="Times New Roman"/>
                      <w:snapToGrid w:val="0"/>
                      <w:sz w:val="21"/>
                      <w:szCs w:val="21"/>
                    </w:rPr>
                  </w:pPr>
                  <w:r>
                    <w:rPr>
                      <w:rFonts w:cs="Times New Roman"/>
                      <w:snapToGrid w:val="0"/>
                      <w:sz w:val="21"/>
                      <w:szCs w:val="21"/>
                    </w:rPr>
                    <w:t>组成与性状</w:t>
                  </w:r>
                </w:p>
              </w:tc>
              <w:tc>
                <w:tcPr>
                  <w:tcW w:w="4396" w:type="pct"/>
                  <w:gridSpan w:val="4"/>
                  <w:tcBorders>
                    <w:tl2br w:val="nil"/>
                    <w:tr2bl w:val="nil"/>
                  </w:tcBorders>
                  <w:vAlign w:val="center"/>
                </w:tcPr>
                <w:p w14:paraId="6CFBFFF8">
                  <w:pPr>
                    <w:spacing w:line="240" w:lineRule="auto"/>
                    <w:ind w:firstLine="0" w:firstLineChars="0"/>
                    <w:textAlignment w:val="auto"/>
                    <w:rPr>
                      <w:rFonts w:cs="Times New Roman"/>
                      <w:snapToGrid w:val="0"/>
                      <w:sz w:val="21"/>
                      <w:szCs w:val="21"/>
                    </w:rPr>
                  </w:pPr>
                  <w:r>
                    <w:rPr>
                      <w:rFonts w:cs="Times New Roman"/>
                      <w:snapToGrid w:val="0"/>
                      <w:sz w:val="21"/>
                      <w:szCs w:val="21"/>
                    </w:rPr>
                    <w:t>主要成分：C</w:t>
                  </w:r>
                  <w:r>
                    <w:rPr>
                      <w:rFonts w:cs="Times New Roman"/>
                      <w:snapToGrid w:val="0"/>
                      <w:sz w:val="21"/>
                      <w:szCs w:val="21"/>
                      <w:vertAlign w:val="subscript"/>
                    </w:rPr>
                    <w:t>4</w:t>
                  </w:r>
                  <w:r>
                    <w:rPr>
                      <w:rFonts w:cs="Times New Roman"/>
                      <w:snapToGrid w:val="0"/>
                      <w:sz w:val="21"/>
                      <w:szCs w:val="21"/>
                    </w:rPr>
                    <w:t>~C</w:t>
                  </w:r>
                  <w:r>
                    <w:rPr>
                      <w:rFonts w:cs="Times New Roman"/>
                      <w:snapToGrid w:val="0"/>
                      <w:sz w:val="21"/>
                      <w:szCs w:val="21"/>
                      <w:vertAlign w:val="subscript"/>
                    </w:rPr>
                    <w:t>12</w:t>
                  </w:r>
                  <w:r>
                    <w:rPr>
                      <w:rFonts w:cs="Times New Roman"/>
                      <w:snapToGrid w:val="0"/>
                      <w:sz w:val="21"/>
                      <w:szCs w:val="21"/>
                    </w:rPr>
                    <w:t>脂肪烃和环烷烃</w:t>
                  </w:r>
                </w:p>
              </w:tc>
            </w:tr>
            <w:tr w14:paraId="3AC10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47CA6F00">
                  <w:pPr>
                    <w:spacing w:line="240" w:lineRule="auto"/>
                    <w:ind w:firstLine="0" w:firstLineChars="0"/>
                    <w:textAlignment w:val="auto"/>
                    <w:rPr>
                      <w:rFonts w:cs="Times New Roman"/>
                      <w:snapToGrid w:val="0"/>
                      <w:sz w:val="21"/>
                      <w:szCs w:val="21"/>
                    </w:rPr>
                  </w:pPr>
                </w:p>
              </w:tc>
              <w:tc>
                <w:tcPr>
                  <w:tcW w:w="4396" w:type="pct"/>
                  <w:gridSpan w:val="4"/>
                  <w:tcBorders>
                    <w:tl2br w:val="nil"/>
                    <w:tr2bl w:val="nil"/>
                  </w:tcBorders>
                  <w:vAlign w:val="center"/>
                </w:tcPr>
                <w:p w14:paraId="05B634C9">
                  <w:pPr>
                    <w:spacing w:line="240" w:lineRule="auto"/>
                    <w:ind w:firstLine="0" w:firstLineChars="0"/>
                    <w:textAlignment w:val="auto"/>
                    <w:rPr>
                      <w:rFonts w:cs="Times New Roman"/>
                      <w:snapToGrid w:val="0"/>
                      <w:sz w:val="21"/>
                      <w:szCs w:val="21"/>
                    </w:rPr>
                  </w:pPr>
                  <w:r>
                    <w:rPr>
                      <w:rFonts w:cs="Times New Roman"/>
                      <w:snapToGrid w:val="0"/>
                      <w:sz w:val="21"/>
                      <w:szCs w:val="21"/>
                    </w:rPr>
                    <w:t>外观与性状：无色液体，具特殊臭味。易挥发</w:t>
                  </w:r>
                </w:p>
              </w:tc>
            </w:tr>
            <w:tr w14:paraId="51813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restart"/>
                  <w:tcBorders>
                    <w:tl2br w:val="nil"/>
                    <w:tr2bl w:val="nil"/>
                  </w:tcBorders>
                  <w:vAlign w:val="center"/>
                </w:tcPr>
                <w:p w14:paraId="61096904">
                  <w:pPr>
                    <w:spacing w:line="240" w:lineRule="auto"/>
                    <w:ind w:firstLine="0" w:firstLineChars="0"/>
                    <w:jc w:val="center"/>
                    <w:textAlignment w:val="auto"/>
                    <w:rPr>
                      <w:rFonts w:cs="Times New Roman"/>
                      <w:snapToGrid w:val="0"/>
                      <w:sz w:val="21"/>
                      <w:szCs w:val="21"/>
                    </w:rPr>
                  </w:pPr>
                  <w:r>
                    <w:rPr>
                      <w:rFonts w:cs="Times New Roman"/>
                      <w:snapToGrid w:val="0"/>
                      <w:sz w:val="21"/>
                      <w:szCs w:val="21"/>
                    </w:rPr>
                    <w:t>燃爆特性与理化性质</w:t>
                  </w:r>
                </w:p>
              </w:tc>
              <w:tc>
                <w:tcPr>
                  <w:tcW w:w="1980" w:type="pct"/>
                  <w:gridSpan w:val="2"/>
                  <w:tcBorders>
                    <w:tl2br w:val="nil"/>
                    <w:tr2bl w:val="nil"/>
                  </w:tcBorders>
                  <w:vAlign w:val="center"/>
                </w:tcPr>
                <w:p w14:paraId="742622C4">
                  <w:pPr>
                    <w:spacing w:line="240" w:lineRule="auto"/>
                    <w:ind w:firstLine="0" w:firstLineChars="0"/>
                    <w:textAlignment w:val="auto"/>
                    <w:rPr>
                      <w:rFonts w:cs="Times New Roman"/>
                      <w:snapToGrid w:val="0"/>
                      <w:sz w:val="21"/>
                      <w:szCs w:val="21"/>
                    </w:rPr>
                  </w:pPr>
                  <w:r>
                    <w:rPr>
                      <w:rFonts w:cs="Times New Roman"/>
                      <w:snapToGrid w:val="0"/>
                      <w:sz w:val="21"/>
                      <w:szCs w:val="21"/>
                    </w:rPr>
                    <w:t>燃烧性：易燃</w:t>
                  </w:r>
                </w:p>
              </w:tc>
              <w:tc>
                <w:tcPr>
                  <w:tcW w:w="2416" w:type="pct"/>
                  <w:gridSpan w:val="2"/>
                  <w:tcBorders>
                    <w:tl2br w:val="nil"/>
                    <w:tr2bl w:val="nil"/>
                  </w:tcBorders>
                  <w:vAlign w:val="center"/>
                </w:tcPr>
                <w:p w14:paraId="255BF08D">
                  <w:pPr>
                    <w:spacing w:line="240" w:lineRule="auto"/>
                    <w:ind w:firstLine="0" w:firstLineChars="0"/>
                    <w:textAlignment w:val="auto"/>
                    <w:rPr>
                      <w:rFonts w:cs="Times New Roman"/>
                      <w:snapToGrid w:val="0"/>
                      <w:sz w:val="21"/>
                      <w:szCs w:val="21"/>
                    </w:rPr>
                  </w:pPr>
                  <w:r>
                    <w:rPr>
                      <w:rFonts w:cs="Times New Roman"/>
                      <w:snapToGrid w:val="0"/>
                      <w:sz w:val="21"/>
                      <w:szCs w:val="21"/>
                    </w:rPr>
                    <w:t>闪点（℃）：-58~10</w:t>
                  </w:r>
                </w:p>
              </w:tc>
            </w:tr>
            <w:tr w14:paraId="0F2A8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68555E8F">
                  <w:pPr>
                    <w:spacing w:line="240" w:lineRule="auto"/>
                    <w:ind w:firstLine="0" w:firstLineChars="0"/>
                    <w:jc w:val="center"/>
                    <w:textAlignment w:val="auto"/>
                    <w:rPr>
                      <w:rFonts w:cs="Times New Roman"/>
                      <w:snapToGrid w:val="0"/>
                      <w:sz w:val="21"/>
                      <w:szCs w:val="21"/>
                    </w:rPr>
                  </w:pPr>
                </w:p>
              </w:tc>
              <w:tc>
                <w:tcPr>
                  <w:tcW w:w="1980" w:type="pct"/>
                  <w:gridSpan w:val="2"/>
                  <w:tcBorders>
                    <w:tl2br w:val="nil"/>
                    <w:tr2bl w:val="nil"/>
                  </w:tcBorders>
                  <w:vAlign w:val="center"/>
                </w:tcPr>
                <w:p w14:paraId="09455A7E">
                  <w:pPr>
                    <w:spacing w:line="240" w:lineRule="auto"/>
                    <w:ind w:firstLine="0" w:firstLineChars="0"/>
                    <w:textAlignment w:val="auto"/>
                    <w:rPr>
                      <w:rFonts w:cs="Times New Roman"/>
                      <w:snapToGrid w:val="0"/>
                      <w:sz w:val="21"/>
                      <w:szCs w:val="21"/>
                    </w:rPr>
                  </w:pPr>
                  <w:r>
                    <w:rPr>
                      <w:rFonts w:cs="Times New Roman"/>
                      <w:snapToGrid w:val="0"/>
                      <w:sz w:val="21"/>
                      <w:szCs w:val="21"/>
                    </w:rPr>
                    <w:t>爆炸极限（%V/V）：1.3~7.6</w:t>
                  </w:r>
                </w:p>
              </w:tc>
              <w:tc>
                <w:tcPr>
                  <w:tcW w:w="2416" w:type="pct"/>
                  <w:gridSpan w:val="2"/>
                  <w:tcBorders>
                    <w:tl2br w:val="nil"/>
                    <w:tr2bl w:val="nil"/>
                  </w:tcBorders>
                  <w:vAlign w:val="center"/>
                </w:tcPr>
                <w:p w14:paraId="4E413324">
                  <w:pPr>
                    <w:spacing w:line="240" w:lineRule="auto"/>
                    <w:ind w:firstLine="0" w:firstLineChars="0"/>
                    <w:textAlignment w:val="auto"/>
                    <w:rPr>
                      <w:rFonts w:cs="Times New Roman"/>
                      <w:snapToGrid w:val="0"/>
                      <w:sz w:val="21"/>
                      <w:szCs w:val="21"/>
                    </w:rPr>
                  </w:pPr>
                  <w:r>
                    <w:rPr>
                      <w:rFonts w:cs="Times New Roman"/>
                      <w:snapToGrid w:val="0"/>
                      <w:sz w:val="21"/>
                      <w:szCs w:val="21"/>
                    </w:rPr>
                    <w:t>引燃温度（℃）：250~530</w:t>
                  </w:r>
                </w:p>
              </w:tc>
            </w:tr>
            <w:tr w14:paraId="1E597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29ABA0CE">
                  <w:pPr>
                    <w:spacing w:line="240" w:lineRule="auto"/>
                    <w:ind w:firstLine="0" w:firstLineChars="0"/>
                    <w:jc w:val="center"/>
                    <w:textAlignment w:val="auto"/>
                    <w:rPr>
                      <w:rFonts w:cs="Times New Roman"/>
                      <w:snapToGrid w:val="0"/>
                      <w:sz w:val="21"/>
                      <w:szCs w:val="21"/>
                    </w:rPr>
                  </w:pPr>
                </w:p>
              </w:tc>
              <w:tc>
                <w:tcPr>
                  <w:tcW w:w="1980" w:type="pct"/>
                  <w:gridSpan w:val="2"/>
                  <w:tcBorders>
                    <w:tl2br w:val="nil"/>
                    <w:tr2bl w:val="nil"/>
                  </w:tcBorders>
                  <w:vAlign w:val="center"/>
                </w:tcPr>
                <w:p w14:paraId="0457D9F8">
                  <w:pPr>
                    <w:spacing w:line="240" w:lineRule="auto"/>
                    <w:ind w:firstLine="0" w:firstLineChars="0"/>
                    <w:textAlignment w:val="auto"/>
                    <w:rPr>
                      <w:rFonts w:cs="Times New Roman"/>
                      <w:snapToGrid w:val="0"/>
                      <w:sz w:val="21"/>
                      <w:szCs w:val="21"/>
                    </w:rPr>
                  </w:pPr>
                  <w:r>
                    <w:rPr>
                      <w:rFonts w:cs="Times New Roman"/>
                      <w:snapToGrid w:val="0"/>
                      <w:sz w:val="21"/>
                      <w:szCs w:val="21"/>
                    </w:rPr>
                    <w:t>最小点火能（mJ）：0.1～0.2mJ</w:t>
                  </w:r>
                </w:p>
              </w:tc>
              <w:tc>
                <w:tcPr>
                  <w:tcW w:w="2416" w:type="pct"/>
                  <w:gridSpan w:val="2"/>
                  <w:tcBorders>
                    <w:tl2br w:val="nil"/>
                    <w:tr2bl w:val="nil"/>
                  </w:tcBorders>
                  <w:vAlign w:val="center"/>
                </w:tcPr>
                <w:p w14:paraId="1AC12F2C">
                  <w:pPr>
                    <w:spacing w:line="240" w:lineRule="auto"/>
                    <w:ind w:firstLine="0" w:firstLineChars="0"/>
                    <w:textAlignment w:val="auto"/>
                    <w:rPr>
                      <w:rFonts w:cs="Times New Roman"/>
                      <w:snapToGrid w:val="0"/>
                      <w:sz w:val="21"/>
                      <w:szCs w:val="21"/>
                    </w:rPr>
                  </w:pPr>
                  <w:r>
                    <w:rPr>
                      <w:rFonts w:cs="Times New Roman"/>
                      <w:snapToGrid w:val="0"/>
                      <w:sz w:val="21"/>
                      <w:szCs w:val="21"/>
                    </w:rPr>
                    <w:t>最大爆炸压力：0.813</w:t>
                  </w:r>
                </w:p>
              </w:tc>
            </w:tr>
            <w:tr w14:paraId="557DF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57B8F607">
                  <w:pPr>
                    <w:spacing w:line="240" w:lineRule="auto"/>
                    <w:ind w:firstLine="0" w:firstLineChars="0"/>
                    <w:jc w:val="center"/>
                    <w:textAlignment w:val="auto"/>
                    <w:rPr>
                      <w:rFonts w:cs="Times New Roman"/>
                      <w:snapToGrid w:val="0"/>
                      <w:sz w:val="21"/>
                      <w:szCs w:val="21"/>
                    </w:rPr>
                  </w:pPr>
                </w:p>
              </w:tc>
              <w:tc>
                <w:tcPr>
                  <w:tcW w:w="1980" w:type="pct"/>
                  <w:gridSpan w:val="2"/>
                  <w:tcBorders>
                    <w:tl2br w:val="nil"/>
                    <w:tr2bl w:val="nil"/>
                  </w:tcBorders>
                  <w:vAlign w:val="center"/>
                </w:tcPr>
                <w:p w14:paraId="1835E47A">
                  <w:pPr>
                    <w:spacing w:line="240" w:lineRule="auto"/>
                    <w:ind w:firstLine="0" w:firstLineChars="0"/>
                    <w:textAlignment w:val="auto"/>
                    <w:rPr>
                      <w:rFonts w:cs="Times New Roman"/>
                      <w:snapToGrid w:val="0"/>
                      <w:sz w:val="21"/>
                      <w:szCs w:val="21"/>
                    </w:rPr>
                  </w:pPr>
                  <w:r>
                    <w:rPr>
                      <w:rFonts w:cs="Times New Roman"/>
                      <w:snapToGrid w:val="0"/>
                      <w:sz w:val="21"/>
                      <w:szCs w:val="21"/>
                    </w:rPr>
                    <w:t>熔点（℃）：＜-60</w:t>
                  </w:r>
                </w:p>
              </w:tc>
              <w:tc>
                <w:tcPr>
                  <w:tcW w:w="2416" w:type="pct"/>
                  <w:gridSpan w:val="2"/>
                  <w:tcBorders>
                    <w:tl2br w:val="nil"/>
                    <w:tr2bl w:val="nil"/>
                  </w:tcBorders>
                  <w:vAlign w:val="center"/>
                </w:tcPr>
                <w:p w14:paraId="16A38FE8">
                  <w:pPr>
                    <w:spacing w:line="240" w:lineRule="auto"/>
                    <w:ind w:firstLine="0" w:firstLineChars="0"/>
                    <w:textAlignment w:val="auto"/>
                    <w:rPr>
                      <w:rFonts w:cs="Times New Roman"/>
                      <w:snapToGrid w:val="0"/>
                      <w:sz w:val="21"/>
                      <w:szCs w:val="21"/>
                    </w:rPr>
                  </w:pPr>
                  <w:r>
                    <w:rPr>
                      <w:rFonts w:cs="Times New Roman"/>
                      <w:snapToGrid w:val="0"/>
                      <w:sz w:val="21"/>
                      <w:szCs w:val="21"/>
                    </w:rPr>
                    <w:t>沸点（℃）：25~220</w:t>
                  </w:r>
                </w:p>
              </w:tc>
            </w:tr>
            <w:tr w14:paraId="4F1AD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3046A3E8">
                  <w:pPr>
                    <w:spacing w:line="240" w:lineRule="auto"/>
                    <w:ind w:firstLine="0" w:firstLineChars="0"/>
                    <w:jc w:val="center"/>
                    <w:textAlignment w:val="auto"/>
                    <w:rPr>
                      <w:rFonts w:cs="Times New Roman"/>
                      <w:snapToGrid w:val="0"/>
                      <w:sz w:val="21"/>
                      <w:szCs w:val="21"/>
                    </w:rPr>
                  </w:pPr>
                </w:p>
              </w:tc>
              <w:tc>
                <w:tcPr>
                  <w:tcW w:w="1980" w:type="pct"/>
                  <w:gridSpan w:val="2"/>
                  <w:tcBorders>
                    <w:tl2br w:val="nil"/>
                    <w:tr2bl w:val="nil"/>
                  </w:tcBorders>
                  <w:vAlign w:val="center"/>
                </w:tcPr>
                <w:p w14:paraId="179AC325">
                  <w:pPr>
                    <w:spacing w:line="240" w:lineRule="auto"/>
                    <w:ind w:firstLine="0" w:firstLineChars="0"/>
                    <w:textAlignment w:val="auto"/>
                    <w:rPr>
                      <w:rFonts w:cs="Times New Roman"/>
                      <w:snapToGrid w:val="0"/>
                      <w:sz w:val="21"/>
                      <w:szCs w:val="21"/>
                    </w:rPr>
                  </w:pPr>
                  <w:r>
                    <w:rPr>
                      <w:rFonts w:cs="Times New Roman"/>
                      <w:snapToGrid w:val="0"/>
                      <w:sz w:val="21"/>
                      <w:szCs w:val="21"/>
                    </w:rPr>
                    <w:t>相对密度（水＝1）：0.70~0.80</w:t>
                  </w:r>
                </w:p>
              </w:tc>
              <w:tc>
                <w:tcPr>
                  <w:tcW w:w="2416" w:type="pct"/>
                  <w:gridSpan w:val="2"/>
                  <w:tcBorders>
                    <w:tl2br w:val="nil"/>
                    <w:tr2bl w:val="nil"/>
                  </w:tcBorders>
                  <w:vAlign w:val="center"/>
                </w:tcPr>
                <w:p w14:paraId="5208A974">
                  <w:pPr>
                    <w:spacing w:line="240" w:lineRule="auto"/>
                    <w:ind w:firstLine="0" w:firstLineChars="0"/>
                    <w:textAlignment w:val="auto"/>
                    <w:rPr>
                      <w:rFonts w:cs="Times New Roman"/>
                      <w:snapToGrid w:val="0"/>
                      <w:sz w:val="21"/>
                      <w:szCs w:val="21"/>
                    </w:rPr>
                  </w:pPr>
                  <w:r>
                    <w:rPr>
                      <w:rFonts w:cs="Times New Roman"/>
                      <w:snapToGrid w:val="0"/>
                      <w:sz w:val="21"/>
                      <w:szCs w:val="21"/>
                    </w:rPr>
                    <w:t>相对蒸气密度（空气=1）：3~4</w:t>
                  </w:r>
                </w:p>
              </w:tc>
            </w:tr>
            <w:tr w14:paraId="57580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2AE8D3BF">
                  <w:pPr>
                    <w:spacing w:line="240" w:lineRule="auto"/>
                    <w:ind w:firstLine="0" w:firstLineChars="0"/>
                    <w:jc w:val="center"/>
                    <w:textAlignment w:val="auto"/>
                    <w:rPr>
                      <w:rFonts w:cs="Times New Roman"/>
                      <w:snapToGrid w:val="0"/>
                      <w:sz w:val="21"/>
                      <w:szCs w:val="21"/>
                    </w:rPr>
                  </w:pPr>
                </w:p>
              </w:tc>
              <w:tc>
                <w:tcPr>
                  <w:tcW w:w="1980" w:type="pct"/>
                  <w:gridSpan w:val="2"/>
                  <w:tcBorders>
                    <w:tl2br w:val="nil"/>
                    <w:tr2bl w:val="nil"/>
                  </w:tcBorders>
                  <w:vAlign w:val="center"/>
                </w:tcPr>
                <w:p w14:paraId="786710CE">
                  <w:pPr>
                    <w:spacing w:line="240" w:lineRule="auto"/>
                    <w:ind w:firstLine="0" w:firstLineChars="0"/>
                    <w:textAlignment w:val="auto"/>
                    <w:rPr>
                      <w:rFonts w:cs="Times New Roman"/>
                      <w:snapToGrid w:val="0"/>
                      <w:sz w:val="21"/>
                      <w:szCs w:val="21"/>
                    </w:rPr>
                  </w:pPr>
                  <w:r>
                    <w:rPr>
                      <w:rFonts w:cs="Times New Roman"/>
                      <w:snapToGrid w:val="0"/>
                      <w:sz w:val="21"/>
                      <w:szCs w:val="21"/>
                    </w:rPr>
                    <w:t>稳定性：稳定</w:t>
                  </w:r>
                </w:p>
              </w:tc>
              <w:tc>
                <w:tcPr>
                  <w:tcW w:w="2416" w:type="pct"/>
                  <w:gridSpan w:val="2"/>
                  <w:tcBorders>
                    <w:tl2br w:val="nil"/>
                    <w:tr2bl w:val="nil"/>
                  </w:tcBorders>
                  <w:vAlign w:val="center"/>
                </w:tcPr>
                <w:p w14:paraId="2EAE6B3A">
                  <w:pPr>
                    <w:spacing w:line="240" w:lineRule="auto"/>
                    <w:ind w:firstLine="0" w:firstLineChars="0"/>
                    <w:textAlignment w:val="auto"/>
                    <w:rPr>
                      <w:rFonts w:cs="Times New Roman"/>
                      <w:snapToGrid w:val="0"/>
                      <w:sz w:val="21"/>
                      <w:szCs w:val="21"/>
                    </w:rPr>
                  </w:pPr>
                  <w:r>
                    <w:rPr>
                      <w:rFonts w:cs="Times New Roman"/>
                      <w:snapToGrid w:val="0"/>
                      <w:sz w:val="21"/>
                      <w:szCs w:val="21"/>
                    </w:rPr>
                    <w:t>聚合危害：不聚合</w:t>
                  </w:r>
                </w:p>
              </w:tc>
            </w:tr>
            <w:tr w14:paraId="2A78C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265802B6">
                  <w:pPr>
                    <w:spacing w:line="240" w:lineRule="auto"/>
                    <w:ind w:firstLine="0" w:firstLineChars="0"/>
                    <w:jc w:val="center"/>
                    <w:textAlignment w:val="auto"/>
                    <w:rPr>
                      <w:rFonts w:cs="Times New Roman"/>
                      <w:snapToGrid w:val="0"/>
                      <w:sz w:val="21"/>
                      <w:szCs w:val="21"/>
                    </w:rPr>
                  </w:pPr>
                </w:p>
              </w:tc>
              <w:tc>
                <w:tcPr>
                  <w:tcW w:w="4396" w:type="pct"/>
                  <w:gridSpan w:val="4"/>
                  <w:tcBorders>
                    <w:tl2br w:val="nil"/>
                    <w:tr2bl w:val="nil"/>
                  </w:tcBorders>
                  <w:vAlign w:val="center"/>
                </w:tcPr>
                <w:p w14:paraId="24A4A834">
                  <w:pPr>
                    <w:spacing w:line="240" w:lineRule="auto"/>
                    <w:ind w:firstLine="0" w:firstLineChars="0"/>
                    <w:textAlignment w:val="auto"/>
                    <w:rPr>
                      <w:rFonts w:cs="Times New Roman"/>
                      <w:snapToGrid w:val="0"/>
                      <w:sz w:val="21"/>
                      <w:szCs w:val="21"/>
                    </w:rPr>
                  </w:pPr>
                  <w:r>
                    <w:rPr>
                      <w:rFonts w:cs="Times New Roman"/>
                      <w:snapToGrid w:val="0"/>
                      <w:sz w:val="21"/>
                      <w:szCs w:val="21"/>
                    </w:rPr>
                    <w:t>溶解性：不溶于水，易溶于苯、二硫化碳、醇、脂肪</w:t>
                  </w:r>
                </w:p>
              </w:tc>
            </w:tr>
            <w:tr w14:paraId="02493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4CE880E9">
                  <w:pPr>
                    <w:spacing w:line="240" w:lineRule="auto"/>
                    <w:ind w:firstLine="0" w:firstLineChars="0"/>
                    <w:jc w:val="center"/>
                    <w:textAlignment w:val="auto"/>
                    <w:rPr>
                      <w:rFonts w:cs="Times New Roman"/>
                      <w:snapToGrid w:val="0"/>
                      <w:sz w:val="21"/>
                      <w:szCs w:val="21"/>
                    </w:rPr>
                  </w:pPr>
                </w:p>
              </w:tc>
              <w:tc>
                <w:tcPr>
                  <w:tcW w:w="2276" w:type="pct"/>
                  <w:gridSpan w:val="3"/>
                  <w:tcBorders>
                    <w:tl2br w:val="nil"/>
                    <w:tr2bl w:val="nil"/>
                  </w:tcBorders>
                  <w:vAlign w:val="center"/>
                </w:tcPr>
                <w:p w14:paraId="2D681FB7">
                  <w:pPr>
                    <w:spacing w:line="240" w:lineRule="auto"/>
                    <w:ind w:firstLine="0" w:firstLineChars="0"/>
                    <w:textAlignment w:val="auto"/>
                    <w:rPr>
                      <w:rFonts w:cs="Times New Roman"/>
                      <w:snapToGrid w:val="0"/>
                      <w:sz w:val="21"/>
                      <w:szCs w:val="21"/>
                    </w:rPr>
                  </w:pPr>
                  <w:r>
                    <w:rPr>
                      <w:rFonts w:cs="Times New Roman"/>
                      <w:snapToGrid w:val="0"/>
                      <w:sz w:val="21"/>
                      <w:szCs w:val="21"/>
                    </w:rPr>
                    <w:t>禁配物：强氧化剂、强酸、强碱、卤素</w:t>
                  </w:r>
                </w:p>
              </w:tc>
              <w:tc>
                <w:tcPr>
                  <w:tcW w:w="2120" w:type="pct"/>
                  <w:tcBorders>
                    <w:tl2br w:val="nil"/>
                    <w:tr2bl w:val="nil"/>
                  </w:tcBorders>
                  <w:vAlign w:val="center"/>
                </w:tcPr>
                <w:p w14:paraId="3183473C">
                  <w:pPr>
                    <w:spacing w:line="240" w:lineRule="auto"/>
                    <w:ind w:firstLine="0" w:firstLineChars="0"/>
                    <w:textAlignment w:val="auto"/>
                    <w:rPr>
                      <w:rFonts w:cs="Times New Roman"/>
                      <w:snapToGrid w:val="0"/>
                      <w:sz w:val="21"/>
                      <w:szCs w:val="21"/>
                    </w:rPr>
                  </w:pPr>
                  <w:r>
                    <w:rPr>
                      <w:rFonts w:cs="Times New Roman"/>
                      <w:snapToGrid w:val="0"/>
                      <w:sz w:val="21"/>
                      <w:szCs w:val="21"/>
                    </w:rPr>
                    <w:t>燃烧分解产物：CO、CO</w:t>
                  </w:r>
                  <w:r>
                    <w:rPr>
                      <w:rFonts w:cs="Times New Roman"/>
                      <w:snapToGrid w:val="0"/>
                      <w:sz w:val="21"/>
                      <w:szCs w:val="21"/>
                      <w:vertAlign w:val="subscript"/>
                    </w:rPr>
                    <w:t>2</w:t>
                  </w:r>
                </w:p>
              </w:tc>
            </w:tr>
            <w:tr w14:paraId="67F63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697A0B5C">
                  <w:pPr>
                    <w:spacing w:line="240" w:lineRule="auto"/>
                    <w:ind w:firstLine="0" w:firstLineChars="0"/>
                    <w:jc w:val="center"/>
                    <w:textAlignment w:val="auto"/>
                    <w:rPr>
                      <w:rFonts w:cs="Times New Roman"/>
                      <w:snapToGrid w:val="0"/>
                      <w:sz w:val="21"/>
                      <w:szCs w:val="21"/>
                    </w:rPr>
                  </w:pPr>
                </w:p>
              </w:tc>
              <w:tc>
                <w:tcPr>
                  <w:tcW w:w="4396" w:type="pct"/>
                  <w:gridSpan w:val="4"/>
                  <w:tcBorders>
                    <w:tl2br w:val="nil"/>
                    <w:tr2bl w:val="nil"/>
                  </w:tcBorders>
                  <w:vAlign w:val="center"/>
                </w:tcPr>
                <w:p w14:paraId="09C9691F">
                  <w:pPr>
                    <w:spacing w:line="240" w:lineRule="auto"/>
                    <w:ind w:firstLine="0" w:firstLineChars="0"/>
                    <w:textAlignment w:val="auto"/>
                    <w:rPr>
                      <w:rFonts w:cs="Times New Roman"/>
                      <w:snapToGrid w:val="0"/>
                      <w:sz w:val="21"/>
                      <w:szCs w:val="21"/>
                    </w:rPr>
                  </w:pPr>
                  <w:r>
                    <w:rPr>
                      <w:rFonts w:cs="Times New Roman"/>
                      <w:snapToGrid w:val="0"/>
                      <w:sz w:val="21"/>
                      <w:szCs w:val="21"/>
                    </w:rPr>
                    <w:t>危险特性：其蒸气与空气形成爆炸性混合物。遇明火、高热极易燃烧爆炸。与氧化剂能发生强烈反应。其蒸气比空气重，能在较低处扩散到相当远的地方，遇明火会引着回燃。</w:t>
                  </w:r>
                </w:p>
              </w:tc>
            </w:tr>
            <w:tr w14:paraId="58C09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04" w:type="pct"/>
                  <w:vMerge w:val="continue"/>
                  <w:tcBorders>
                    <w:tl2br w:val="nil"/>
                    <w:tr2bl w:val="nil"/>
                  </w:tcBorders>
                  <w:vAlign w:val="center"/>
                </w:tcPr>
                <w:p w14:paraId="51C25FB5">
                  <w:pPr>
                    <w:spacing w:line="240" w:lineRule="auto"/>
                    <w:ind w:firstLine="0" w:firstLineChars="0"/>
                    <w:jc w:val="center"/>
                    <w:textAlignment w:val="auto"/>
                    <w:rPr>
                      <w:rFonts w:cs="Times New Roman"/>
                      <w:snapToGrid w:val="0"/>
                      <w:sz w:val="21"/>
                      <w:szCs w:val="21"/>
                    </w:rPr>
                  </w:pPr>
                </w:p>
              </w:tc>
              <w:tc>
                <w:tcPr>
                  <w:tcW w:w="4396" w:type="pct"/>
                  <w:gridSpan w:val="4"/>
                  <w:tcBorders>
                    <w:tl2br w:val="nil"/>
                    <w:tr2bl w:val="nil"/>
                  </w:tcBorders>
                  <w:vAlign w:val="center"/>
                </w:tcPr>
                <w:p w14:paraId="6DD18447">
                  <w:pPr>
                    <w:spacing w:line="240" w:lineRule="auto"/>
                    <w:ind w:firstLine="0" w:firstLineChars="0"/>
                    <w:textAlignment w:val="auto"/>
                    <w:rPr>
                      <w:rFonts w:cs="Times New Roman"/>
                      <w:snapToGrid w:val="0"/>
                      <w:sz w:val="21"/>
                      <w:szCs w:val="21"/>
                    </w:rPr>
                  </w:pPr>
                  <w:r>
                    <w:rPr>
                      <w:rFonts w:cs="Times New Roman"/>
                      <w:snapToGrid w:val="0"/>
                      <w:sz w:val="21"/>
                      <w:szCs w:val="21"/>
                    </w:rPr>
                    <w:t>灭火方法：喷水冷却容器，可能的话将容器从火场移至空旷处。灭火剂：干粉、泡沫、二氧化碳。用水灭火无效。</w:t>
                  </w:r>
                </w:p>
              </w:tc>
            </w:tr>
            <w:tr w14:paraId="10E17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604" w:type="pct"/>
                  <w:vMerge w:val="restart"/>
                  <w:tcBorders>
                    <w:tl2br w:val="nil"/>
                    <w:tr2bl w:val="nil"/>
                  </w:tcBorders>
                  <w:vAlign w:val="center"/>
                </w:tcPr>
                <w:p w14:paraId="3AEE214B">
                  <w:pPr>
                    <w:spacing w:line="240" w:lineRule="auto"/>
                    <w:ind w:firstLine="0" w:firstLineChars="0"/>
                    <w:jc w:val="center"/>
                    <w:textAlignment w:val="auto"/>
                    <w:rPr>
                      <w:rFonts w:cs="Times New Roman"/>
                      <w:snapToGrid w:val="0"/>
                      <w:sz w:val="21"/>
                      <w:szCs w:val="21"/>
                    </w:rPr>
                  </w:pPr>
                  <w:r>
                    <w:rPr>
                      <w:rFonts w:cs="Times New Roman"/>
                      <w:snapToGrid w:val="0"/>
                      <w:sz w:val="21"/>
                      <w:szCs w:val="21"/>
                    </w:rPr>
                    <w:t>毒理</w:t>
                  </w:r>
                </w:p>
                <w:p w14:paraId="2B4754E1">
                  <w:pPr>
                    <w:spacing w:line="240" w:lineRule="auto"/>
                    <w:ind w:firstLine="0" w:firstLineChars="0"/>
                    <w:jc w:val="center"/>
                    <w:textAlignment w:val="auto"/>
                    <w:rPr>
                      <w:rFonts w:cs="Times New Roman"/>
                      <w:snapToGrid w:val="0"/>
                      <w:sz w:val="21"/>
                      <w:szCs w:val="21"/>
                    </w:rPr>
                  </w:pPr>
                  <w:r>
                    <w:rPr>
                      <w:rFonts w:cs="Times New Roman"/>
                      <w:snapToGrid w:val="0"/>
                      <w:sz w:val="21"/>
                      <w:szCs w:val="21"/>
                    </w:rPr>
                    <w:t>资料</w:t>
                  </w:r>
                </w:p>
              </w:tc>
              <w:tc>
                <w:tcPr>
                  <w:tcW w:w="4396" w:type="pct"/>
                  <w:gridSpan w:val="4"/>
                  <w:tcBorders>
                    <w:tl2br w:val="nil"/>
                    <w:tr2bl w:val="nil"/>
                  </w:tcBorders>
                  <w:vAlign w:val="center"/>
                </w:tcPr>
                <w:p w14:paraId="3645C65B">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急性毒性：LD</w:t>
                  </w:r>
                  <w:r>
                    <w:rPr>
                      <w:rFonts w:cs="Times New Roman"/>
                      <w:snapToGrid w:val="0"/>
                      <w:sz w:val="21"/>
                      <w:szCs w:val="21"/>
                      <w:vertAlign w:val="subscript"/>
                    </w:rPr>
                    <w:t>50</w:t>
                  </w:r>
                  <w:r>
                    <w:rPr>
                      <w:rFonts w:cs="Times New Roman"/>
                      <w:snapToGrid w:val="0"/>
                      <w:sz w:val="21"/>
                      <w:szCs w:val="21"/>
                    </w:rPr>
                    <w:t xml:space="preserve"> 67000mg/kg（小鼠经口），LC</w:t>
                  </w:r>
                  <w:r>
                    <w:rPr>
                      <w:rFonts w:cs="Times New Roman"/>
                      <w:snapToGrid w:val="0"/>
                      <w:sz w:val="21"/>
                      <w:szCs w:val="21"/>
                      <w:vertAlign w:val="subscript"/>
                    </w:rPr>
                    <w:t>50</w:t>
                  </w:r>
                  <w:r>
                    <w:rPr>
                      <w:rFonts w:cs="Times New Roman"/>
                      <w:snapToGrid w:val="0"/>
                      <w:sz w:val="21"/>
                      <w:szCs w:val="21"/>
                    </w:rPr>
                    <w:t xml:space="preserve"> 103000mg/m³，2小时（小鼠吸入）</w:t>
                  </w:r>
                  <w:r>
                    <w:rPr>
                      <w:rFonts w:hint="eastAsia" w:cs="Times New Roman"/>
                      <w:snapToGrid w:val="0"/>
                      <w:sz w:val="21"/>
                      <w:szCs w:val="21"/>
                      <w:lang w:eastAsia="zh-CN"/>
                    </w:rPr>
                    <w:t>。</w:t>
                  </w:r>
                </w:p>
              </w:tc>
            </w:tr>
            <w:tr w14:paraId="78FFE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604" w:type="pct"/>
                  <w:vMerge w:val="continue"/>
                  <w:tcBorders>
                    <w:tl2br w:val="nil"/>
                    <w:tr2bl w:val="nil"/>
                  </w:tcBorders>
                  <w:vAlign w:val="center"/>
                </w:tcPr>
                <w:p w14:paraId="3036DC75">
                  <w:pPr>
                    <w:spacing w:line="240" w:lineRule="auto"/>
                    <w:ind w:firstLine="0" w:firstLineChars="0"/>
                    <w:jc w:val="center"/>
                    <w:textAlignment w:val="auto"/>
                    <w:rPr>
                      <w:rFonts w:cs="Times New Roman"/>
                      <w:snapToGrid w:val="0"/>
                      <w:sz w:val="21"/>
                      <w:szCs w:val="21"/>
                    </w:rPr>
                  </w:pPr>
                </w:p>
              </w:tc>
              <w:tc>
                <w:tcPr>
                  <w:tcW w:w="4396" w:type="pct"/>
                  <w:gridSpan w:val="4"/>
                  <w:tcBorders>
                    <w:tl2br w:val="nil"/>
                    <w:tr2bl w:val="nil"/>
                  </w:tcBorders>
                  <w:vAlign w:val="center"/>
                </w:tcPr>
                <w:p w14:paraId="638B39E9">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车间卫生标准：中国MAC：300mg/m³（溶剂汽油），苏联MAC：300mg/m³</w:t>
                  </w:r>
                  <w:r>
                    <w:rPr>
                      <w:rFonts w:hint="eastAsia" w:cs="Times New Roman"/>
                      <w:snapToGrid w:val="0"/>
                      <w:sz w:val="21"/>
                      <w:szCs w:val="21"/>
                      <w:lang w:eastAsia="zh-CN"/>
                    </w:rPr>
                    <w:t>；</w:t>
                  </w:r>
                  <w:r>
                    <w:rPr>
                      <w:rFonts w:cs="Times New Roman"/>
                      <w:snapToGrid w:val="0"/>
                      <w:sz w:val="21"/>
                      <w:szCs w:val="21"/>
                    </w:rPr>
                    <w:t>美国ACGIH300ppm，890mg/m³</w:t>
                  </w:r>
                  <w:r>
                    <w:rPr>
                      <w:rFonts w:hint="eastAsia" w:cs="Times New Roman"/>
                      <w:snapToGrid w:val="0"/>
                      <w:sz w:val="21"/>
                      <w:szCs w:val="21"/>
                      <w:lang w:eastAsia="zh-CN"/>
                    </w:rPr>
                    <w:t>；</w:t>
                  </w:r>
                </w:p>
              </w:tc>
            </w:tr>
            <w:tr w14:paraId="3ABF5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604" w:type="pct"/>
                  <w:tcBorders>
                    <w:tl2br w:val="nil"/>
                    <w:tr2bl w:val="nil"/>
                  </w:tcBorders>
                  <w:vAlign w:val="center"/>
                </w:tcPr>
                <w:p w14:paraId="0EE36991">
                  <w:pPr>
                    <w:spacing w:line="240" w:lineRule="auto"/>
                    <w:ind w:firstLine="0" w:firstLineChars="0"/>
                    <w:jc w:val="center"/>
                    <w:textAlignment w:val="auto"/>
                    <w:rPr>
                      <w:rFonts w:cs="Times New Roman"/>
                      <w:snapToGrid w:val="0"/>
                      <w:sz w:val="21"/>
                      <w:szCs w:val="21"/>
                    </w:rPr>
                  </w:pPr>
                  <w:r>
                    <w:rPr>
                      <w:rFonts w:cs="Times New Roman"/>
                      <w:snapToGrid w:val="0"/>
                      <w:sz w:val="21"/>
                      <w:szCs w:val="21"/>
                    </w:rPr>
                    <w:t>健康</w:t>
                  </w:r>
                </w:p>
                <w:p w14:paraId="61F43E11">
                  <w:pPr>
                    <w:spacing w:line="240" w:lineRule="auto"/>
                    <w:ind w:firstLine="0" w:firstLineChars="0"/>
                    <w:jc w:val="center"/>
                    <w:textAlignment w:val="auto"/>
                    <w:rPr>
                      <w:rFonts w:cs="Times New Roman"/>
                      <w:snapToGrid w:val="0"/>
                      <w:sz w:val="21"/>
                      <w:szCs w:val="21"/>
                    </w:rPr>
                  </w:pPr>
                  <w:r>
                    <w:rPr>
                      <w:rFonts w:cs="Times New Roman"/>
                      <w:snapToGrid w:val="0"/>
                      <w:sz w:val="21"/>
                      <w:szCs w:val="21"/>
                    </w:rPr>
                    <w:t>危害</w:t>
                  </w:r>
                </w:p>
              </w:tc>
              <w:tc>
                <w:tcPr>
                  <w:tcW w:w="4396" w:type="pct"/>
                  <w:gridSpan w:val="4"/>
                  <w:tcBorders>
                    <w:tl2br w:val="nil"/>
                    <w:tr2bl w:val="nil"/>
                  </w:tcBorders>
                  <w:vAlign w:val="center"/>
                </w:tcPr>
                <w:p w14:paraId="4C607FEC">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侵入途径：吸入、食入、经皮吸收</w:t>
                  </w:r>
                  <w:r>
                    <w:rPr>
                      <w:rFonts w:hint="eastAsia" w:cs="Times New Roman"/>
                      <w:snapToGrid w:val="0"/>
                      <w:sz w:val="21"/>
                      <w:szCs w:val="21"/>
                      <w:lang w:eastAsia="zh-CN"/>
                    </w:rPr>
                    <w:t>；</w:t>
                  </w:r>
                </w:p>
                <w:p w14:paraId="4E6F7175">
                  <w:pPr>
                    <w:spacing w:line="240" w:lineRule="auto"/>
                    <w:ind w:firstLine="0" w:firstLineChars="0"/>
                    <w:textAlignment w:val="auto"/>
                    <w:rPr>
                      <w:rFonts w:cs="Times New Roman"/>
                      <w:snapToGrid w:val="0"/>
                      <w:sz w:val="21"/>
                      <w:szCs w:val="21"/>
                    </w:rPr>
                  </w:pPr>
                  <w:r>
                    <w:rPr>
                      <w:rFonts w:cs="Times New Roman"/>
                      <w:snapToGrid w:val="0"/>
                      <w:sz w:val="21"/>
                      <w:szCs w:val="21"/>
                    </w:rPr>
                    <w:t>健康危害：急性中毒：对中枢神经系统有麻痹作用。轻度中毒症状有头晕、呕吐、恶心、步态不稳、共济失调。高浓度吸入出现中毒性脑病。极高浓度吸入引起意识突然丧失、反射性呼吸停止，可伴有中毒性周围神经病及化学性肺炎。</w:t>
                  </w:r>
                </w:p>
              </w:tc>
            </w:tr>
            <w:tr w14:paraId="458E5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4" w:type="pct"/>
                  <w:tcBorders>
                    <w:tl2br w:val="nil"/>
                    <w:tr2bl w:val="nil"/>
                  </w:tcBorders>
                  <w:vAlign w:val="center"/>
                </w:tcPr>
                <w:p w14:paraId="303347EE">
                  <w:pPr>
                    <w:spacing w:line="240" w:lineRule="auto"/>
                    <w:ind w:firstLine="0" w:firstLineChars="0"/>
                    <w:jc w:val="center"/>
                    <w:textAlignment w:val="auto"/>
                    <w:rPr>
                      <w:rFonts w:cs="Times New Roman"/>
                      <w:snapToGrid w:val="0"/>
                      <w:sz w:val="21"/>
                      <w:szCs w:val="21"/>
                    </w:rPr>
                  </w:pPr>
                  <w:r>
                    <w:rPr>
                      <w:rFonts w:cs="Times New Roman"/>
                      <w:snapToGrid w:val="0"/>
                      <w:sz w:val="21"/>
                      <w:szCs w:val="21"/>
                    </w:rPr>
                    <w:t>急救</w:t>
                  </w:r>
                </w:p>
              </w:tc>
              <w:tc>
                <w:tcPr>
                  <w:tcW w:w="4396" w:type="pct"/>
                  <w:gridSpan w:val="4"/>
                  <w:tcBorders>
                    <w:tl2br w:val="nil"/>
                    <w:tr2bl w:val="nil"/>
                  </w:tcBorders>
                  <w:vAlign w:val="center"/>
                </w:tcPr>
                <w:p w14:paraId="3FDC67B5">
                  <w:pPr>
                    <w:spacing w:line="240" w:lineRule="auto"/>
                    <w:ind w:firstLine="0" w:firstLineChars="0"/>
                    <w:textAlignment w:val="auto"/>
                    <w:rPr>
                      <w:rFonts w:cs="Times New Roman"/>
                      <w:snapToGrid w:val="0"/>
                      <w:sz w:val="21"/>
                      <w:szCs w:val="21"/>
                    </w:rPr>
                  </w:pPr>
                  <w:r>
                    <w:rPr>
                      <w:rFonts w:cs="Times New Roman"/>
                      <w:snapToGrid w:val="0"/>
                      <w:sz w:val="21"/>
                      <w:szCs w:val="21"/>
                    </w:rPr>
                    <w:t>皮肤接触：立即脱去被污染的衣着，用肥皂水及清水彻底冲洗皮肤。就医。</w:t>
                  </w:r>
                </w:p>
                <w:p w14:paraId="545A01AC">
                  <w:pPr>
                    <w:spacing w:line="240" w:lineRule="auto"/>
                    <w:ind w:firstLine="0" w:firstLineChars="0"/>
                    <w:textAlignment w:val="auto"/>
                    <w:rPr>
                      <w:rFonts w:cs="Times New Roman"/>
                      <w:snapToGrid w:val="0"/>
                      <w:sz w:val="21"/>
                      <w:szCs w:val="21"/>
                    </w:rPr>
                  </w:pPr>
                  <w:r>
                    <w:rPr>
                      <w:rFonts w:cs="Times New Roman"/>
                      <w:snapToGrid w:val="0"/>
                      <w:sz w:val="21"/>
                      <w:szCs w:val="21"/>
                    </w:rPr>
                    <w:t>眼睛接触：立即提起眼睑，用大量流动清水或生理盐水彻底冲洗至少15分钟。就医。</w:t>
                  </w:r>
                </w:p>
                <w:p w14:paraId="374DFB6C">
                  <w:pPr>
                    <w:spacing w:line="240" w:lineRule="auto"/>
                    <w:ind w:firstLine="0" w:firstLineChars="0"/>
                    <w:textAlignment w:val="auto"/>
                    <w:rPr>
                      <w:rFonts w:cs="Times New Roman"/>
                      <w:snapToGrid w:val="0"/>
                      <w:sz w:val="21"/>
                      <w:szCs w:val="21"/>
                    </w:rPr>
                  </w:pPr>
                  <w:r>
                    <w:rPr>
                      <w:rFonts w:cs="Times New Roman"/>
                      <w:snapToGrid w:val="0"/>
                      <w:sz w:val="21"/>
                      <w:szCs w:val="21"/>
                    </w:rPr>
                    <w:t>吸入：迅速脱离现场至空气新鲜处。保持呼吸道通畅。如呼吸困难，给输氧。如呼吸停止，立即进行人工呼吸。就医。</w:t>
                  </w:r>
                </w:p>
                <w:p w14:paraId="275FAA7A">
                  <w:pPr>
                    <w:spacing w:line="240" w:lineRule="auto"/>
                    <w:ind w:firstLine="0" w:firstLineChars="0"/>
                    <w:textAlignment w:val="auto"/>
                    <w:rPr>
                      <w:rFonts w:cs="Times New Roman"/>
                      <w:snapToGrid w:val="0"/>
                      <w:sz w:val="21"/>
                      <w:szCs w:val="21"/>
                    </w:rPr>
                  </w:pPr>
                  <w:r>
                    <w:rPr>
                      <w:rFonts w:cs="Times New Roman"/>
                      <w:snapToGrid w:val="0"/>
                      <w:sz w:val="21"/>
                      <w:szCs w:val="21"/>
                    </w:rPr>
                    <w:t>食入：给饮牛奶或用植物油洗胃和灌肠。就医。</w:t>
                  </w:r>
                </w:p>
              </w:tc>
            </w:tr>
            <w:tr w14:paraId="7BC56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04" w:type="pct"/>
                  <w:tcBorders>
                    <w:tl2br w:val="nil"/>
                    <w:tr2bl w:val="nil"/>
                  </w:tcBorders>
                  <w:vAlign w:val="center"/>
                </w:tcPr>
                <w:p w14:paraId="5CA1C8B6">
                  <w:pPr>
                    <w:spacing w:line="240" w:lineRule="auto"/>
                    <w:ind w:firstLine="0" w:firstLineChars="0"/>
                    <w:jc w:val="center"/>
                    <w:textAlignment w:val="auto"/>
                    <w:rPr>
                      <w:rFonts w:cs="Times New Roman"/>
                      <w:snapToGrid w:val="0"/>
                      <w:sz w:val="21"/>
                      <w:szCs w:val="21"/>
                    </w:rPr>
                  </w:pPr>
                  <w:r>
                    <w:rPr>
                      <w:rFonts w:cs="Times New Roman"/>
                      <w:snapToGrid w:val="0"/>
                      <w:sz w:val="21"/>
                      <w:szCs w:val="21"/>
                    </w:rPr>
                    <w:t>防护</w:t>
                  </w:r>
                </w:p>
                <w:p w14:paraId="2B24B80C">
                  <w:pPr>
                    <w:spacing w:line="240" w:lineRule="auto"/>
                    <w:ind w:firstLine="0" w:firstLineChars="0"/>
                    <w:jc w:val="center"/>
                    <w:textAlignment w:val="auto"/>
                    <w:rPr>
                      <w:rFonts w:cs="Times New Roman"/>
                      <w:snapToGrid w:val="0"/>
                      <w:sz w:val="21"/>
                      <w:szCs w:val="21"/>
                    </w:rPr>
                  </w:pPr>
                  <w:r>
                    <w:rPr>
                      <w:rFonts w:cs="Times New Roman"/>
                      <w:snapToGrid w:val="0"/>
                      <w:sz w:val="21"/>
                      <w:szCs w:val="21"/>
                    </w:rPr>
                    <w:t>措施</w:t>
                  </w:r>
                </w:p>
              </w:tc>
              <w:tc>
                <w:tcPr>
                  <w:tcW w:w="4396" w:type="pct"/>
                  <w:gridSpan w:val="4"/>
                  <w:tcBorders>
                    <w:tl2br w:val="nil"/>
                    <w:tr2bl w:val="nil"/>
                  </w:tcBorders>
                  <w:vAlign w:val="center"/>
                </w:tcPr>
                <w:p w14:paraId="7186B730">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工程控制：生产过程密闭，全面通风</w:t>
                  </w:r>
                  <w:r>
                    <w:rPr>
                      <w:rFonts w:hint="eastAsia" w:cs="Times New Roman"/>
                      <w:snapToGrid w:val="0"/>
                      <w:sz w:val="21"/>
                      <w:szCs w:val="21"/>
                      <w:lang w:eastAsia="zh-CN"/>
                    </w:rPr>
                    <w:t>；</w:t>
                  </w:r>
                </w:p>
                <w:p w14:paraId="54F3803B">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呼吸系统防护：一般不需要特殊防护，高浓度接触时可佩戴自吸过滤式防毒面具（半面罩）</w:t>
                  </w:r>
                  <w:r>
                    <w:rPr>
                      <w:rFonts w:hint="eastAsia" w:cs="Times New Roman"/>
                      <w:snapToGrid w:val="0"/>
                      <w:sz w:val="21"/>
                      <w:szCs w:val="21"/>
                      <w:lang w:eastAsia="zh-CN"/>
                    </w:rPr>
                    <w:t>；</w:t>
                  </w:r>
                </w:p>
                <w:p w14:paraId="74661EBD">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眼睛防护：一般不需要特殊防护，高浓度接触时可佩戴化学安全防护眼镜</w:t>
                  </w:r>
                  <w:r>
                    <w:rPr>
                      <w:rFonts w:hint="eastAsia" w:cs="Times New Roman"/>
                      <w:snapToGrid w:val="0"/>
                      <w:sz w:val="21"/>
                      <w:szCs w:val="21"/>
                      <w:lang w:eastAsia="zh-CN"/>
                    </w:rPr>
                    <w:t>；</w:t>
                  </w:r>
                </w:p>
                <w:p w14:paraId="3027DE07">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防护服：穿防静电工作服。戴防苯耐油手套</w:t>
                  </w:r>
                  <w:r>
                    <w:rPr>
                      <w:rFonts w:hint="eastAsia" w:cs="Times New Roman"/>
                      <w:snapToGrid w:val="0"/>
                      <w:sz w:val="21"/>
                      <w:szCs w:val="21"/>
                      <w:lang w:eastAsia="zh-CN"/>
                    </w:rPr>
                    <w:t>；</w:t>
                  </w:r>
                </w:p>
                <w:p w14:paraId="1C7EA0ED">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其它：工作现场严禁吸烟，避免长期反复接触</w:t>
                  </w:r>
                  <w:r>
                    <w:rPr>
                      <w:rFonts w:hint="eastAsia" w:cs="Times New Roman"/>
                      <w:snapToGrid w:val="0"/>
                      <w:sz w:val="21"/>
                      <w:szCs w:val="21"/>
                      <w:lang w:eastAsia="zh-CN"/>
                    </w:rPr>
                    <w:t>。</w:t>
                  </w:r>
                </w:p>
              </w:tc>
            </w:tr>
            <w:tr w14:paraId="0D430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604" w:type="pct"/>
                  <w:tcBorders>
                    <w:tl2br w:val="nil"/>
                    <w:tr2bl w:val="nil"/>
                  </w:tcBorders>
                  <w:vAlign w:val="center"/>
                </w:tcPr>
                <w:p w14:paraId="50B889FA">
                  <w:pPr>
                    <w:spacing w:line="240" w:lineRule="auto"/>
                    <w:ind w:firstLine="0" w:firstLineChars="0"/>
                    <w:jc w:val="center"/>
                    <w:textAlignment w:val="auto"/>
                    <w:rPr>
                      <w:rFonts w:cs="Times New Roman"/>
                      <w:snapToGrid w:val="0"/>
                      <w:sz w:val="21"/>
                      <w:szCs w:val="21"/>
                    </w:rPr>
                  </w:pPr>
                  <w:r>
                    <w:rPr>
                      <w:rFonts w:cs="Times New Roman"/>
                      <w:snapToGrid w:val="0"/>
                      <w:sz w:val="21"/>
                      <w:szCs w:val="21"/>
                    </w:rPr>
                    <w:t>泄漏</w:t>
                  </w:r>
                </w:p>
                <w:p w14:paraId="60C250A5">
                  <w:pPr>
                    <w:spacing w:line="240" w:lineRule="auto"/>
                    <w:ind w:firstLine="0" w:firstLineChars="0"/>
                    <w:jc w:val="center"/>
                    <w:textAlignment w:val="auto"/>
                    <w:rPr>
                      <w:rFonts w:cs="Times New Roman"/>
                      <w:snapToGrid w:val="0"/>
                      <w:sz w:val="21"/>
                      <w:szCs w:val="21"/>
                    </w:rPr>
                  </w:pPr>
                  <w:r>
                    <w:rPr>
                      <w:rFonts w:cs="Times New Roman"/>
                      <w:snapToGrid w:val="0"/>
                      <w:sz w:val="21"/>
                      <w:szCs w:val="21"/>
                    </w:rPr>
                    <w:t>应急</w:t>
                  </w:r>
                </w:p>
                <w:p w14:paraId="23765F3C">
                  <w:pPr>
                    <w:spacing w:line="240" w:lineRule="auto"/>
                    <w:ind w:firstLine="0" w:firstLineChars="0"/>
                    <w:jc w:val="center"/>
                    <w:textAlignment w:val="auto"/>
                    <w:rPr>
                      <w:rFonts w:cs="Times New Roman"/>
                      <w:snapToGrid w:val="0"/>
                      <w:sz w:val="21"/>
                      <w:szCs w:val="21"/>
                    </w:rPr>
                  </w:pPr>
                  <w:r>
                    <w:rPr>
                      <w:rFonts w:cs="Times New Roman"/>
                      <w:snapToGrid w:val="0"/>
                      <w:sz w:val="21"/>
                      <w:szCs w:val="21"/>
                    </w:rPr>
                    <w:t>处理</w:t>
                  </w:r>
                </w:p>
              </w:tc>
              <w:tc>
                <w:tcPr>
                  <w:tcW w:w="4396" w:type="pct"/>
                  <w:gridSpan w:val="4"/>
                  <w:tcBorders>
                    <w:tl2br w:val="nil"/>
                    <w:tr2bl w:val="nil"/>
                  </w:tcBorders>
                  <w:vAlign w:val="center"/>
                </w:tcPr>
                <w:p w14:paraId="35B13DBE">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迅速撤离泄漏污染区人员至安全区，并进行隔离，严格限制出入。切断火源。建议应急处理人员戴自给正压式呼吸器，穿消防防护服。尽可能切断泄漏源，防止进入下水道、排洪沟等限制性空间。</w:t>
                  </w:r>
                  <w:r>
                    <w:rPr>
                      <w:rFonts w:hint="eastAsia" w:cs="Times New Roman"/>
                      <w:snapToGrid w:val="0"/>
                      <w:sz w:val="21"/>
                      <w:szCs w:val="21"/>
                      <w:lang w:val="en-US" w:eastAsia="zh-CN"/>
                    </w:rPr>
                    <w:t>少</w:t>
                  </w:r>
                  <w:r>
                    <w:rPr>
                      <w:rFonts w:cs="Times New Roman"/>
                      <w:snapToGrid w:val="0"/>
                      <w:sz w:val="21"/>
                      <w:szCs w:val="21"/>
                    </w:rPr>
                    <w:t>量泄漏：用砂土、蛭石或其它惰性材料吸收。或在保证安全情况下，就地焚烧。大量泄漏：构筑围堤或挖坑收容；用泡沫覆盖，降低蒸气灾害。用防爆泵转移至槽车或专用收集器内，回收或运至废物处理场所处置</w:t>
                  </w:r>
                  <w:r>
                    <w:rPr>
                      <w:rFonts w:hint="eastAsia" w:cs="Times New Roman"/>
                      <w:snapToGrid w:val="0"/>
                      <w:sz w:val="21"/>
                      <w:szCs w:val="21"/>
                      <w:lang w:eastAsia="zh-CN"/>
                    </w:rPr>
                    <w:t>。</w:t>
                  </w:r>
                </w:p>
              </w:tc>
            </w:tr>
          </w:tbl>
          <w:p w14:paraId="53CE013C">
            <w:pPr>
              <w:spacing w:before="120" w:beforeLines="50" w:line="240" w:lineRule="auto"/>
              <w:ind w:firstLine="422"/>
              <w:jc w:val="center"/>
              <w:textAlignment w:val="auto"/>
              <w:rPr>
                <w:rFonts w:cs="Times New Roman"/>
                <w:b/>
                <w:sz w:val="21"/>
                <w:szCs w:val="21"/>
              </w:rPr>
            </w:pPr>
            <w:r>
              <w:rPr>
                <w:rFonts w:cs="Times New Roman"/>
                <w:b/>
                <w:sz w:val="21"/>
                <w:szCs w:val="21"/>
              </w:rPr>
              <w:t>表</w:t>
            </w:r>
            <w:r>
              <w:rPr>
                <w:rFonts w:hint="eastAsia" w:cs="Times New Roman"/>
                <w:b/>
                <w:sz w:val="21"/>
                <w:szCs w:val="21"/>
              </w:rPr>
              <w:t>2</w:t>
            </w:r>
            <w:r>
              <w:rPr>
                <w:rFonts w:hint="eastAsia" w:cs="Times New Roman"/>
                <w:b/>
                <w:sz w:val="21"/>
                <w:szCs w:val="21"/>
                <w:lang w:val="en-US" w:eastAsia="zh-CN"/>
              </w:rPr>
              <w:t>-</w:t>
            </w:r>
            <w:r>
              <w:rPr>
                <w:rFonts w:cs="Times New Roman"/>
                <w:b/>
                <w:sz w:val="21"/>
                <w:szCs w:val="21"/>
              </w:rPr>
              <w:t>6  柴油理化性质一览表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238"/>
              <w:gridCol w:w="3463"/>
            </w:tblGrid>
            <w:tr w14:paraId="7BA6C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restart"/>
                  <w:tcBorders>
                    <w:tl2br w:val="nil"/>
                    <w:tr2bl w:val="nil"/>
                  </w:tcBorders>
                  <w:vAlign w:val="center"/>
                </w:tcPr>
                <w:p w14:paraId="3A32A50C">
                  <w:pPr>
                    <w:spacing w:line="240" w:lineRule="auto"/>
                    <w:ind w:firstLine="0" w:firstLineChars="0"/>
                    <w:jc w:val="center"/>
                    <w:textAlignment w:val="auto"/>
                    <w:rPr>
                      <w:rFonts w:cs="Times New Roman"/>
                      <w:snapToGrid w:val="0"/>
                      <w:sz w:val="21"/>
                      <w:szCs w:val="21"/>
                    </w:rPr>
                  </w:pPr>
                  <w:r>
                    <w:rPr>
                      <w:rFonts w:cs="Times New Roman"/>
                      <w:snapToGrid w:val="0"/>
                      <w:sz w:val="21"/>
                      <w:szCs w:val="21"/>
                    </w:rPr>
                    <w:t>标识</w:t>
                  </w:r>
                </w:p>
              </w:tc>
              <w:tc>
                <w:tcPr>
                  <w:tcW w:w="2481" w:type="pct"/>
                  <w:tcBorders>
                    <w:tl2br w:val="nil"/>
                    <w:tr2bl w:val="nil"/>
                  </w:tcBorders>
                  <w:vAlign w:val="center"/>
                </w:tcPr>
                <w:p w14:paraId="7CE161E8">
                  <w:pPr>
                    <w:spacing w:line="240" w:lineRule="auto"/>
                    <w:ind w:firstLine="0" w:firstLineChars="0"/>
                    <w:textAlignment w:val="auto"/>
                    <w:rPr>
                      <w:rFonts w:cs="Times New Roman"/>
                      <w:sz w:val="21"/>
                      <w:szCs w:val="21"/>
                    </w:rPr>
                  </w:pPr>
                  <w:r>
                    <w:rPr>
                      <w:rFonts w:cs="Times New Roman"/>
                      <w:sz w:val="21"/>
                      <w:szCs w:val="21"/>
                    </w:rPr>
                    <w:t>分子式：混合物</w:t>
                  </w:r>
                </w:p>
              </w:tc>
              <w:tc>
                <w:tcPr>
                  <w:tcW w:w="2027" w:type="pct"/>
                  <w:tcBorders>
                    <w:tl2br w:val="nil"/>
                    <w:tr2bl w:val="nil"/>
                  </w:tcBorders>
                  <w:vAlign w:val="center"/>
                </w:tcPr>
                <w:p w14:paraId="49DCA2C6">
                  <w:pPr>
                    <w:spacing w:line="240" w:lineRule="auto"/>
                    <w:ind w:firstLine="0" w:firstLineChars="0"/>
                    <w:textAlignment w:val="auto"/>
                    <w:rPr>
                      <w:rFonts w:cs="Times New Roman"/>
                      <w:snapToGrid w:val="0"/>
                      <w:sz w:val="21"/>
                      <w:szCs w:val="21"/>
                    </w:rPr>
                  </w:pPr>
                  <w:r>
                    <w:rPr>
                      <w:rFonts w:cs="Times New Roman"/>
                      <w:snapToGrid w:val="0"/>
                      <w:sz w:val="21"/>
                      <w:szCs w:val="21"/>
                    </w:rPr>
                    <w:t>CAS号：68334-30-5</w:t>
                  </w:r>
                </w:p>
              </w:tc>
            </w:tr>
            <w:tr w14:paraId="68FDC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129F2496">
                  <w:pPr>
                    <w:spacing w:line="240" w:lineRule="auto"/>
                    <w:ind w:firstLine="0" w:firstLineChars="0"/>
                    <w:jc w:val="center"/>
                    <w:textAlignment w:val="auto"/>
                    <w:rPr>
                      <w:rFonts w:cs="Times New Roman"/>
                      <w:snapToGrid w:val="0"/>
                      <w:sz w:val="21"/>
                      <w:szCs w:val="21"/>
                    </w:rPr>
                  </w:pPr>
                </w:p>
              </w:tc>
              <w:tc>
                <w:tcPr>
                  <w:tcW w:w="4508" w:type="pct"/>
                  <w:gridSpan w:val="2"/>
                  <w:tcBorders>
                    <w:tl2br w:val="nil"/>
                    <w:tr2bl w:val="nil"/>
                  </w:tcBorders>
                  <w:vAlign w:val="center"/>
                </w:tcPr>
                <w:p w14:paraId="27319C9B">
                  <w:pPr>
                    <w:spacing w:line="240" w:lineRule="auto"/>
                    <w:ind w:firstLine="0" w:firstLineChars="0"/>
                    <w:textAlignment w:val="auto"/>
                    <w:rPr>
                      <w:rFonts w:cs="Times New Roman"/>
                      <w:snapToGrid w:val="0"/>
                      <w:sz w:val="21"/>
                      <w:szCs w:val="21"/>
                    </w:rPr>
                  </w:pPr>
                  <w:r>
                    <w:rPr>
                      <w:rFonts w:cs="Times New Roman"/>
                      <w:snapToGrid w:val="0"/>
                      <w:sz w:val="21"/>
                      <w:szCs w:val="21"/>
                    </w:rPr>
                    <w:t>RTECS号：HZ1770000</w:t>
                  </w:r>
                </w:p>
              </w:tc>
            </w:tr>
            <w:tr w14:paraId="5604E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restart"/>
                  <w:tcBorders>
                    <w:tl2br w:val="nil"/>
                    <w:tr2bl w:val="nil"/>
                  </w:tcBorders>
                  <w:vAlign w:val="center"/>
                </w:tcPr>
                <w:p w14:paraId="435560EC">
                  <w:pPr>
                    <w:spacing w:line="240" w:lineRule="auto"/>
                    <w:ind w:firstLine="0" w:firstLineChars="0"/>
                    <w:jc w:val="center"/>
                    <w:textAlignment w:val="auto"/>
                    <w:rPr>
                      <w:rFonts w:cs="Times New Roman"/>
                      <w:snapToGrid w:val="0"/>
                      <w:sz w:val="21"/>
                      <w:szCs w:val="21"/>
                    </w:rPr>
                  </w:pPr>
                  <w:r>
                    <w:rPr>
                      <w:rFonts w:cs="Times New Roman"/>
                      <w:snapToGrid w:val="0"/>
                      <w:sz w:val="21"/>
                      <w:szCs w:val="21"/>
                    </w:rPr>
                    <w:t>组成与性状</w:t>
                  </w:r>
                </w:p>
              </w:tc>
              <w:tc>
                <w:tcPr>
                  <w:tcW w:w="4508" w:type="pct"/>
                  <w:gridSpan w:val="2"/>
                  <w:tcBorders>
                    <w:tl2br w:val="nil"/>
                    <w:tr2bl w:val="nil"/>
                  </w:tcBorders>
                  <w:vAlign w:val="center"/>
                </w:tcPr>
                <w:p w14:paraId="1BDE9AD4">
                  <w:pPr>
                    <w:spacing w:line="240" w:lineRule="auto"/>
                    <w:ind w:firstLine="0" w:firstLineChars="0"/>
                    <w:textAlignment w:val="auto"/>
                    <w:rPr>
                      <w:rFonts w:cs="Times New Roman"/>
                      <w:snapToGrid w:val="0"/>
                      <w:sz w:val="21"/>
                      <w:szCs w:val="21"/>
                    </w:rPr>
                  </w:pPr>
                  <w:r>
                    <w:rPr>
                      <w:rFonts w:cs="Times New Roman"/>
                      <w:snapToGrid w:val="0"/>
                      <w:sz w:val="21"/>
                      <w:szCs w:val="21"/>
                    </w:rPr>
                    <w:t>主要成分：烷烃、环烷烃及少量芳香烃</w:t>
                  </w:r>
                </w:p>
              </w:tc>
            </w:tr>
            <w:tr w14:paraId="692D2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2CA4F49F">
                  <w:pPr>
                    <w:spacing w:line="240" w:lineRule="auto"/>
                    <w:ind w:firstLine="0" w:firstLineChars="0"/>
                    <w:jc w:val="center"/>
                    <w:textAlignment w:val="auto"/>
                    <w:rPr>
                      <w:rFonts w:cs="Times New Roman"/>
                      <w:snapToGrid w:val="0"/>
                      <w:sz w:val="21"/>
                      <w:szCs w:val="21"/>
                    </w:rPr>
                  </w:pPr>
                </w:p>
              </w:tc>
              <w:tc>
                <w:tcPr>
                  <w:tcW w:w="4508" w:type="pct"/>
                  <w:gridSpan w:val="2"/>
                  <w:tcBorders>
                    <w:tl2br w:val="nil"/>
                    <w:tr2bl w:val="nil"/>
                  </w:tcBorders>
                  <w:vAlign w:val="center"/>
                </w:tcPr>
                <w:p w14:paraId="76B60AB1">
                  <w:pPr>
                    <w:spacing w:line="240" w:lineRule="auto"/>
                    <w:ind w:firstLine="0" w:firstLineChars="0"/>
                    <w:textAlignment w:val="auto"/>
                    <w:rPr>
                      <w:rFonts w:cs="Times New Roman"/>
                      <w:snapToGrid w:val="0"/>
                      <w:sz w:val="21"/>
                      <w:szCs w:val="21"/>
                    </w:rPr>
                  </w:pPr>
                  <w:r>
                    <w:rPr>
                      <w:rFonts w:cs="Times New Roman"/>
                      <w:snapToGrid w:val="0"/>
                      <w:sz w:val="21"/>
                      <w:szCs w:val="21"/>
                    </w:rPr>
                    <w:t>外观与性状：稍有粘性的淡黄至棕色液体</w:t>
                  </w:r>
                </w:p>
              </w:tc>
            </w:tr>
            <w:tr w14:paraId="04204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restart"/>
                  <w:tcBorders>
                    <w:tl2br w:val="nil"/>
                    <w:tr2bl w:val="nil"/>
                  </w:tcBorders>
                  <w:vAlign w:val="center"/>
                </w:tcPr>
                <w:p w14:paraId="3B864C23">
                  <w:pPr>
                    <w:spacing w:line="240" w:lineRule="auto"/>
                    <w:ind w:firstLine="0" w:firstLineChars="0"/>
                    <w:jc w:val="center"/>
                    <w:textAlignment w:val="auto"/>
                    <w:rPr>
                      <w:rFonts w:cs="Times New Roman"/>
                      <w:snapToGrid w:val="0"/>
                      <w:sz w:val="21"/>
                      <w:szCs w:val="21"/>
                    </w:rPr>
                  </w:pPr>
                  <w:r>
                    <w:rPr>
                      <w:rFonts w:cs="Times New Roman"/>
                      <w:snapToGrid w:val="0"/>
                      <w:sz w:val="21"/>
                      <w:szCs w:val="21"/>
                    </w:rPr>
                    <w:t>燃爆特性与理化性质</w:t>
                  </w:r>
                </w:p>
              </w:tc>
              <w:tc>
                <w:tcPr>
                  <w:tcW w:w="2481" w:type="pct"/>
                  <w:tcBorders>
                    <w:tl2br w:val="nil"/>
                    <w:tr2bl w:val="nil"/>
                  </w:tcBorders>
                  <w:vAlign w:val="center"/>
                </w:tcPr>
                <w:p w14:paraId="771DB604">
                  <w:pPr>
                    <w:spacing w:line="240" w:lineRule="auto"/>
                    <w:ind w:firstLine="0" w:firstLineChars="0"/>
                    <w:textAlignment w:val="auto"/>
                    <w:rPr>
                      <w:rFonts w:cs="Times New Roman"/>
                      <w:snapToGrid w:val="0"/>
                      <w:sz w:val="21"/>
                      <w:szCs w:val="21"/>
                    </w:rPr>
                  </w:pPr>
                  <w:r>
                    <w:rPr>
                      <w:rFonts w:cs="Times New Roman"/>
                      <w:snapToGrid w:val="0"/>
                      <w:sz w:val="21"/>
                      <w:szCs w:val="21"/>
                    </w:rPr>
                    <w:t>燃烧性：易燃</w:t>
                  </w:r>
                </w:p>
              </w:tc>
              <w:tc>
                <w:tcPr>
                  <w:tcW w:w="2027" w:type="pct"/>
                  <w:tcBorders>
                    <w:tl2br w:val="nil"/>
                    <w:tr2bl w:val="nil"/>
                  </w:tcBorders>
                  <w:vAlign w:val="center"/>
                </w:tcPr>
                <w:p w14:paraId="179D3317">
                  <w:pPr>
                    <w:spacing w:line="240" w:lineRule="auto"/>
                    <w:ind w:firstLine="0" w:firstLineChars="0"/>
                    <w:textAlignment w:val="auto"/>
                    <w:rPr>
                      <w:rFonts w:cs="Times New Roman"/>
                      <w:snapToGrid w:val="0"/>
                      <w:sz w:val="21"/>
                      <w:szCs w:val="21"/>
                    </w:rPr>
                  </w:pPr>
                  <w:r>
                    <w:rPr>
                      <w:rFonts w:cs="Times New Roman"/>
                      <w:snapToGrid w:val="0"/>
                      <w:sz w:val="21"/>
                      <w:szCs w:val="21"/>
                    </w:rPr>
                    <w:t>闪点（℃）：45～90</w:t>
                  </w:r>
                </w:p>
              </w:tc>
            </w:tr>
            <w:tr w14:paraId="16460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46CFD18A">
                  <w:pPr>
                    <w:spacing w:line="240" w:lineRule="auto"/>
                    <w:ind w:firstLine="0" w:firstLineChars="0"/>
                    <w:textAlignment w:val="auto"/>
                    <w:rPr>
                      <w:rFonts w:cs="Times New Roman"/>
                      <w:snapToGrid w:val="0"/>
                      <w:sz w:val="21"/>
                      <w:szCs w:val="21"/>
                    </w:rPr>
                  </w:pPr>
                </w:p>
              </w:tc>
              <w:tc>
                <w:tcPr>
                  <w:tcW w:w="2481" w:type="pct"/>
                  <w:tcBorders>
                    <w:tl2br w:val="nil"/>
                    <w:tr2bl w:val="nil"/>
                  </w:tcBorders>
                  <w:vAlign w:val="center"/>
                </w:tcPr>
                <w:p w14:paraId="795F568D">
                  <w:pPr>
                    <w:spacing w:line="240" w:lineRule="auto"/>
                    <w:ind w:firstLine="0" w:firstLineChars="0"/>
                    <w:textAlignment w:val="auto"/>
                    <w:rPr>
                      <w:rFonts w:cs="Times New Roman"/>
                      <w:snapToGrid w:val="0"/>
                      <w:sz w:val="21"/>
                      <w:szCs w:val="21"/>
                    </w:rPr>
                  </w:pPr>
                  <w:r>
                    <w:rPr>
                      <w:rFonts w:cs="Times New Roman"/>
                      <w:snapToGrid w:val="0"/>
                      <w:sz w:val="21"/>
                      <w:szCs w:val="21"/>
                    </w:rPr>
                    <w:t>爆炸极限（%V/V）：1.5～4.5</w:t>
                  </w:r>
                </w:p>
              </w:tc>
              <w:tc>
                <w:tcPr>
                  <w:tcW w:w="2027" w:type="pct"/>
                  <w:tcBorders>
                    <w:tl2br w:val="nil"/>
                    <w:tr2bl w:val="nil"/>
                  </w:tcBorders>
                  <w:vAlign w:val="center"/>
                </w:tcPr>
                <w:p w14:paraId="37C45679">
                  <w:pPr>
                    <w:spacing w:line="240" w:lineRule="auto"/>
                    <w:ind w:firstLine="0" w:firstLineChars="0"/>
                    <w:textAlignment w:val="auto"/>
                    <w:rPr>
                      <w:rFonts w:cs="Times New Roman"/>
                      <w:snapToGrid w:val="0"/>
                      <w:sz w:val="21"/>
                      <w:szCs w:val="21"/>
                    </w:rPr>
                  </w:pPr>
                  <w:r>
                    <w:rPr>
                      <w:rFonts w:cs="Times New Roman"/>
                      <w:snapToGrid w:val="0"/>
                      <w:sz w:val="21"/>
                      <w:szCs w:val="21"/>
                    </w:rPr>
                    <w:t>自燃温度（℃）：350～380</w:t>
                  </w:r>
                </w:p>
              </w:tc>
            </w:tr>
            <w:tr w14:paraId="2E0BC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633A92B0">
                  <w:pPr>
                    <w:spacing w:line="240" w:lineRule="auto"/>
                    <w:ind w:firstLine="0" w:firstLineChars="0"/>
                    <w:textAlignment w:val="auto"/>
                    <w:rPr>
                      <w:rFonts w:cs="Times New Roman"/>
                      <w:snapToGrid w:val="0"/>
                      <w:sz w:val="21"/>
                      <w:szCs w:val="21"/>
                    </w:rPr>
                  </w:pPr>
                </w:p>
              </w:tc>
              <w:tc>
                <w:tcPr>
                  <w:tcW w:w="2481" w:type="pct"/>
                  <w:tcBorders>
                    <w:tl2br w:val="nil"/>
                    <w:tr2bl w:val="nil"/>
                  </w:tcBorders>
                  <w:vAlign w:val="center"/>
                </w:tcPr>
                <w:p w14:paraId="20495D25">
                  <w:pPr>
                    <w:spacing w:line="240" w:lineRule="auto"/>
                    <w:ind w:firstLine="0" w:firstLineChars="0"/>
                    <w:textAlignment w:val="auto"/>
                    <w:rPr>
                      <w:rFonts w:cs="Times New Roman"/>
                      <w:snapToGrid w:val="0"/>
                      <w:sz w:val="21"/>
                      <w:szCs w:val="21"/>
                    </w:rPr>
                  </w:pPr>
                  <w:r>
                    <w:rPr>
                      <w:rFonts w:cs="Times New Roman"/>
                      <w:snapToGrid w:val="0"/>
                      <w:sz w:val="21"/>
                      <w:szCs w:val="21"/>
                    </w:rPr>
                    <w:t>最小点火能（mJ）：无资料</w:t>
                  </w:r>
                </w:p>
              </w:tc>
              <w:tc>
                <w:tcPr>
                  <w:tcW w:w="2027" w:type="pct"/>
                  <w:tcBorders>
                    <w:tl2br w:val="nil"/>
                    <w:tr2bl w:val="nil"/>
                  </w:tcBorders>
                  <w:vAlign w:val="center"/>
                </w:tcPr>
                <w:p w14:paraId="661F964B">
                  <w:pPr>
                    <w:spacing w:line="240" w:lineRule="auto"/>
                    <w:ind w:firstLine="0" w:firstLineChars="0"/>
                    <w:textAlignment w:val="auto"/>
                    <w:rPr>
                      <w:rFonts w:cs="Times New Roman"/>
                      <w:snapToGrid w:val="0"/>
                      <w:sz w:val="21"/>
                      <w:szCs w:val="21"/>
                    </w:rPr>
                  </w:pPr>
                  <w:r>
                    <w:rPr>
                      <w:rFonts w:cs="Times New Roman"/>
                      <w:snapToGrid w:val="0"/>
                      <w:sz w:val="21"/>
                      <w:szCs w:val="21"/>
                    </w:rPr>
                    <w:t>最大爆炸压力：无资料</w:t>
                  </w:r>
                </w:p>
              </w:tc>
            </w:tr>
            <w:tr w14:paraId="63E60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68686679">
                  <w:pPr>
                    <w:spacing w:line="240" w:lineRule="auto"/>
                    <w:ind w:firstLine="0" w:firstLineChars="0"/>
                    <w:textAlignment w:val="auto"/>
                    <w:rPr>
                      <w:rFonts w:cs="Times New Roman"/>
                      <w:snapToGrid w:val="0"/>
                      <w:sz w:val="21"/>
                      <w:szCs w:val="21"/>
                    </w:rPr>
                  </w:pPr>
                </w:p>
              </w:tc>
              <w:tc>
                <w:tcPr>
                  <w:tcW w:w="2481" w:type="pct"/>
                  <w:tcBorders>
                    <w:tl2br w:val="nil"/>
                    <w:tr2bl w:val="nil"/>
                  </w:tcBorders>
                  <w:vAlign w:val="center"/>
                </w:tcPr>
                <w:p w14:paraId="6601A2CD">
                  <w:pPr>
                    <w:spacing w:line="240" w:lineRule="auto"/>
                    <w:ind w:firstLine="0" w:firstLineChars="0"/>
                    <w:textAlignment w:val="auto"/>
                    <w:rPr>
                      <w:rFonts w:cs="Times New Roman"/>
                      <w:snapToGrid w:val="0"/>
                      <w:sz w:val="21"/>
                      <w:szCs w:val="21"/>
                    </w:rPr>
                  </w:pPr>
                  <w:r>
                    <w:rPr>
                      <w:rFonts w:cs="Times New Roman"/>
                      <w:snapToGrid w:val="0"/>
                      <w:sz w:val="21"/>
                      <w:szCs w:val="21"/>
                    </w:rPr>
                    <w:t>熔点（℃）：-35~20</w:t>
                  </w:r>
                </w:p>
              </w:tc>
              <w:tc>
                <w:tcPr>
                  <w:tcW w:w="2027" w:type="pct"/>
                  <w:tcBorders>
                    <w:tl2br w:val="nil"/>
                    <w:tr2bl w:val="nil"/>
                  </w:tcBorders>
                  <w:vAlign w:val="center"/>
                </w:tcPr>
                <w:p w14:paraId="0FE9C0B4">
                  <w:pPr>
                    <w:spacing w:line="240" w:lineRule="auto"/>
                    <w:ind w:firstLine="0" w:firstLineChars="0"/>
                    <w:textAlignment w:val="auto"/>
                    <w:rPr>
                      <w:rFonts w:cs="Times New Roman"/>
                      <w:snapToGrid w:val="0"/>
                      <w:sz w:val="21"/>
                      <w:szCs w:val="21"/>
                    </w:rPr>
                  </w:pPr>
                  <w:r>
                    <w:rPr>
                      <w:rFonts w:cs="Times New Roman"/>
                      <w:snapToGrid w:val="0"/>
                      <w:sz w:val="21"/>
                      <w:szCs w:val="21"/>
                    </w:rPr>
                    <w:t>沸点（℃）：280~370</w:t>
                  </w:r>
                </w:p>
              </w:tc>
            </w:tr>
            <w:tr w14:paraId="318D5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40D9FB1D">
                  <w:pPr>
                    <w:spacing w:line="240" w:lineRule="auto"/>
                    <w:ind w:firstLine="0" w:firstLineChars="0"/>
                    <w:textAlignment w:val="auto"/>
                    <w:rPr>
                      <w:rFonts w:cs="Times New Roman"/>
                      <w:snapToGrid w:val="0"/>
                      <w:sz w:val="21"/>
                      <w:szCs w:val="21"/>
                    </w:rPr>
                  </w:pPr>
                </w:p>
              </w:tc>
              <w:tc>
                <w:tcPr>
                  <w:tcW w:w="2481" w:type="pct"/>
                  <w:tcBorders>
                    <w:tl2br w:val="nil"/>
                    <w:tr2bl w:val="nil"/>
                  </w:tcBorders>
                  <w:vAlign w:val="center"/>
                </w:tcPr>
                <w:p w14:paraId="493D7D3F">
                  <w:pPr>
                    <w:spacing w:line="240" w:lineRule="auto"/>
                    <w:ind w:firstLine="0" w:firstLineChars="0"/>
                    <w:textAlignment w:val="auto"/>
                    <w:rPr>
                      <w:rFonts w:cs="Times New Roman"/>
                      <w:snapToGrid w:val="0"/>
                      <w:sz w:val="21"/>
                      <w:szCs w:val="21"/>
                    </w:rPr>
                  </w:pPr>
                  <w:r>
                    <w:rPr>
                      <w:rFonts w:cs="Times New Roman"/>
                      <w:snapToGrid w:val="0"/>
                      <w:sz w:val="21"/>
                      <w:szCs w:val="21"/>
                    </w:rPr>
                    <w:t>相对密度</w:t>
                  </w:r>
                  <w:r>
                    <w:rPr>
                      <w:rFonts w:hint="eastAsia" w:cs="Times New Roman"/>
                      <w:snapToGrid w:val="0"/>
                      <w:sz w:val="21"/>
                      <w:szCs w:val="21"/>
                    </w:rPr>
                    <w:t>（</w:t>
                  </w:r>
                  <w:r>
                    <w:rPr>
                      <w:rFonts w:cs="Times New Roman"/>
                      <w:snapToGrid w:val="0"/>
                      <w:sz w:val="21"/>
                      <w:szCs w:val="21"/>
                    </w:rPr>
                    <w:t>水＝1</w:t>
                  </w:r>
                  <w:r>
                    <w:rPr>
                      <w:rFonts w:hint="eastAsia" w:cs="Times New Roman"/>
                      <w:snapToGrid w:val="0"/>
                      <w:sz w:val="21"/>
                      <w:szCs w:val="21"/>
                    </w:rPr>
                    <w:t>）</w:t>
                  </w:r>
                  <w:r>
                    <w:rPr>
                      <w:rFonts w:cs="Times New Roman"/>
                      <w:snapToGrid w:val="0"/>
                      <w:sz w:val="21"/>
                      <w:szCs w:val="21"/>
                    </w:rPr>
                    <w:t>：0.87~0.9</w:t>
                  </w:r>
                </w:p>
              </w:tc>
              <w:tc>
                <w:tcPr>
                  <w:tcW w:w="2027" w:type="pct"/>
                  <w:tcBorders>
                    <w:tl2br w:val="nil"/>
                    <w:tr2bl w:val="nil"/>
                  </w:tcBorders>
                  <w:vAlign w:val="center"/>
                </w:tcPr>
                <w:p w14:paraId="6CC69302">
                  <w:pPr>
                    <w:spacing w:line="240" w:lineRule="auto"/>
                    <w:ind w:firstLine="0" w:firstLineChars="0"/>
                    <w:textAlignment w:val="auto"/>
                    <w:rPr>
                      <w:rFonts w:cs="Times New Roman"/>
                      <w:snapToGrid w:val="0"/>
                      <w:sz w:val="21"/>
                      <w:szCs w:val="21"/>
                    </w:rPr>
                  </w:pPr>
                  <w:r>
                    <w:rPr>
                      <w:rFonts w:cs="Times New Roman"/>
                      <w:snapToGrid w:val="0"/>
                      <w:sz w:val="21"/>
                      <w:szCs w:val="21"/>
                    </w:rPr>
                    <w:t>相对密度（空气=1）无资料</w:t>
                  </w:r>
                </w:p>
              </w:tc>
            </w:tr>
            <w:tr w14:paraId="4DC9B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7FF9F20F">
                  <w:pPr>
                    <w:spacing w:line="240" w:lineRule="auto"/>
                    <w:ind w:firstLine="0" w:firstLineChars="0"/>
                    <w:textAlignment w:val="auto"/>
                    <w:rPr>
                      <w:rFonts w:cs="Times New Roman"/>
                      <w:snapToGrid w:val="0"/>
                      <w:sz w:val="21"/>
                      <w:szCs w:val="21"/>
                    </w:rPr>
                  </w:pPr>
                </w:p>
              </w:tc>
              <w:tc>
                <w:tcPr>
                  <w:tcW w:w="2481" w:type="pct"/>
                  <w:tcBorders>
                    <w:tl2br w:val="nil"/>
                    <w:tr2bl w:val="nil"/>
                  </w:tcBorders>
                  <w:vAlign w:val="center"/>
                </w:tcPr>
                <w:p w14:paraId="6CAD6079">
                  <w:pPr>
                    <w:spacing w:line="240" w:lineRule="auto"/>
                    <w:ind w:firstLine="0" w:firstLineChars="0"/>
                    <w:textAlignment w:val="auto"/>
                    <w:rPr>
                      <w:rFonts w:cs="Times New Roman"/>
                      <w:snapToGrid w:val="0"/>
                      <w:sz w:val="21"/>
                      <w:szCs w:val="21"/>
                    </w:rPr>
                  </w:pPr>
                  <w:r>
                    <w:rPr>
                      <w:rFonts w:cs="Times New Roman"/>
                      <w:snapToGrid w:val="0"/>
                      <w:sz w:val="21"/>
                      <w:szCs w:val="21"/>
                    </w:rPr>
                    <w:t>饱和蒸气压（kPa）：无资料</w:t>
                  </w:r>
                </w:p>
              </w:tc>
              <w:tc>
                <w:tcPr>
                  <w:tcW w:w="2027" w:type="pct"/>
                  <w:tcBorders>
                    <w:tl2br w:val="nil"/>
                    <w:tr2bl w:val="nil"/>
                  </w:tcBorders>
                  <w:vAlign w:val="center"/>
                </w:tcPr>
                <w:p w14:paraId="18692615">
                  <w:pPr>
                    <w:spacing w:line="240" w:lineRule="auto"/>
                    <w:ind w:firstLine="0" w:firstLineChars="0"/>
                    <w:textAlignment w:val="auto"/>
                    <w:rPr>
                      <w:rFonts w:cs="Times New Roman"/>
                      <w:snapToGrid w:val="0"/>
                      <w:sz w:val="21"/>
                      <w:szCs w:val="21"/>
                    </w:rPr>
                  </w:pPr>
                  <w:r>
                    <w:rPr>
                      <w:rFonts w:cs="Times New Roman"/>
                      <w:snapToGrid w:val="0"/>
                      <w:sz w:val="21"/>
                      <w:szCs w:val="21"/>
                    </w:rPr>
                    <w:t>燃烧热：无资料</w:t>
                  </w:r>
                </w:p>
              </w:tc>
            </w:tr>
            <w:tr w14:paraId="4B1E0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0847223D">
                  <w:pPr>
                    <w:spacing w:line="240" w:lineRule="auto"/>
                    <w:ind w:firstLine="0" w:firstLineChars="0"/>
                    <w:textAlignment w:val="auto"/>
                    <w:rPr>
                      <w:rFonts w:cs="Times New Roman"/>
                      <w:snapToGrid w:val="0"/>
                      <w:sz w:val="21"/>
                      <w:szCs w:val="21"/>
                    </w:rPr>
                  </w:pPr>
                </w:p>
              </w:tc>
              <w:tc>
                <w:tcPr>
                  <w:tcW w:w="2481" w:type="pct"/>
                  <w:tcBorders>
                    <w:tl2br w:val="nil"/>
                    <w:tr2bl w:val="nil"/>
                  </w:tcBorders>
                  <w:vAlign w:val="center"/>
                </w:tcPr>
                <w:p w14:paraId="5A6774C8">
                  <w:pPr>
                    <w:spacing w:line="240" w:lineRule="auto"/>
                    <w:ind w:firstLine="0" w:firstLineChars="0"/>
                    <w:textAlignment w:val="auto"/>
                    <w:rPr>
                      <w:rFonts w:cs="Times New Roman"/>
                      <w:snapToGrid w:val="0"/>
                      <w:sz w:val="21"/>
                      <w:szCs w:val="21"/>
                    </w:rPr>
                  </w:pPr>
                  <w:r>
                    <w:rPr>
                      <w:rFonts w:cs="Times New Roman"/>
                      <w:snapToGrid w:val="0"/>
                      <w:sz w:val="21"/>
                      <w:szCs w:val="21"/>
                    </w:rPr>
                    <w:t>临界温度（℃）：无资料</w:t>
                  </w:r>
                </w:p>
              </w:tc>
              <w:tc>
                <w:tcPr>
                  <w:tcW w:w="2027" w:type="pct"/>
                  <w:tcBorders>
                    <w:tl2br w:val="nil"/>
                    <w:tr2bl w:val="nil"/>
                  </w:tcBorders>
                  <w:vAlign w:val="center"/>
                </w:tcPr>
                <w:p w14:paraId="1D5C1D88">
                  <w:pPr>
                    <w:spacing w:line="240" w:lineRule="auto"/>
                    <w:ind w:firstLine="0" w:firstLineChars="0"/>
                    <w:textAlignment w:val="auto"/>
                    <w:rPr>
                      <w:rFonts w:cs="Times New Roman"/>
                      <w:snapToGrid w:val="0"/>
                      <w:sz w:val="21"/>
                      <w:szCs w:val="21"/>
                    </w:rPr>
                  </w:pPr>
                  <w:r>
                    <w:rPr>
                      <w:rFonts w:cs="Times New Roman"/>
                      <w:snapToGrid w:val="0"/>
                      <w:sz w:val="21"/>
                      <w:szCs w:val="21"/>
                    </w:rPr>
                    <w:t>临界压力（MPa）：无资料</w:t>
                  </w:r>
                </w:p>
              </w:tc>
            </w:tr>
            <w:tr w14:paraId="1D0E8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7B9B03C5">
                  <w:pPr>
                    <w:spacing w:line="240" w:lineRule="auto"/>
                    <w:ind w:firstLine="0" w:firstLineChars="0"/>
                    <w:textAlignment w:val="auto"/>
                    <w:rPr>
                      <w:rFonts w:cs="Times New Roman"/>
                      <w:snapToGrid w:val="0"/>
                      <w:sz w:val="21"/>
                      <w:szCs w:val="21"/>
                    </w:rPr>
                  </w:pPr>
                </w:p>
              </w:tc>
              <w:tc>
                <w:tcPr>
                  <w:tcW w:w="2481" w:type="pct"/>
                  <w:tcBorders>
                    <w:tl2br w:val="nil"/>
                    <w:tr2bl w:val="nil"/>
                  </w:tcBorders>
                  <w:vAlign w:val="center"/>
                </w:tcPr>
                <w:p w14:paraId="4C9A7864">
                  <w:pPr>
                    <w:spacing w:line="240" w:lineRule="auto"/>
                    <w:ind w:firstLine="0" w:firstLineChars="0"/>
                    <w:textAlignment w:val="auto"/>
                    <w:rPr>
                      <w:rFonts w:cs="Times New Roman"/>
                      <w:snapToGrid w:val="0"/>
                      <w:sz w:val="21"/>
                      <w:szCs w:val="21"/>
                    </w:rPr>
                  </w:pPr>
                  <w:r>
                    <w:rPr>
                      <w:rFonts w:cs="Times New Roman"/>
                      <w:snapToGrid w:val="0"/>
                      <w:sz w:val="21"/>
                      <w:szCs w:val="21"/>
                    </w:rPr>
                    <w:t>稳定性：稳定</w:t>
                  </w:r>
                </w:p>
              </w:tc>
              <w:tc>
                <w:tcPr>
                  <w:tcW w:w="2027" w:type="pct"/>
                  <w:tcBorders>
                    <w:tl2br w:val="nil"/>
                    <w:tr2bl w:val="nil"/>
                  </w:tcBorders>
                  <w:vAlign w:val="center"/>
                </w:tcPr>
                <w:p w14:paraId="4EEC9676">
                  <w:pPr>
                    <w:spacing w:line="240" w:lineRule="auto"/>
                    <w:ind w:firstLine="0" w:firstLineChars="0"/>
                    <w:textAlignment w:val="auto"/>
                    <w:rPr>
                      <w:rFonts w:cs="Times New Roman"/>
                      <w:snapToGrid w:val="0"/>
                      <w:sz w:val="21"/>
                      <w:szCs w:val="21"/>
                    </w:rPr>
                  </w:pPr>
                  <w:r>
                    <w:rPr>
                      <w:rFonts w:cs="Times New Roman"/>
                      <w:snapToGrid w:val="0"/>
                      <w:sz w:val="21"/>
                      <w:szCs w:val="21"/>
                    </w:rPr>
                    <w:t>聚合危害：不聚合</w:t>
                  </w:r>
                </w:p>
              </w:tc>
            </w:tr>
            <w:tr w14:paraId="44BB9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69AA5890">
                  <w:pPr>
                    <w:spacing w:line="240" w:lineRule="auto"/>
                    <w:ind w:firstLine="0" w:firstLineChars="0"/>
                    <w:textAlignment w:val="auto"/>
                    <w:rPr>
                      <w:rFonts w:cs="Times New Roman"/>
                      <w:snapToGrid w:val="0"/>
                      <w:sz w:val="21"/>
                      <w:szCs w:val="21"/>
                    </w:rPr>
                  </w:pPr>
                </w:p>
              </w:tc>
              <w:tc>
                <w:tcPr>
                  <w:tcW w:w="2481" w:type="pct"/>
                  <w:tcBorders>
                    <w:tl2br w:val="nil"/>
                    <w:tr2bl w:val="nil"/>
                  </w:tcBorders>
                  <w:vAlign w:val="center"/>
                </w:tcPr>
                <w:p w14:paraId="4C538E99">
                  <w:pPr>
                    <w:spacing w:line="240" w:lineRule="auto"/>
                    <w:ind w:firstLine="0" w:firstLineChars="0"/>
                    <w:textAlignment w:val="auto"/>
                    <w:rPr>
                      <w:rFonts w:cs="Times New Roman"/>
                      <w:snapToGrid w:val="0"/>
                      <w:sz w:val="21"/>
                      <w:szCs w:val="21"/>
                    </w:rPr>
                  </w:pPr>
                  <w:r>
                    <w:rPr>
                      <w:rFonts w:cs="Times New Roman"/>
                      <w:snapToGrid w:val="0"/>
                      <w:sz w:val="21"/>
                      <w:szCs w:val="21"/>
                    </w:rPr>
                    <w:t>禁忌物：强氧化剂、卤素</w:t>
                  </w:r>
                </w:p>
              </w:tc>
              <w:tc>
                <w:tcPr>
                  <w:tcW w:w="2027" w:type="pct"/>
                  <w:tcBorders>
                    <w:tl2br w:val="nil"/>
                    <w:tr2bl w:val="nil"/>
                  </w:tcBorders>
                  <w:vAlign w:val="center"/>
                </w:tcPr>
                <w:p w14:paraId="2A98E687">
                  <w:pPr>
                    <w:spacing w:line="240" w:lineRule="auto"/>
                    <w:ind w:firstLine="0" w:firstLineChars="0"/>
                    <w:textAlignment w:val="auto"/>
                    <w:rPr>
                      <w:rFonts w:cs="Times New Roman"/>
                      <w:snapToGrid w:val="0"/>
                      <w:sz w:val="21"/>
                      <w:szCs w:val="21"/>
                    </w:rPr>
                  </w:pPr>
                  <w:r>
                    <w:rPr>
                      <w:rFonts w:cs="Times New Roman"/>
                      <w:snapToGrid w:val="0"/>
                      <w:sz w:val="21"/>
                      <w:szCs w:val="21"/>
                    </w:rPr>
                    <w:t>燃烧分解产物：CO、CO</w:t>
                  </w:r>
                  <w:r>
                    <w:rPr>
                      <w:rFonts w:cs="Times New Roman"/>
                      <w:snapToGrid w:val="0"/>
                      <w:sz w:val="21"/>
                      <w:szCs w:val="21"/>
                      <w:vertAlign w:val="subscript"/>
                    </w:rPr>
                    <w:t>2</w:t>
                  </w:r>
                  <w:r>
                    <w:rPr>
                      <w:rFonts w:cs="Times New Roman"/>
                      <w:snapToGrid w:val="0"/>
                      <w:sz w:val="21"/>
                      <w:szCs w:val="21"/>
                    </w:rPr>
                    <w:t xml:space="preserve"> </w:t>
                  </w:r>
                </w:p>
              </w:tc>
            </w:tr>
            <w:tr w14:paraId="10D86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3B5162F5">
                  <w:pPr>
                    <w:spacing w:line="240" w:lineRule="auto"/>
                    <w:ind w:firstLine="0" w:firstLineChars="0"/>
                    <w:textAlignment w:val="auto"/>
                    <w:rPr>
                      <w:rFonts w:cs="Times New Roman"/>
                      <w:snapToGrid w:val="0"/>
                      <w:sz w:val="21"/>
                      <w:szCs w:val="21"/>
                    </w:rPr>
                  </w:pPr>
                </w:p>
              </w:tc>
              <w:tc>
                <w:tcPr>
                  <w:tcW w:w="4508" w:type="pct"/>
                  <w:gridSpan w:val="2"/>
                  <w:tcBorders>
                    <w:tl2br w:val="nil"/>
                    <w:tr2bl w:val="nil"/>
                  </w:tcBorders>
                  <w:vAlign w:val="center"/>
                </w:tcPr>
                <w:p w14:paraId="0A7660A5">
                  <w:pPr>
                    <w:spacing w:line="240" w:lineRule="auto"/>
                    <w:ind w:firstLine="0" w:firstLineChars="0"/>
                    <w:textAlignment w:val="auto"/>
                    <w:rPr>
                      <w:rFonts w:cs="Times New Roman"/>
                      <w:snapToGrid w:val="0"/>
                      <w:sz w:val="21"/>
                      <w:szCs w:val="21"/>
                    </w:rPr>
                  </w:pPr>
                  <w:r>
                    <w:rPr>
                      <w:rFonts w:cs="Times New Roman"/>
                      <w:snapToGrid w:val="0"/>
                      <w:sz w:val="21"/>
                      <w:szCs w:val="21"/>
                    </w:rPr>
                    <w:t>危险特性：其蒸气能与空气形成爆炸性混合物。遇明火、高热有燃烧爆炸的危险。与氧化剂能发生强烈反应。若遇高热，容器内压增大，有开裂和爆炸的危险</w:t>
                  </w:r>
                </w:p>
              </w:tc>
            </w:tr>
            <w:tr w14:paraId="2156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7ADF888F">
                  <w:pPr>
                    <w:spacing w:line="240" w:lineRule="auto"/>
                    <w:ind w:firstLine="0" w:firstLineChars="0"/>
                    <w:textAlignment w:val="auto"/>
                    <w:rPr>
                      <w:rFonts w:cs="Times New Roman"/>
                      <w:snapToGrid w:val="0"/>
                      <w:sz w:val="21"/>
                      <w:szCs w:val="21"/>
                    </w:rPr>
                  </w:pPr>
                </w:p>
              </w:tc>
              <w:tc>
                <w:tcPr>
                  <w:tcW w:w="4508" w:type="pct"/>
                  <w:gridSpan w:val="2"/>
                  <w:tcBorders>
                    <w:tl2br w:val="nil"/>
                    <w:tr2bl w:val="nil"/>
                  </w:tcBorders>
                  <w:vAlign w:val="center"/>
                </w:tcPr>
                <w:p w14:paraId="080EDA9E">
                  <w:pPr>
                    <w:spacing w:line="240" w:lineRule="auto"/>
                    <w:ind w:firstLine="0" w:firstLineChars="0"/>
                    <w:textAlignment w:val="auto"/>
                    <w:rPr>
                      <w:rFonts w:cs="Times New Roman"/>
                      <w:snapToGrid w:val="0"/>
                      <w:sz w:val="21"/>
                      <w:szCs w:val="21"/>
                    </w:rPr>
                  </w:pPr>
                  <w:r>
                    <w:rPr>
                      <w:rFonts w:cs="Times New Roman"/>
                      <w:snapToGrid w:val="0"/>
                      <w:sz w:val="21"/>
                      <w:szCs w:val="21"/>
                    </w:rPr>
                    <w:t>灭火方法：干粉、泡沫、二氧化碳、沙土</w:t>
                  </w:r>
                </w:p>
              </w:tc>
            </w:tr>
            <w:tr w14:paraId="2BAE0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restart"/>
                  <w:tcBorders>
                    <w:tl2br w:val="nil"/>
                    <w:tr2bl w:val="nil"/>
                  </w:tcBorders>
                  <w:vAlign w:val="center"/>
                </w:tcPr>
                <w:p w14:paraId="68E7CDDD">
                  <w:pPr>
                    <w:spacing w:line="240" w:lineRule="auto"/>
                    <w:ind w:firstLine="0" w:firstLineChars="0"/>
                    <w:jc w:val="center"/>
                    <w:textAlignment w:val="auto"/>
                    <w:rPr>
                      <w:rFonts w:cs="Times New Roman"/>
                      <w:snapToGrid w:val="0"/>
                      <w:sz w:val="21"/>
                      <w:szCs w:val="21"/>
                    </w:rPr>
                  </w:pPr>
                  <w:r>
                    <w:rPr>
                      <w:rFonts w:cs="Times New Roman"/>
                      <w:snapToGrid w:val="0"/>
                      <w:sz w:val="21"/>
                      <w:szCs w:val="21"/>
                    </w:rPr>
                    <w:t>毒理资料</w:t>
                  </w:r>
                </w:p>
              </w:tc>
              <w:tc>
                <w:tcPr>
                  <w:tcW w:w="4508" w:type="pct"/>
                  <w:gridSpan w:val="2"/>
                  <w:tcBorders>
                    <w:tl2br w:val="nil"/>
                    <w:tr2bl w:val="nil"/>
                  </w:tcBorders>
                  <w:vAlign w:val="center"/>
                </w:tcPr>
                <w:p w14:paraId="530A2A32">
                  <w:pPr>
                    <w:tabs>
                      <w:tab w:val="left" w:pos="1021"/>
                    </w:tabs>
                    <w:spacing w:line="240" w:lineRule="auto"/>
                    <w:ind w:firstLine="0" w:firstLineChars="0"/>
                    <w:textAlignment w:val="auto"/>
                    <w:rPr>
                      <w:rFonts w:cs="Times New Roman"/>
                      <w:snapToGrid w:val="0"/>
                      <w:kern w:val="0"/>
                      <w:position w:val="-24"/>
                      <w:sz w:val="21"/>
                      <w:szCs w:val="21"/>
                      <w:vertAlign w:val="superscript"/>
                    </w:rPr>
                  </w:pPr>
                  <w:r>
                    <w:rPr>
                      <w:rFonts w:cs="Times New Roman"/>
                      <w:snapToGrid w:val="0"/>
                      <w:kern w:val="0"/>
                      <w:position w:val="-24"/>
                      <w:sz w:val="21"/>
                      <w:szCs w:val="21"/>
                    </w:rPr>
                    <w:t>接触限值：中国未制定，苏联未制定，这里参照汽油。</w:t>
                  </w:r>
                </w:p>
              </w:tc>
            </w:tr>
            <w:tr w14:paraId="10BA0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vMerge w:val="continue"/>
                  <w:tcBorders>
                    <w:tl2br w:val="nil"/>
                    <w:tr2bl w:val="nil"/>
                  </w:tcBorders>
                  <w:vAlign w:val="center"/>
                </w:tcPr>
                <w:p w14:paraId="0480807F">
                  <w:pPr>
                    <w:spacing w:line="240" w:lineRule="auto"/>
                    <w:ind w:firstLine="0" w:firstLineChars="0"/>
                    <w:jc w:val="center"/>
                    <w:textAlignment w:val="auto"/>
                    <w:rPr>
                      <w:rFonts w:cs="Times New Roman"/>
                      <w:snapToGrid w:val="0"/>
                      <w:sz w:val="21"/>
                      <w:szCs w:val="21"/>
                    </w:rPr>
                  </w:pPr>
                </w:p>
              </w:tc>
              <w:tc>
                <w:tcPr>
                  <w:tcW w:w="4508" w:type="pct"/>
                  <w:gridSpan w:val="2"/>
                  <w:tcBorders>
                    <w:tl2br w:val="nil"/>
                    <w:tr2bl w:val="nil"/>
                  </w:tcBorders>
                </w:tcPr>
                <w:p w14:paraId="14DDF8B5">
                  <w:pPr>
                    <w:spacing w:line="240" w:lineRule="auto"/>
                    <w:ind w:firstLine="0" w:firstLineChars="0"/>
                    <w:textAlignment w:val="auto"/>
                    <w:rPr>
                      <w:rFonts w:cs="Times New Roman"/>
                      <w:snapToGrid w:val="0"/>
                      <w:sz w:val="21"/>
                      <w:szCs w:val="21"/>
                    </w:rPr>
                  </w:pPr>
                  <w:r>
                    <w:rPr>
                      <w:rFonts w:cs="Times New Roman"/>
                      <w:snapToGrid w:val="0"/>
                      <w:sz w:val="21"/>
                      <w:szCs w:val="21"/>
                    </w:rPr>
                    <w:t>毒理资料：大鼠经口LD50：7500mg/kg。兔经皮LD</w:t>
                  </w:r>
                  <w:r>
                    <w:rPr>
                      <w:rFonts w:cs="Times New Roman"/>
                      <w:snapToGrid w:val="0"/>
                      <w:sz w:val="21"/>
                      <w:szCs w:val="21"/>
                      <w:vertAlign w:val="subscript"/>
                    </w:rPr>
                    <w:t>50</w:t>
                  </w:r>
                  <w:r>
                    <w:rPr>
                      <w:rFonts w:cs="Times New Roman"/>
                      <w:snapToGrid w:val="0"/>
                      <w:sz w:val="21"/>
                      <w:szCs w:val="21"/>
                    </w:rPr>
                    <w:t>＞5m</w:t>
                  </w:r>
                  <w:r>
                    <w:rPr>
                      <w:rFonts w:hint="eastAsia" w:cs="Times New Roman"/>
                      <w:snapToGrid w:val="0"/>
                      <w:sz w:val="21"/>
                      <w:szCs w:val="21"/>
                    </w:rPr>
                    <w:t>l</w:t>
                  </w:r>
                  <w:r>
                    <w:rPr>
                      <w:rFonts w:cs="Times New Roman"/>
                      <w:snapToGrid w:val="0"/>
                      <w:sz w:val="21"/>
                      <w:szCs w:val="21"/>
                    </w:rPr>
                    <w:t>/kg。用500mg涂兔皮肤引起中度皮肤刺激。</w:t>
                  </w:r>
                </w:p>
              </w:tc>
            </w:tr>
            <w:tr w14:paraId="7A3CA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tcBorders>
                    <w:tl2br w:val="nil"/>
                    <w:tr2bl w:val="nil"/>
                  </w:tcBorders>
                  <w:vAlign w:val="center"/>
                </w:tcPr>
                <w:p w14:paraId="2EFD615F">
                  <w:pPr>
                    <w:spacing w:line="240" w:lineRule="auto"/>
                    <w:ind w:firstLine="0" w:firstLineChars="0"/>
                    <w:jc w:val="center"/>
                    <w:textAlignment w:val="auto"/>
                    <w:rPr>
                      <w:rFonts w:cs="Times New Roman"/>
                      <w:snapToGrid w:val="0"/>
                      <w:sz w:val="21"/>
                      <w:szCs w:val="21"/>
                    </w:rPr>
                  </w:pPr>
                  <w:r>
                    <w:rPr>
                      <w:rFonts w:cs="Times New Roman"/>
                      <w:snapToGrid w:val="0"/>
                      <w:sz w:val="21"/>
                      <w:szCs w:val="21"/>
                    </w:rPr>
                    <w:t>健康危害</w:t>
                  </w:r>
                </w:p>
              </w:tc>
              <w:tc>
                <w:tcPr>
                  <w:tcW w:w="4508" w:type="pct"/>
                  <w:gridSpan w:val="2"/>
                  <w:tcBorders>
                    <w:tl2br w:val="nil"/>
                    <w:tr2bl w:val="nil"/>
                  </w:tcBorders>
                  <w:vAlign w:val="center"/>
                </w:tcPr>
                <w:p w14:paraId="19BE381D">
                  <w:pPr>
                    <w:spacing w:line="240" w:lineRule="auto"/>
                    <w:ind w:firstLine="0" w:firstLineChars="0"/>
                    <w:textAlignment w:val="auto"/>
                    <w:rPr>
                      <w:rFonts w:hint="eastAsia" w:eastAsia="宋体" w:cs="Times New Roman"/>
                      <w:snapToGrid w:val="0"/>
                      <w:sz w:val="21"/>
                      <w:szCs w:val="21"/>
                      <w:lang w:eastAsia="zh-CN"/>
                    </w:rPr>
                  </w:pPr>
                  <w:r>
                    <w:rPr>
                      <w:rFonts w:cs="Times New Roman"/>
                      <w:snapToGrid w:val="0"/>
                      <w:sz w:val="21"/>
                      <w:szCs w:val="21"/>
                    </w:rPr>
                    <w:t>因杂质及添加剂不同而毒性可有差异。对皮肤和黏膜有刺激作用，也可有轻度麻醉作用。柴油为高沸点物质，吸入蒸气而致毒害的机会</w:t>
                  </w:r>
                  <w:r>
                    <w:rPr>
                      <w:rFonts w:hint="eastAsia" w:cs="Times New Roman"/>
                      <w:snapToGrid w:val="0"/>
                      <w:sz w:val="21"/>
                      <w:szCs w:val="21"/>
                      <w:lang w:eastAsia="zh-CN"/>
                    </w:rPr>
                    <w:t>。</w:t>
                  </w:r>
                  <w:r>
                    <w:rPr>
                      <w:rFonts w:hint="eastAsia" w:cs="Times New Roman"/>
                      <w:snapToGrid w:val="0"/>
                      <w:sz w:val="21"/>
                      <w:szCs w:val="21"/>
                      <w:lang w:val="en-US" w:eastAsia="zh-CN"/>
                    </w:rPr>
                    <w:t>皮肤</w:t>
                  </w:r>
                  <w:r>
                    <w:rPr>
                      <w:rFonts w:cs="Times New Roman"/>
                      <w:snapToGrid w:val="0"/>
                      <w:sz w:val="21"/>
                      <w:szCs w:val="21"/>
                    </w:rPr>
                    <w:t>接触后可发生接触性皮炎，表现为红斑、水疱、丘疹</w:t>
                  </w:r>
                  <w:r>
                    <w:rPr>
                      <w:rFonts w:hint="eastAsia" w:cs="Times New Roman"/>
                      <w:snapToGrid w:val="0"/>
                      <w:sz w:val="21"/>
                      <w:szCs w:val="21"/>
                      <w:lang w:eastAsia="zh-CN"/>
                    </w:rPr>
                    <w:t>。</w:t>
                  </w:r>
                </w:p>
              </w:tc>
            </w:tr>
            <w:tr w14:paraId="79411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tcBorders>
                    <w:tl2br w:val="nil"/>
                    <w:tr2bl w:val="nil"/>
                  </w:tcBorders>
                  <w:vAlign w:val="center"/>
                </w:tcPr>
                <w:p w14:paraId="0762967B">
                  <w:pPr>
                    <w:spacing w:line="240" w:lineRule="auto"/>
                    <w:ind w:firstLine="0" w:firstLineChars="0"/>
                    <w:jc w:val="center"/>
                    <w:textAlignment w:val="auto"/>
                    <w:rPr>
                      <w:rFonts w:cs="Times New Roman"/>
                      <w:snapToGrid w:val="0"/>
                      <w:sz w:val="21"/>
                      <w:szCs w:val="21"/>
                    </w:rPr>
                  </w:pPr>
                  <w:r>
                    <w:rPr>
                      <w:rFonts w:cs="Times New Roman"/>
                      <w:snapToGrid w:val="0"/>
                      <w:kern w:val="0"/>
                      <w:sz w:val="21"/>
                      <w:szCs w:val="21"/>
                    </w:rPr>
                    <w:t>急救</w:t>
                  </w:r>
                </w:p>
              </w:tc>
              <w:tc>
                <w:tcPr>
                  <w:tcW w:w="4508" w:type="pct"/>
                  <w:gridSpan w:val="2"/>
                  <w:tcBorders>
                    <w:tl2br w:val="nil"/>
                    <w:tr2bl w:val="nil"/>
                  </w:tcBorders>
                  <w:vAlign w:val="center"/>
                </w:tcPr>
                <w:p w14:paraId="35DDDA32">
                  <w:pPr>
                    <w:spacing w:line="240" w:lineRule="auto"/>
                    <w:ind w:firstLine="0" w:firstLineChars="0"/>
                    <w:textAlignment w:val="auto"/>
                    <w:rPr>
                      <w:rFonts w:cs="Times New Roman"/>
                      <w:snapToGrid w:val="0"/>
                      <w:sz w:val="21"/>
                      <w:szCs w:val="21"/>
                    </w:rPr>
                  </w:pPr>
                  <w:r>
                    <w:rPr>
                      <w:rFonts w:cs="Times New Roman"/>
                      <w:snapToGrid w:val="0"/>
                      <w:sz w:val="21"/>
                      <w:szCs w:val="21"/>
                    </w:rPr>
                    <w:t>皮肤污染时立即用肥皂水和清水冲洗，并对症处理。吸入雾滴立即脱离现场至新鲜空气处，有症状者给吸氧。发生吸入肺炎时给抗生素防止继发感染，并对症处理。</w:t>
                  </w:r>
                </w:p>
              </w:tc>
            </w:tr>
            <w:tr w14:paraId="6D570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tcBorders>
                    <w:tl2br w:val="nil"/>
                    <w:tr2bl w:val="nil"/>
                  </w:tcBorders>
                  <w:vAlign w:val="center"/>
                </w:tcPr>
                <w:p w14:paraId="038402C5">
                  <w:pPr>
                    <w:spacing w:line="240" w:lineRule="auto"/>
                    <w:ind w:firstLine="0" w:firstLineChars="0"/>
                    <w:jc w:val="center"/>
                    <w:textAlignment w:val="auto"/>
                    <w:rPr>
                      <w:rFonts w:cs="Times New Roman"/>
                      <w:snapToGrid w:val="0"/>
                      <w:sz w:val="21"/>
                      <w:szCs w:val="21"/>
                    </w:rPr>
                  </w:pPr>
                  <w:r>
                    <w:rPr>
                      <w:rFonts w:cs="Times New Roman"/>
                      <w:snapToGrid w:val="0"/>
                      <w:sz w:val="21"/>
                      <w:szCs w:val="21"/>
                    </w:rPr>
                    <w:t>防护措施</w:t>
                  </w:r>
                </w:p>
              </w:tc>
              <w:tc>
                <w:tcPr>
                  <w:tcW w:w="4508" w:type="pct"/>
                  <w:gridSpan w:val="2"/>
                  <w:tcBorders>
                    <w:tl2br w:val="nil"/>
                    <w:tr2bl w:val="nil"/>
                  </w:tcBorders>
                  <w:vAlign w:val="center"/>
                </w:tcPr>
                <w:p w14:paraId="7E709EFB">
                  <w:pPr>
                    <w:spacing w:line="240" w:lineRule="auto"/>
                    <w:ind w:firstLine="0" w:firstLineChars="0"/>
                    <w:textAlignment w:val="auto"/>
                    <w:rPr>
                      <w:rFonts w:cs="Times New Roman"/>
                      <w:snapToGrid w:val="0"/>
                      <w:sz w:val="21"/>
                      <w:szCs w:val="21"/>
                    </w:rPr>
                  </w:pPr>
                  <w:r>
                    <w:rPr>
                      <w:rFonts w:cs="Times New Roman"/>
                      <w:snapToGrid w:val="0"/>
                      <w:sz w:val="21"/>
                      <w:szCs w:val="21"/>
                    </w:rPr>
                    <w:t>工程防护：严加密闭，提供充分的局部排风和全面通风</w:t>
                  </w:r>
                </w:p>
                <w:p w14:paraId="5CB615CF">
                  <w:pPr>
                    <w:spacing w:line="240" w:lineRule="auto"/>
                    <w:ind w:firstLine="0" w:firstLineChars="0"/>
                    <w:textAlignment w:val="auto"/>
                    <w:rPr>
                      <w:rFonts w:cs="Times New Roman"/>
                      <w:snapToGrid w:val="0"/>
                      <w:sz w:val="21"/>
                      <w:szCs w:val="21"/>
                    </w:rPr>
                  </w:pPr>
                  <w:r>
                    <w:rPr>
                      <w:rFonts w:cs="Times New Roman"/>
                      <w:snapToGrid w:val="0"/>
                      <w:sz w:val="21"/>
                      <w:szCs w:val="21"/>
                    </w:rPr>
                    <w:t>个体防护：呼吸系统防护：空气浓度超标时，必须</w:t>
                  </w:r>
                  <w:r>
                    <w:rPr>
                      <w:rFonts w:hint="eastAsia" w:cs="Times New Roman"/>
                      <w:snapToGrid w:val="0"/>
                      <w:sz w:val="21"/>
                      <w:szCs w:val="21"/>
                    </w:rPr>
                    <w:t>佩戴</w:t>
                  </w:r>
                  <w:r>
                    <w:rPr>
                      <w:rFonts w:cs="Times New Roman"/>
                      <w:snapToGrid w:val="0"/>
                      <w:sz w:val="21"/>
                      <w:szCs w:val="21"/>
                    </w:rPr>
                    <w:t>防毒面具。紧急事态抢救或撤离时，应</w:t>
                  </w:r>
                  <w:r>
                    <w:rPr>
                      <w:rFonts w:hint="eastAsia" w:cs="Times New Roman"/>
                      <w:snapToGrid w:val="0"/>
                      <w:sz w:val="21"/>
                      <w:szCs w:val="21"/>
                    </w:rPr>
                    <w:t>佩戴</w:t>
                  </w:r>
                  <w:r>
                    <w:rPr>
                      <w:rFonts w:cs="Times New Roman"/>
                      <w:snapToGrid w:val="0"/>
                      <w:sz w:val="21"/>
                      <w:szCs w:val="21"/>
                    </w:rPr>
                    <w:t>正压自给式呼吸器</w:t>
                  </w:r>
                </w:p>
                <w:p w14:paraId="6D3146B7">
                  <w:pPr>
                    <w:spacing w:line="240" w:lineRule="auto"/>
                    <w:ind w:firstLine="0" w:firstLineChars="0"/>
                    <w:textAlignment w:val="auto"/>
                    <w:rPr>
                      <w:rFonts w:cs="Times New Roman"/>
                      <w:snapToGrid w:val="0"/>
                      <w:sz w:val="21"/>
                      <w:szCs w:val="21"/>
                    </w:rPr>
                  </w:pPr>
                  <w:r>
                    <w:rPr>
                      <w:rFonts w:cs="Times New Roman"/>
                      <w:snapToGrid w:val="0"/>
                      <w:sz w:val="21"/>
                      <w:szCs w:val="21"/>
                    </w:rPr>
                    <w:t>眼睛防护：戴化学安全防护眼镜</w:t>
                  </w:r>
                </w:p>
                <w:p w14:paraId="26706D57">
                  <w:pPr>
                    <w:spacing w:line="240" w:lineRule="auto"/>
                    <w:ind w:firstLine="0" w:firstLineChars="0"/>
                    <w:textAlignment w:val="auto"/>
                    <w:rPr>
                      <w:rFonts w:cs="Times New Roman"/>
                      <w:snapToGrid w:val="0"/>
                      <w:sz w:val="21"/>
                      <w:szCs w:val="21"/>
                    </w:rPr>
                  </w:pPr>
                  <w:r>
                    <w:rPr>
                      <w:rFonts w:cs="Times New Roman"/>
                      <w:snapToGrid w:val="0"/>
                      <w:sz w:val="21"/>
                      <w:szCs w:val="21"/>
                    </w:rPr>
                    <w:t>防护服：穿防静电工作服。戴防油手套</w:t>
                  </w:r>
                </w:p>
                <w:p w14:paraId="736AA938">
                  <w:pPr>
                    <w:spacing w:line="240" w:lineRule="auto"/>
                    <w:ind w:firstLine="0" w:firstLineChars="0"/>
                    <w:textAlignment w:val="auto"/>
                    <w:rPr>
                      <w:rFonts w:cs="Times New Roman"/>
                      <w:snapToGrid w:val="0"/>
                      <w:sz w:val="21"/>
                      <w:szCs w:val="21"/>
                    </w:rPr>
                  </w:pPr>
                  <w:r>
                    <w:rPr>
                      <w:rFonts w:cs="Times New Roman"/>
                      <w:snapToGrid w:val="0"/>
                      <w:sz w:val="21"/>
                      <w:szCs w:val="21"/>
                    </w:rPr>
                    <w:t>其它：工作现场严禁吸烟，避免长期接触</w:t>
                  </w:r>
                </w:p>
              </w:tc>
            </w:tr>
            <w:tr w14:paraId="16D50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2" w:type="pct"/>
                  <w:tcBorders>
                    <w:tl2br w:val="nil"/>
                    <w:tr2bl w:val="nil"/>
                  </w:tcBorders>
                  <w:vAlign w:val="center"/>
                </w:tcPr>
                <w:p w14:paraId="71C74858">
                  <w:pPr>
                    <w:spacing w:line="240" w:lineRule="auto"/>
                    <w:ind w:firstLine="0" w:firstLineChars="0"/>
                    <w:jc w:val="center"/>
                    <w:textAlignment w:val="auto"/>
                    <w:rPr>
                      <w:rFonts w:cs="Times New Roman"/>
                      <w:snapToGrid w:val="0"/>
                      <w:sz w:val="21"/>
                      <w:szCs w:val="21"/>
                    </w:rPr>
                  </w:pPr>
                  <w:r>
                    <w:rPr>
                      <w:rFonts w:cs="Times New Roman"/>
                      <w:snapToGrid w:val="0"/>
                      <w:sz w:val="21"/>
                      <w:szCs w:val="21"/>
                    </w:rPr>
                    <w:t>泄漏应急处理</w:t>
                  </w:r>
                </w:p>
              </w:tc>
              <w:tc>
                <w:tcPr>
                  <w:tcW w:w="4508" w:type="pct"/>
                  <w:gridSpan w:val="2"/>
                  <w:tcBorders>
                    <w:tl2br w:val="nil"/>
                    <w:tr2bl w:val="nil"/>
                  </w:tcBorders>
                  <w:vAlign w:val="center"/>
                </w:tcPr>
                <w:p w14:paraId="40C29589">
                  <w:pPr>
                    <w:spacing w:line="240" w:lineRule="auto"/>
                    <w:ind w:firstLine="0" w:firstLineChars="0"/>
                    <w:textAlignment w:val="auto"/>
                    <w:rPr>
                      <w:rFonts w:cs="Times New Roman"/>
                      <w:snapToGrid w:val="0"/>
                      <w:sz w:val="21"/>
                      <w:szCs w:val="21"/>
                    </w:rPr>
                  </w:pPr>
                  <w:r>
                    <w:rPr>
                      <w:rFonts w:cs="Times New Roman"/>
                      <w:sz w:val="21"/>
                      <w:szCs w:val="21"/>
                    </w:rPr>
                    <w:t>首先切断一切火源。应急人员戴自给正压式呼吸器，穿工作服。尽可能切断</w:t>
                  </w:r>
                  <w:r>
                    <w:rPr>
                      <w:rFonts w:hint="eastAsia" w:cs="Times New Roman"/>
                      <w:sz w:val="21"/>
                      <w:szCs w:val="21"/>
                    </w:rPr>
                    <w:t>泄漏</w:t>
                  </w:r>
                  <w:r>
                    <w:rPr>
                      <w:rFonts w:cs="Times New Roman"/>
                      <w:sz w:val="21"/>
                      <w:szCs w:val="21"/>
                    </w:rPr>
                    <w:t>源，将漏液收集在有盖容器中，用沙子或惰性吸收剂吸收残液并转到安全场所。对污染地面进行通风，蒸发残余液体并排除蒸气，要防止进入下水道、排洪沟等限制性空间或环境。</w:t>
                  </w:r>
                </w:p>
              </w:tc>
            </w:tr>
          </w:tbl>
          <w:p w14:paraId="7FA8EA95">
            <w:pPr>
              <w:ind w:firstLine="0" w:firstLineChars="0"/>
            </w:pPr>
            <w:r>
              <w:rPr>
                <w:rFonts w:hint="eastAsia"/>
                <w:b/>
                <w:color w:val="000000"/>
              </w:rPr>
              <w:t>2.</w:t>
            </w:r>
            <w:r>
              <w:rPr>
                <w:rFonts w:hint="eastAsia"/>
                <w:b/>
                <w:color w:val="000000"/>
                <w:lang w:val="en-US" w:eastAsia="zh-CN"/>
              </w:rPr>
              <w:t>6</w:t>
            </w:r>
            <w:r>
              <w:rPr>
                <w:b/>
                <w:color w:val="000000"/>
              </w:rPr>
              <w:t>公用工程</w:t>
            </w:r>
          </w:p>
          <w:p w14:paraId="2058C31C">
            <w:pPr>
              <w:ind w:firstLine="480"/>
              <w:rPr>
                <w:bCs/>
              </w:rPr>
            </w:pPr>
            <w:r>
              <w:t>给水：</w:t>
            </w:r>
            <w:r>
              <w:rPr>
                <w:rFonts w:hint="eastAsia"/>
              </w:rPr>
              <w:t>给水水源接自周边已建市政供水管网</w:t>
            </w:r>
            <w:r>
              <w:rPr>
                <w:rFonts w:hint="eastAsia"/>
                <w:lang w:eastAsia="zh-CN"/>
              </w:rPr>
              <w:t>，</w:t>
            </w:r>
            <w:r>
              <w:rPr>
                <w:rFonts w:hint="eastAsia"/>
                <w:lang w:val="en-US" w:eastAsia="zh-CN"/>
              </w:rPr>
              <w:t>给水压力不小于0.3MPa</w:t>
            </w:r>
            <w:r>
              <w:rPr>
                <w:rFonts w:hint="eastAsia"/>
              </w:rPr>
              <w:t>。</w:t>
            </w:r>
          </w:p>
          <w:p w14:paraId="1B7025CD">
            <w:pPr>
              <w:ind w:firstLine="480"/>
            </w:pPr>
            <w:r>
              <w:t>排水：生活污水</w:t>
            </w:r>
            <w:r>
              <w:rPr>
                <w:rFonts w:hint="eastAsia"/>
              </w:rPr>
              <w:t>经排水系统收集至化粪池处理后排放至市政排水管道，最终进入</w:t>
            </w:r>
            <w:r>
              <w:rPr>
                <w:rFonts w:hint="eastAsia"/>
                <w:lang w:eastAsia="zh-CN"/>
              </w:rPr>
              <w:t>库尔勒经济技术开发区工业废水处理厂</w:t>
            </w:r>
            <w:r>
              <w:rPr>
                <w:rFonts w:hint="eastAsia"/>
              </w:rPr>
              <w:t>深度处理。</w:t>
            </w:r>
          </w:p>
          <w:p w14:paraId="0D1F2D42">
            <w:pPr>
              <w:ind w:firstLine="480"/>
            </w:pPr>
            <w:r>
              <w:t>供热：</w:t>
            </w:r>
            <w:r>
              <w:rPr>
                <w:rFonts w:cs="Times New Roman"/>
                <w:szCs w:val="24"/>
              </w:rPr>
              <w:t>生产工艺中无用热工序，</w:t>
            </w:r>
            <w:r>
              <w:t>冬季供暖为电采暖。</w:t>
            </w:r>
          </w:p>
          <w:p w14:paraId="4C2D259A">
            <w:pPr>
              <w:ind w:firstLine="480"/>
            </w:pPr>
            <w:r>
              <w:t>用电：</w:t>
            </w:r>
            <w:r>
              <w:rPr>
                <w:rFonts w:hint="eastAsia"/>
              </w:rPr>
              <w:t>由市政电力系统供给，</w:t>
            </w:r>
            <w:bookmarkStart w:id="23" w:name="_GoBack"/>
            <w:r>
              <w:rPr>
                <w:rFonts w:hint="eastAsia"/>
                <w:lang w:eastAsia="zh-CN"/>
              </w:rPr>
              <w:t>建设1座专用400kVA箱变站</w:t>
            </w:r>
            <w:bookmarkEnd w:id="23"/>
            <w:r>
              <w:t>，能够满足项目用电需求。</w:t>
            </w:r>
          </w:p>
          <w:p w14:paraId="26A40B14">
            <w:pPr>
              <w:autoSpaceDE w:val="0"/>
              <w:autoSpaceDN w:val="0"/>
              <w:adjustRightInd w:val="0"/>
              <w:ind w:firstLine="480"/>
              <w:rPr>
                <w:color w:val="000000" w:themeColor="text1"/>
                <w:highlight w:val="yellow"/>
                <w14:textFill>
                  <w14:solidFill>
                    <w14:schemeClr w14:val="tx1"/>
                  </w14:solidFill>
                </w14:textFill>
              </w:rPr>
            </w:pPr>
            <w:r>
              <w:rPr>
                <w:color w:val="000000" w:themeColor="text1"/>
                <w14:textFill>
                  <w14:solidFill>
                    <w14:schemeClr w14:val="tx1"/>
                  </w14:solidFill>
                </w14:textFill>
              </w:rPr>
              <w:t>原料供应及方式：</w:t>
            </w:r>
            <w:r>
              <w:rPr>
                <w:rFonts w:hint="eastAsia" w:cs="Times New Roman"/>
                <w:szCs w:val="24"/>
              </w:rPr>
              <w:t>本项目成品油</w:t>
            </w:r>
            <w:r>
              <w:rPr>
                <w:rFonts w:hint="eastAsia" w:cs="Times New Roman"/>
                <w:szCs w:val="24"/>
                <w:highlight w:val="none"/>
              </w:rPr>
              <w:t>资源由</w:t>
            </w:r>
            <w:r>
              <w:rPr>
                <w:rFonts w:hint="eastAsia"/>
                <w:color w:val="000000" w:themeColor="text1"/>
                <w:highlight w:val="none"/>
                <w:lang w:val="en-US" w:eastAsia="zh-CN"/>
                <w14:textFill>
                  <w14:solidFill>
                    <w14:schemeClr w14:val="tx1"/>
                  </w14:solidFill>
                </w14:textFill>
              </w:rPr>
              <w:t>中国石油天然气股份有限公司</w:t>
            </w:r>
            <w:r>
              <w:rPr>
                <w:rFonts w:hint="eastAsia"/>
                <w:color w:val="000000" w:themeColor="text1"/>
                <w:highlight w:val="none"/>
                <w14:textFill>
                  <w14:solidFill>
                    <w14:schemeClr w14:val="tx1"/>
                  </w14:solidFill>
                </w14:textFill>
              </w:rPr>
              <w:t>供给</w:t>
            </w:r>
            <w:r>
              <w:rPr>
                <w:color w:val="000000" w:themeColor="text1"/>
                <w:highlight w:val="none"/>
                <w14:textFill>
                  <w14:solidFill>
                    <w14:schemeClr w14:val="tx1"/>
                  </w14:solidFill>
                </w14:textFill>
              </w:rPr>
              <w:t>。</w:t>
            </w:r>
          </w:p>
          <w:p w14:paraId="72223317">
            <w:pPr>
              <w:ind w:firstLine="480"/>
            </w:pPr>
            <w:r>
              <w:t>消防系统：</w:t>
            </w:r>
            <w:r>
              <w:rPr>
                <w:rFonts w:hint="eastAsia"/>
              </w:rPr>
              <w:t>按照《汽车加油加气加氢站技术标准》（GB50156-2021）中的要求，配置有一整套消防和灭火设施。</w:t>
            </w:r>
            <w:r>
              <w:t>详见表</w:t>
            </w:r>
            <w:r>
              <w:rPr>
                <w:rFonts w:hint="eastAsia"/>
              </w:rPr>
              <w:t>2</w:t>
            </w:r>
            <w:r>
              <w:rPr>
                <w:rFonts w:hint="eastAsia"/>
                <w:lang w:val="en-US" w:eastAsia="zh-CN"/>
              </w:rPr>
              <w:t>-7</w:t>
            </w:r>
            <w:r>
              <w:t>。</w:t>
            </w:r>
          </w:p>
          <w:p w14:paraId="2864717C">
            <w:pPr>
              <w:pStyle w:val="28"/>
              <w:spacing w:before="120"/>
              <w:ind w:firstLine="422"/>
              <w:rPr>
                <w:highlight w:val="none"/>
              </w:rPr>
            </w:pPr>
            <w:r>
              <w:rPr>
                <w:highlight w:val="none"/>
              </w:rPr>
              <w:t>表</w:t>
            </w:r>
            <w:r>
              <w:rPr>
                <w:rFonts w:hint="eastAsia"/>
                <w:highlight w:val="none"/>
              </w:rPr>
              <w:t>2</w:t>
            </w:r>
            <w:r>
              <w:rPr>
                <w:rFonts w:hint="eastAsia"/>
                <w:highlight w:val="none"/>
                <w:lang w:val="en-US" w:eastAsia="zh-CN"/>
              </w:rPr>
              <w:t xml:space="preserve">-7 </w:t>
            </w:r>
            <w:r>
              <w:rPr>
                <w:highlight w:val="none"/>
              </w:rPr>
              <w:t xml:space="preserve"> 主要消防器材一览表</w:t>
            </w:r>
          </w:p>
          <w:tbl>
            <w:tblPr>
              <w:tblStyle w:val="21"/>
              <w:tblW w:w="85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775"/>
              <w:gridCol w:w="1155"/>
              <w:gridCol w:w="3919"/>
            </w:tblGrid>
            <w:tr w14:paraId="301F3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l2br w:val="nil"/>
                    <w:tr2bl w:val="nil"/>
                  </w:tcBorders>
                  <w:vAlign w:val="center"/>
                </w:tcPr>
                <w:p w14:paraId="202D590D">
                  <w:pPr>
                    <w:pStyle w:val="32"/>
                  </w:pPr>
                  <w:r>
                    <w:rPr>
                      <w:rFonts w:hint="eastAsia"/>
                    </w:rPr>
                    <w:t>序号</w:t>
                  </w:r>
                </w:p>
              </w:tc>
              <w:tc>
                <w:tcPr>
                  <w:tcW w:w="2775" w:type="dxa"/>
                  <w:tcBorders>
                    <w:tl2br w:val="nil"/>
                    <w:tr2bl w:val="nil"/>
                  </w:tcBorders>
                  <w:vAlign w:val="center"/>
                </w:tcPr>
                <w:p w14:paraId="5F4BAE1B">
                  <w:pPr>
                    <w:pStyle w:val="32"/>
                  </w:pPr>
                  <w:r>
                    <w:rPr>
                      <w:rFonts w:hint="eastAsia"/>
                    </w:rPr>
                    <w:t>消防器材类型</w:t>
                  </w:r>
                </w:p>
              </w:tc>
              <w:tc>
                <w:tcPr>
                  <w:tcW w:w="1155" w:type="dxa"/>
                  <w:tcBorders>
                    <w:tl2br w:val="nil"/>
                    <w:tr2bl w:val="nil"/>
                  </w:tcBorders>
                  <w:vAlign w:val="center"/>
                </w:tcPr>
                <w:p w14:paraId="5F51DC18">
                  <w:pPr>
                    <w:pStyle w:val="32"/>
                  </w:pPr>
                  <w:r>
                    <w:rPr>
                      <w:rFonts w:hint="eastAsia"/>
                    </w:rPr>
                    <w:t>数量</w:t>
                  </w:r>
                </w:p>
              </w:tc>
              <w:tc>
                <w:tcPr>
                  <w:tcW w:w="3919" w:type="dxa"/>
                  <w:tcBorders>
                    <w:tl2br w:val="nil"/>
                    <w:tr2bl w:val="nil"/>
                  </w:tcBorders>
                  <w:vAlign w:val="center"/>
                </w:tcPr>
                <w:p w14:paraId="37705614">
                  <w:pPr>
                    <w:pStyle w:val="32"/>
                  </w:pPr>
                  <w:r>
                    <w:rPr>
                      <w:rFonts w:hint="eastAsia"/>
                    </w:rPr>
                    <w:t>备注</w:t>
                  </w:r>
                </w:p>
              </w:tc>
            </w:tr>
            <w:tr w14:paraId="211E6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l2br w:val="nil"/>
                    <w:tr2bl w:val="nil"/>
                  </w:tcBorders>
                  <w:vAlign w:val="center"/>
                </w:tcPr>
                <w:p w14:paraId="2EDC620D">
                  <w:pPr>
                    <w:pStyle w:val="32"/>
                  </w:pPr>
                  <w:r>
                    <w:rPr>
                      <w:rFonts w:hint="eastAsia"/>
                    </w:rPr>
                    <w:t>1</w:t>
                  </w:r>
                </w:p>
              </w:tc>
              <w:tc>
                <w:tcPr>
                  <w:tcW w:w="2775" w:type="dxa"/>
                  <w:tcBorders>
                    <w:tl2br w:val="nil"/>
                    <w:tr2bl w:val="nil"/>
                  </w:tcBorders>
                  <w:vAlign w:val="center"/>
                </w:tcPr>
                <w:p w14:paraId="387A6434">
                  <w:pPr>
                    <w:pStyle w:val="32"/>
                  </w:pPr>
                  <w:r>
                    <w:rPr>
                      <w:rFonts w:hint="eastAsia"/>
                    </w:rPr>
                    <w:t>MF/ABC5手提干粉灭火器</w:t>
                  </w:r>
                </w:p>
              </w:tc>
              <w:tc>
                <w:tcPr>
                  <w:tcW w:w="1155" w:type="dxa"/>
                  <w:tcBorders>
                    <w:tl2br w:val="nil"/>
                    <w:tr2bl w:val="nil"/>
                  </w:tcBorders>
                  <w:vAlign w:val="center"/>
                </w:tcPr>
                <w:p w14:paraId="3425354B">
                  <w:pPr>
                    <w:pStyle w:val="32"/>
                    <w:rPr>
                      <w:rFonts w:hint="default" w:eastAsia="宋体"/>
                      <w:lang w:val="en-US" w:eastAsia="zh-CN"/>
                    </w:rPr>
                  </w:pPr>
                  <w:r>
                    <w:rPr>
                      <w:rFonts w:hint="eastAsia"/>
                      <w:lang w:val="en-US" w:eastAsia="zh-CN"/>
                    </w:rPr>
                    <w:t>16具</w:t>
                  </w:r>
                </w:p>
              </w:tc>
              <w:tc>
                <w:tcPr>
                  <w:tcW w:w="3919" w:type="dxa"/>
                  <w:tcBorders>
                    <w:tl2br w:val="nil"/>
                    <w:tr2bl w:val="nil"/>
                  </w:tcBorders>
                  <w:vAlign w:val="center"/>
                </w:tcPr>
                <w:p w14:paraId="37FB26F2">
                  <w:pPr>
                    <w:pStyle w:val="32"/>
                  </w:pPr>
                  <w:r>
                    <w:rPr>
                      <w:rFonts w:hint="eastAsia"/>
                    </w:rPr>
                    <w:t>配箱体</w:t>
                  </w:r>
                </w:p>
              </w:tc>
            </w:tr>
            <w:tr w14:paraId="663B3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l2br w:val="nil"/>
                    <w:tr2bl w:val="nil"/>
                  </w:tcBorders>
                  <w:vAlign w:val="center"/>
                </w:tcPr>
                <w:p w14:paraId="2BADBB07">
                  <w:pPr>
                    <w:pStyle w:val="32"/>
                  </w:pPr>
                  <w:r>
                    <w:rPr>
                      <w:rFonts w:hint="eastAsia"/>
                    </w:rPr>
                    <w:t>2</w:t>
                  </w:r>
                </w:p>
              </w:tc>
              <w:tc>
                <w:tcPr>
                  <w:tcW w:w="2775" w:type="dxa"/>
                  <w:tcBorders>
                    <w:tl2br w:val="nil"/>
                    <w:tr2bl w:val="nil"/>
                  </w:tcBorders>
                  <w:vAlign w:val="center"/>
                </w:tcPr>
                <w:p w14:paraId="7E476FFD">
                  <w:pPr>
                    <w:pStyle w:val="32"/>
                  </w:pPr>
                  <w:r>
                    <w:rPr>
                      <w:rFonts w:hint="eastAsia"/>
                    </w:rPr>
                    <w:t>推车式</w:t>
                  </w:r>
                  <w:r>
                    <w:rPr>
                      <w:rFonts w:hint="eastAsia"/>
                      <w:lang w:val="en-US" w:eastAsia="zh-CN"/>
                    </w:rPr>
                    <w:t>ABC类</w:t>
                  </w:r>
                  <w:r>
                    <w:rPr>
                      <w:rFonts w:hint="eastAsia"/>
                    </w:rPr>
                    <w:t>干粉灭火器</w:t>
                  </w:r>
                </w:p>
              </w:tc>
              <w:tc>
                <w:tcPr>
                  <w:tcW w:w="1155" w:type="dxa"/>
                  <w:tcBorders>
                    <w:tl2br w:val="nil"/>
                    <w:tr2bl w:val="nil"/>
                  </w:tcBorders>
                  <w:vAlign w:val="center"/>
                </w:tcPr>
                <w:p w14:paraId="41C4ACF5">
                  <w:pPr>
                    <w:pStyle w:val="32"/>
                  </w:pPr>
                  <w:r>
                    <w:rPr>
                      <w:rFonts w:hint="eastAsia"/>
                      <w:lang w:val="en-US" w:eastAsia="zh-CN"/>
                    </w:rPr>
                    <w:t>4</w:t>
                  </w:r>
                  <w:r>
                    <w:rPr>
                      <w:rFonts w:hint="eastAsia"/>
                    </w:rPr>
                    <w:t>台</w:t>
                  </w:r>
                </w:p>
              </w:tc>
              <w:tc>
                <w:tcPr>
                  <w:tcW w:w="3919" w:type="dxa"/>
                  <w:tcBorders>
                    <w:tl2br w:val="nil"/>
                    <w:tr2bl w:val="nil"/>
                  </w:tcBorders>
                  <w:vAlign w:val="center"/>
                </w:tcPr>
                <w:p w14:paraId="65FFDFBD">
                  <w:pPr>
                    <w:pStyle w:val="32"/>
                    <w:rPr>
                      <w:rFonts w:hint="eastAsia" w:eastAsia="宋体"/>
                      <w:lang w:eastAsia="zh-CN"/>
                    </w:rPr>
                  </w:pPr>
                  <w:r>
                    <w:rPr>
                      <w:rFonts w:hint="eastAsia"/>
                    </w:rPr>
                    <w:t>MFT/ABC35</w:t>
                  </w:r>
                  <w:r>
                    <w:rPr>
                      <w:rFonts w:hint="eastAsia"/>
                      <w:lang w:eastAsia="zh-CN"/>
                    </w:rPr>
                    <w:t>，</w:t>
                  </w:r>
                  <w:r>
                    <w:rPr>
                      <w:rFonts w:hint="eastAsia"/>
                    </w:rPr>
                    <w:t>配箱体</w:t>
                  </w:r>
                </w:p>
              </w:tc>
            </w:tr>
            <w:tr w14:paraId="5055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l2br w:val="nil"/>
                    <w:tr2bl w:val="nil"/>
                  </w:tcBorders>
                  <w:vAlign w:val="center"/>
                </w:tcPr>
                <w:p w14:paraId="77D1F5D7">
                  <w:pPr>
                    <w:pStyle w:val="32"/>
                    <w:rPr>
                      <w:rFonts w:hint="eastAsia" w:eastAsia="宋体"/>
                      <w:lang w:val="en-US" w:eastAsia="zh-CN"/>
                    </w:rPr>
                  </w:pPr>
                  <w:r>
                    <w:rPr>
                      <w:rFonts w:hint="eastAsia"/>
                      <w:lang w:val="en-US" w:eastAsia="zh-CN"/>
                    </w:rPr>
                    <w:t>3</w:t>
                  </w:r>
                </w:p>
              </w:tc>
              <w:tc>
                <w:tcPr>
                  <w:tcW w:w="2775" w:type="dxa"/>
                  <w:tcBorders>
                    <w:tl2br w:val="nil"/>
                    <w:tr2bl w:val="nil"/>
                  </w:tcBorders>
                  <w:vAlign w:val="center"/>
                </w:tcPr>
                <w:p w14:paraId="3934C0A7">
                  <w:pPr>
                    <w:pStyle w:val="32"/>
                    <w:rPr>
                      <w:rFonts w:hint="eastAsia"/>
                    </w:rPr>
                  </w:pPr>
                  <w:r>
                    <w:rPr>
                      <w:rFonts w:hint="eastAsia"/>
                    </w:rPr>
                    <w:t>二氧化碳灭火器</w:t>
                  </w:r>
                </w:p>
              </w:tc>
              <w:tc>
                <w:tcPr>
                  <w:tcW w:w="1155" w:type="dxa"/>
                  <w:tcBorders>
                    <w:tl2br w:val="nil"/>
                    <w:tr2bl w:val="nil"/>
                  </w:tcBorders>
                  <w:vAlign w:val="center"/>
                </w:tcPr>
                <w:p w14:paraId="7F0D9DFA">
                  <w:pPr>
                    <w:pStyle w:val="32"/>
                    <w:rPr>
                      <w:rFonts w:hint="default"/>
                      <w:lang w:val="en-US" w:eastAsia="zh-CN"/>
                    </w:rPr>
                  </w:pPr>
                  <w:r>
                    <w:rPr>
                      <w:rFonts w:hint="eastAsia"/>
                      <w:lang w:val="en-US" w:eastAsia="zh-CN"/>
                    </w:rPr>
                    <w:t>2台</w:t>
                  </w:r>
                </w:p>
              </w:tc>
              <w:tc>
                <w:tcPr>
                  <w:tcW w:w="3919" w:type="dxa"/>
                  <w:tcBorders>
                    <w:tl2br w:val="nil"/>
                    <w:tr2bl w:val="nil"/>
                  </w:tcBorders>
                  <w:vAlign w:val="center"/>
                </w:tcPr>
                <w:p w14:paraId="6F41F97E">
                  <w:pPr>
                    <w:pStyle w:val="32"/>
                    <w:rPr>
                      <w:rFonts w:hint="eastAsia"/>
                    </w:rPr>
                  </w:pPr>
                  <w:r>
                    <w:rPr>
                      <w:rFonts w:hint="eastAsia"/>
                    </w:rPr>
                    <w:t>配箱体</w:t>
                  </w:r>
                </w:p>
              </w:tc>
            </w:tr>
            <w:tr w14:paraId="36A74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l2br w:val="nil"/>
                    <w:tr2bl w:val="nil"/>
                  </w:tcBorders>
                  <w:vAlign w:val="center"/>
                </w:tcPr>
                <w:p w14:paraId="790BBCE6">
                  <w:pPr>
                    <w:pStyle w:val="32"/>
                    <w:rPr>
                      <w:rFonts w:hint="eastAsia" w:eastAsia="宋体"/>
                      <w:lang w:val="en-US" w:eastAsia="zh-CN"/>
                    </w:rPr>
                  </w:pPr>
                  <w:r>
                    <w:rPr>
                      <w:rFonts w:hint="eastAsia"/>
                      <w:lang w:val="en-US" w:eastAsia="zh-CN"/>
                    </w:rPr>
                    <w:t>4</w:t>
                  </w:r>
                </w:p>
              </w:tc>
              <w:tc>
                <w:tcPr>
                  <w:tcW w:w="2775" w:type="dxa"/>
                  <w:tcBorders>
                    <w:tl2br w:val="nil"/>
                    <w:tr2bl w:val="nil"/>
                  </w:tcBorders>
                  <w:vAlign w:val="center"/>
                </w:tcPr>
                <w:p w14:paraId="08EA9736">
                  <w:pPr>
                    <w:pStyle w:val="32"/>
                    <w:rPr>
                      <w:rFonts w:hint="eastAsia" w:eastAsia="宋体"/>
                      <w:lang w:val="en-US" w:eastAsia="zh-CN"/>
                    </w:rPr>
                  </w:pPr>
                  <w:r>
                    <w:rPr>
                      <w:rFonts w:hint="eastAsia"/>
                    </w:rPr>
                    <w:t>灭火</w:t>
                  </w:r>
                  <w:r>
                    <w:rPr>
                      <w:rFonts w:hint="eastAsia"/>
                      <w:lang w:val="en-US" w:eastAsia="zh-CN"/>
                    </w:rPr>
                    <w:t>毯</w:t>
                  </w:r>
                </w:p>
              </w:tc>
              <w:tc>
                <w:tcPr>
                  <w:tcW w:w="1155" w:type="dxa"/>
                  <w:tcBorders>
                    <w:tl2br w:val="nil"/>
                    <w:tr2bl w:val="nil"/>
                  </w:tcBorders>
                  <w:vAlign w:val="center"/>
                </w:tcPr>
                <w:p w14:paraId="3DC1BEED">
                  <w:pPr>
                    <w:pStyle w:val="32"/>
                  </w:pPr>
                  <w:r>
                    <w:rPr>
                      <w:rFonts w:hint="eastAsia"/>
                    </w:rPr>
                    <w:t>5块</w:t>
                  </w:r>
                </w:p>
              </w:tc>
              <w:tc>
                <w:tcPr>
                  <w:tcW w:w="3919" w:type="dxa"/>
                  <w:tcBorders>
                    <w:tl2br w:val="nil"/>
                    <w:tr2bl w:val="nil"/>
                  </w:tcBorders>
                  <w:vAlign w:val="center"/>
                </w:tcPr>
                <w:p w14:paraId="6197F8B7">
                  <w:pPr>
                    <w:pStyle w:val="32"/>
                    <w:rPr>
                      <w:rFonts w:hint="eastAsia" w:eastAsia="宋体"/>
                      <w:lang w:val="en-US" w:eastAsia="zh-CN"/>
                    </w:rPr>
                  </w:pPr>
                  <w:r>
                    <w:rPr>
                      <w:rFonts w:hint="eastAsia"/>
                      <w:lang w:val="en-US" w:eastAsia="zh-CN"/>
                    </w:rPr>
                    <w:t>/</w:t>
                  </w:r>
                </w:p>
              </w:tc>
            </w:tr>
            <w:tr w14:paraId="06E4C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l2br w:val="nil"/>
                    <w:tr2bl w:val="nil"/>
                  </w:tcBorders>
                  <w:vAlign w:val="center"/>
                </w:tcPr>
                <w:p w14:paraId="168868A2">
                  <w:pPr>
                    <w:pStyle w:val="32"/>
                    <w:rPr>
                      <w:rFonts w:hint="eastAsia" w:eastAsia="宋体"/>
                      <w:lang w:val="en-US" w:eastAsia="zh-CN"/>
                    </w:rPr>
                  </w:pPr>
                  <w:r>
                    <w:rPr>
                      <w:rFonts w:hint="eastAsia"/>
                      <w:lang w:val="en-US" w:eastAsia="zh-CN"/>
                    </w:rPr>
                    <w:t>5</w:t>
                  </w:r>
                </w:p>
              </w:tc>
              <w:tc>
                <w:tcPr>
                  <w:tcW w:w="2775" w:type="dxa"/>
                  <w:tcBorders>
                    <w:tl2br w:val="nil"/>
                    <w:tr2bl w:val="nil"/>
                  </w:tcBorders>
                  <w:vAlign w:val="center"/>
                </w:tcPr>
                <w:p w14:paraId="49B31042">
                  <w:pPr>
                    <w:pStyle w:val="32"/>
                    <w:rPr>
                      <w:rFonts w:hint="eastAsia" w:eastAsia="宋体"/>
                      <w:lang w:val="en-US" w:eastAsia="zh-CN"/>
                    </w:rPr>
                  </w:pPr>
                  <w:r>
                    <w:rPr>
                      <w:rFonts w:hint="eastAsia"/>
                    </w:rPr>
                    <w:t>消防沙</w:t>
                  </w:r>
                  <w:r>
                    <w:rPr>
                      <w:rFonts w:hint="eastAsia"/>
                      <w:lang w:val="en-US" w:eastAsia="zh-CN"/>
                    </w:rPr>
                    <w:t>箱</w:t>
                  </w:r>
                </w:p>
              </w:tc>
              <w:tc>
                <w:tcPr>
                  <w:tcW w:w="1155" w:type="dxa"/>
                  <w:tcBorders>
                    <w:tl2br w:val="nil"/>
                    <w:tr2bl w:val="nil"/>
                  </w:tcBorders>
                  <w:vAlign w:val="center"/>
                </w:tcPr>
                <w:p w14:paraId="135E3923">
                  <w:pPr>
                    <w:pStyle w:val="32"/>
                    <w:rPr>
                      <w:rFonts w:hint="default" w:eastAsia="宋体"/>
                      <w:lang w:val="en-US" w:eastAsia="zh-CN"/>
                    </w:rPr>
                  </w:pPr>
                  <w:r>
                    <w:rPr>
                      <w:rFonts w:hint="eastAsia"/>
                    </w:rPr>
                    <w:t>2m</w:t>
                  </w:r>
                  <w:r>
                    <w:rPr>
                      <w:rFonts w:hint="eastAsia"/>
                      <w:vertAlign w:val="superscript"/>
                    </w:rPr>
                    <w:t>3</w:t>
                  </w:r>
                  <w:r>
                    <w:rPr>
                      <w:rFonts w:hint="eastAsia"/>
                      <w:vertAlign w:val="baseline"/>
                      <w:lang w:val="en-US" w:eastAsia="zh-CN"/>
                    </w:rPr>
                    <w:t>/1个</w:t>
                  </w:r>
                </w:p>
              </w:tc>
              <w:tc>
                <w:tcPr>
                  <w:tcW w:w="3919" w:type="dxa"/>
                  <w:tcBorders>
                    <w:tl2br w:val="nil"/>
                    <w:tr2bl w:val="nil"/>
                  </w:tcBorders>
                  <w:vAlign w:val="center"/>
                </w:tcPr>
                <w:p w14:paraId="7B0EF7D9">
                  <w:pPr>
                    <w:pStyle w:val="32"/>
                    <w:rPr>
                      <w:rFonts w:hint="default" w:eastAsia="宋体"/>
                      <w:lang w:val="en-US" w:eastAsia="zh-CN"/>
                    </w:rPr>
                  </w:pPr>
                  <w:r>
                    <w:rPr>
                      <w:rFonts w:hint="eastAsia"/>
                      <w:lang w:val="en-US" w:eastAsia="zh-CN"/>
                    </w:rPr>
                    <w:t>玻璃钢，消防斧、消防钩、消防锹置于消防工具架，配备消防桶</w:t>
                  </w:r>
                </w:p>
              </w:tc>
            </w:tr>
          </w:tbl>
          <w:p w14:paraId="79D1F178">
            <w:pPr>
              <w:ind w:firstLine="0" w:firstLineChars="0"/>
              <w:rPr>
                <w:b/>
                <w:color w:val="000000"/>
              </w:rPr>
            </w:pPr>
            <w:r>
              <w:rPr>
                <w:rFonts w:hint="eastAsia"/>
                <w:b/>
                <w:color w:val="000000"/>
              </w:rPr>
              <w:t>2.6</w:t>
            </w:r>
            <w:r>
              <w:rPr>
                <w:b/>
                <w:color w:val="000000"/>
              </w:rPr>
              <w:t>平面布置</w:t>
            </w:r>
          </w:p>
          <w:p w14:paraId="34FA391D">
            <w:pPr>
              <w:keepNext w:val="0"/>
              <w:keepLines w:val="0"/>
              <w:widowControl/>
              <w:suppressLineNumbers w:val="0"/>
              <w:jc w:val="left"/>
            </w:pPr>
            <w:r>
              <w:t>本项目平面布置严格执行</w:t>
            </w:r>
            <w:r>
              <w:rPr>
                <w:rFonts w:hint="eastAsia"/>
              </w:rPr>
              <w:t>《汽车加油加气加氢站技术标准》</w:t>
            </w:r>
            <w:r>
              <w:rPr>
                <w:rFonts w:hint="eastAsia"/>
                <w:lang w:eastAsia="zh-CN"/>
              </w:rPr>
              <w:t>（</w:t>
            </w:r>
            <w:r>
              <w:rPr>
                <w:rFonts w:hint="eastAsia"/>
              </w:rPr>
              <w:t>GB50156-2021</w:t>
            </w:r>
            <w:r>
              <w:rPr>
                <w:rFonts w:hint="eastAsia"/>
                <w:lang w:eastAsia="zh-CN"/>
              </w:rPr>
              <w:t>）、</w:t>
            </w:r>
            <w:r>
              <w:rPr>
                <w:rFonts w:hint="eastAsia"/>
              </w:rPr>
              <w:t>《建筑设计防火规范（2018年版）》</w:t>
            </w:r>
            <w:r>
              <w:rPr>
                <w:rFonts w:hint="eastAsia"/>
                <w:lang w:eastAsia="zh-CN"/>
              </w:rPr>
              <w:t>（</w:t>
            </w:r>
            <w:r>
              <w:rPr>
                <w:rFonts w:hint="eastAsia"/>
              </w:rPr>
              <w:t>GB50016-2014</w:t>
            </w:r>
            <w:r>
              <w:rPr>
                <w:rFonts w:hint="eastAsia"/>
                <w:lang w:eastAsia="zh-CN"/>
              </w:rPr>
              <w:t>）</w:t>
            </w:r>
            <w:r>
              <w:rPr>
                <w:rFonts w:hint="eastAsia"/>
              </w:rPr>
              <w:t>中规定的防火间距要求，站内区域功能分明，布置紧凑，节约用地。场站布置尽量做到简</w:t>
            </w:r>
            <w:r>
              <w:rPr>
                <w:rFonts w:hint="eastAsia"/>
                <w:lang w:val="en-US" w:eastAsia="zh-CN"/>
              </w:rPr>
              <w:t>洁</w:t>
            </w:r>
            <w:r>
              <w:rPr>
                <w:rFonts w:hint="eastAsia"/>
              </w:rPr>
              <w:t>、顺畅，能使车辆进出方便，并严格按照国家有关规范的规定，满足防火间距和消防通道的要求。加油加气站进、出口分开设计，加油加气站内道路最小转弯半径为12米，满足大型车及加油车辆的转弯半径要求。为了营造一个优美舒适的环境，站内尽可能多地进行绿化建设，装置区不应种植含油量⾼或易分泌油脂的树种，选择含水量较多的树木，站内不能种植能形成树冠的乔木，以免影响泄漏气体的扩散。站区用地形状为矩形，面向东侧园区道路设置为进出口侧。加油加气区布置于站区中央，主要为加油机、加油岛四周设置高0.6m的防撞柱；工艺区布置于站区南侧，主要为油品储存设备等。</w:t>
            </w:r>
            <w:r>
              <w:t>详见</w:t>
            </w:r>
            <w:r>
              <w:rPr>
                <w:rFonts w:hint="eastAsia"/>
              </w:rPr>
              <w:t>附</w:t>
            </w:r>
            <w:r>
              <w:t>图</w:t>
            </w:r>
            <w:r>
              <w:rPr>
                <w:rFonts w:hint="eastAsia"/>
                <w:lang w:val="en-US" w:eastAsia="zh-CN"/>
              </w:rPr>
              <w:t>2</w:t>
            </w:r>
            <w:r>
              <w:t>《</w:t>
            </w:r>
            <w:r>
              <w:rPr>
                <w:rFonts w:hint="eastAsia"/>
                <w:lang w:val="en-US" w:eastAsia="zh-CN"/>
              </w:rPr>
              <w:t>项目区</w:t>
            </w:r>
            <w:r>
              <w:t>平面布置图》。</w:t>
            </w:r>
          </w:p>
          <w:p w14:paraId="03EBEBFF">
            <w:pPr>
              <w:keepLines/>
              <w:adjustRightInd w:val="0"/>
              <w:ind w:firstLine="0" w:firstLineChars="0"/>
              <w:textAlignment w:val="baseline"/>
              <w:outlineLvl w:val="1"/>
              <w:rPr>
                <w:rFonts w:ascii="宋体" w:hAnsi="宋体"/>
                <w:b/>
              </w:rPr>
            </w:pPr>
            <w:r>
              <w:rPr>
                <w:rFonts w:hint="default" w:ascii="Times New Roman" w:hAnsi="Times New Roman" w:cs="Times New Roman"/>
                <w:b/>
              </w:rPr>
              <w:t>2.</w:t>
            </w:r>
            <w:r>
              <w:rPr>
                <w:rFonts w:hint="default" w:ascii="Times New Roman" w:hAnsi="Times New Roman" w:cs="Times New Roman"/>
                <w:b/>
                <w:lang w:val="en-US" w:eastAsia="zh-CN"/>
              </w:rPr>
              <w:t>7</w:t>
            </w:r>
            <w:r>
              <w:rPr>
                <w:rFonts w:hint="default" w:ascii="Times New Roman" w:hAnsi="Times New Roman" w:cs="Times New Roman"/>
                <w:b/>
              </w:rPr>
              <w:t>劳动</w:t>
            </w:r>
            <w:r>
              <w:rPr>
                <w:rFonts w:ascii="宋体" w:hAnsi="宋体"/>
                <w:b/>
              </w:rPr>
              <w:t>定员与工作制度</w:t>
            </w:r>
          </w:p>
          <w:p w14:paraId="104EE269">
            <w:pPr>
              <w:adjustRightInd w:val="0"/>
              <w:snapToGrid w:val="0"/>
              <w:ind w:firstLine="480"/>
            </w:pPr>
            <w:r>
              <w:rPr>
                <w:rFonts w:cs="Times New Roman"/>
                <w:szCs w:val="24"/>
              </w:rPr>
              <w:t>本项目劳动定员为</w:t>
            </w:r>
            <w:r>
              <w:rPr>
                <w:rFonts w:hint="eastAsia" w:cs="Times New Roman"/>
                <w:szCs w:val="24"/>
                <w:lang w:val="en-US" w:eastAsia="zh-CN"/>
              </w:rPr>
              <w:t>12</w:t>
            </w:r>
            <w:r>
              <w:rPr>
                <w:rFonts w:cs="Times New Roman"/>
                <w:szCs w:val="24"/>
              </w:rPr>
              <w:t>人，主要包括生产工人、管理人员。年工作日为365天，员工</w:t>
            </w:r>
            <w:r>
              <w:rPr>
                <w:rFonts w:hint="eastAsia" w:cs="Times New Roman"/>
                <w:szCs w:val="24"/>
              </w:rPr>
              <w:t>实行三班工作制，每班8小时</w:t>
            </w:r>
            <w:r>
              <w:rPr>
                <w:rFonts w:cs="Times New Roman"/>
                <w:szCs w:val="24"/>
              </w:rPr>
              <w:t>。</w:t>
            </w:r>
          </w:p>
        </w:tc>
      </w:tr>
      <w:tr w14:paraId="0E357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59" w:type="dxa"/>
            <w:vAlign w:val="center"/>
          </w:tcPr>
          <w:p w14:paraId="10C7AA78">
            <w:pPr>
              <w:pStyle w:val="16"/>
              <w:adjustRightInd w:val="0"/>
              <w:snapToGrid w:val="0"/>
              <w:spacing w:before="0" w:beforeAutospacing="0" w:after="0" w:afterAutospacing="0"/>
              <w:ind w:firstLine="0" w:firstLineChars="0"/>
              <w:jc w:val="both"/>
              <w:rPr>
                <w:rFonts w:cs="宋体"/>
                <w:sz w:val="21"/>
                <w:szCs w:val="21"/>
              </w:rPr>
            </w:pPr>
          </w:p>
          <w:p w14:paraId="4AECC41A">
            <w:pPr>
              <w:pStyle w:val="16"/>
              <w:adjustRightInd w:val="0"/>
              <w:snapToGrid w:val="0"/>
              <w:spacing w:before="0" w:beforeAutospacing="0" w:after="0" w:afterAutospacing="0"/>
              <w:ind w:firstLine="0" w:firstLineChars="0"/>
              <w:jc w:val="both"/>
              <w:rPr>
                <w:rFonts w:cs="宋体"/>
                <w:sz w:val="21"/>
                <w:szCs w:val="21"/>
              </w:rPr>
            </w:pPr>
          </w:p>
          <w:p w14:paraId="58DE7A3C">
            <w:pPr>
              <w:pStyle w:val="16"/>
              <w:adjustRightInd w:val="0"/>
              <w:snapToGrid w:val="0"/>
              <w:spacing w:before="0" w:beforeAutospacing="0" w:after="0" w:afterAutospacing="0"/>
              <w:ind w:firstLine="0" w:firstLineChars="0"/>
              <w:jc w:val="both"/>
              <w:rPr>
                <w:rFonts w:cs="宋体"/>
                <w:sz w:val="21"/>
                <w:szCs w:val="21"/>
              </w:rPr>
            </w:pPr>
          </w:p>
          <w:p w14:paraId="53A5D8EB">
            <w:pPr>
              <w:pStyle w:val="16"/>
              <w:adjustRightInd w:val="0"/>
              <w:snapToGrid w:val="0"/>
              <w:spacing w:before="0" w:beforeAutospacing="0" w:after="0" w:afterAutospacing="0"/>
              <w:ind w:firstLine="0" w:firstLineChars="0"/>
              <w:jc w:val="both"/>
              <w:rPr>
                <w:rFonts w:cs="宋体"/>
                <w:sz w:val="21"/>
                <w:szCs w:val="21"/>
              </w:rPr>
            </w:pPr>
          </w:p>
          <w:p w14:paraId="1D89735E">
            <w:pPr>
              <w:pStyle w:val="16"/>
              <w:adjustRightInd w:val="0"/>
              <w:snapToGrid w:val="0"/>
              <w:spacing w:before="0" w:beforeAutospacing="0" w:after="0" w:afterAutospacing="0"/>
              <w:ind w:firstLine="0" w:firstLineChars="0"/>
              <w:jc w:val="both"/>
              <w:rPr>
                <w:rFonts w:cs="宋体"/>
                <w:sz w:val="21"/>
                <w:szCs w:val="21"/>
              </w:rPr>
            </w:pPr>
            <w:r>
              <w:rPr>
                <w:rFonts w:hint="eastAsia" w:cs="宋体"/>
                <w:sz w:val="21"/>
                <w:szCs w:val="21"/>
              </w:rPr>
              <w:t>工艺流程和产排污环节</w:t>
            </w:r>
          </w:p>
        </w:tc>
        <w:tc>
          <w:tcPr>
            <w:tcW w:w="8787" w:type="dxa"/>
          </w:tcPr>
          <w:p w14:paraId="5168F0B0">
            <w:pPr>
              <w:ind w:firstLine="0" w:firstLineChars="0"/>
              <w:rPr>
                <w:b/>
              </w:rPr>
            </w:pPr>
            <w:bookmarkStart w:id="4" w:name="_Toc467379360"/>
            <w:bookmarkStart w:id="5" w:name="_Toc29722412"/>
            <w:bookmarkStart w:id="6" w:name="_Toc467057553"/>
            <w:r>
              <w:rPr>
                <w:rFonts w:hint="eastAsia"/>
                <w:b/>
              </w:rPr>
              <w:t>2.</w:t>
            </w:r>
            <w:r>
              <w:rPr>
                <w:rFonts w:hint="eastAsia"/>
                <w:b/>
                <w:lang w:val="en-US" w:eastAsia="zh-CN"/>
              </w:rPr>
              <w:t>8</w:t>
            </w:r>
            <w:r>
              <w:rPr>
                <w:b/>
              </w:rPr>
              <w:t>施工期工艺流程及产污环节：</w:t>
            </w:r>
          </w:p>
          <w:p w14:paraId="38CCA322">
            <w:pPr>
              <w:ind w:left="0" w:leftChars="0" w:firstLine="0" w:firstLineChars="0"/>
              <w:jc w:val="center"/>
            </w:pPr>
            <w:r>
              <w:rPr>
                <w:rFonts w:ascii="Calibri" w:hAnsi="Calibri" w:cs="Times New Roman"/>
                <w:sz w:val="21"/>
                <w:szCs w:val="24"/>
              </w:rPr>
              <w:drawing>
                <wp:inline distT="0" distB="0" distL="0" distR="0">
                  <wp:extent cx="5429885" cy="1647190"/>
                  <wp:effectExtent l="9525" t="9525" r="27940" b="196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29885" cy="1647190"/>
                          </a:xfrm>
                          <a:prstGeom prst="rect">
                            <a:avLst/>
                          </a:prstGeom>
                          <a:noFill/>
                          <a:ln>
                            <a:solidFill>
                              <a:schemeClr val="tx1"/>
                            </a:solidFill>
                          </a:ln>
                        </pic:spPr>
                      </pic:pic>
                    </a:graphicData>
                  </a:graphic>
                </wp:inline>
              </w:drawing>
            </w:r>
          </w:p>
          <w:p w14:paraId="72BFF224">
            <w:pPr>
              <w:pStyle w:val="28"/>
              <w:spacing w:before="120"/>
              <w:ind w:firstLine="422"/>
            </w:pPr>
            <w:r>
              <w:t>图</w:t>
            </w:r>
            <w:r>
              <w:rPr>
                <w:rFonts w:hint="eastAsia"/>
                <w:lang w:val="en-US" w:eastAsia="zh-CN"/>
              </w:rPr>
              <w:t xml:space="preserve">2-1 </w:t>
            </w:r>
            <w:r>
              <w:t xml:space="preserve"> 施工期工艺流程及产污环节图</w:t>
            </w:r>
          </w:p>
          <w:bookmarkEnd w:id="4"/>
          <w:bookmarkEnd w:id="5"/>
          <w:bookmarkEnd w:id="6"/>
          <w:p w14:paraId="67D3D5CC">
            <w:pPr>
              <w:widowControl/>
              <w:snapToGrid w:val="0"/>
              <w:ind w:firstLine="0" w:firstLineChars="0"/>
              <w:rPr>
                <w:b/>
              </w:rPr>
            </w:pPr>
            <w:bookmarkStart w:id="7" w:name="_Toc390871111"/>
            <w:r>
              <w:rPr>
                <w:rFonts w:hint="eastAsia"/>
                <w:b/>
              </w:rPr>
              <w:t>2.</w:t>
            </w:r>
            <w:r>
              <w:rPr>
                <w:rFonts w:hint="eastAsia"/>
                <w:b/>
                <w:lang w:val="en-US" w:eastAsia="zh-CN"/>
              </w:rPr>
              <w:t>9</w:t>
            </w:r>
            <w:r>
              <w:rPr>
                <w:b/>
              </w:rPr>
              <w:t>运营期工艺流程及产污环节：</w:t>
            </w:r>
          </w:p>
          <w:p w14:paraId="4E6CBF09">
            <w:pPr>
              <w:widowControl/>
              <w:snapToGrid w:val="0"/>
              <w:ind w:firstLine="480"/>
              <w:rPr>
                <w:rFonts w:hint="default" w:eastAsia="宋体"/>
                <w:b/>
                <w:bCs/>
                <w:lang w:val="en-US" w:eastAsia="zh-CN"/>
              </w:rPr>
            </w:pPr>
            <w:r>
              <w:rPr>
                <w:rFonts w:hint="eastAsia"/>
                <w:b/>
                <w:bCs/>
                <w:lang w:val="en-US" w:eastAsia="zh-CN"/>
              </w:rPr>
              <w:t>1.汽油加油工艺流程</w:t>
            </w:r>
          </w:p>
          <w:p w14:paraId="3FF1EE57">
            <w:pPr>
              <w:pStyle w:val="2"/>
              <w:ind w:left="0" w:leftChars="0" w:firstLine="0" w:firstLineChars="0"/>
              <w:rPr>
                <w:rFonts w:hint="eastAsia"/>
              </w:rPr>
            </w:pPr>
            <w:r>
              <w:drawing>
                <wp:inline distT="0" distB="0" distL="114300" distR="114300">
                  <wp:extent cx="5441950" cy="1734185"/>
                  <wp:effectExtent l="0" t="0" r="6350" b="1841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pic:cNvPicPr>
                        </pic:nvPicPr>
                        <pic:blipFill>
                          <a:blip r:embed="rId11"/>
                          <a:stretch>
                            <a:fillRect/>
                          </a:stretch>
                        </pic:blipFill>
                        <pic:spPr>
                          <a:xfrm>
                            <a:off x="0" y="0"/>
                            <a:ext cx="5441950" cy="1734185"/>
                          </a:xfrm>
                          <a:prstGeom prst="rect">
                            <a:avLst/>
                          </a:prstGeom>
                          <a:noFill/>
                          <a:ln>
                            <a:noFill/>
                          </a:ln>
                        </pic:spPr>
                      </pic:pic>
                    </a:graphicData>
                  </a:graphic>
                </wp:inline>
              </w:drawing>
            </w:r>
          </w:p>
          <w:p w14:paraId="562157CF">
            <w:pPr>
              <w:ind w:left="0" w:leftChars="0" w:firstLine="0" w:firstLineChars="0"/>
              <w:jc w:val="center"/>
              <w:rPr>
                <w:rFonts w:hint="eastAsia" w:eastAsia="宋体"/>
                <w:lang w:val="en-US" w:eastAsia="zh-CN"/>
              </w:rPr>
            </w:pPr>
            <w:r>
              <w:rPr>
                <w:rFonts w:hint="eastAsia" w:ascii="Times New Roman" w:hAnsi="Times New Roman" w:eastAsia="宋体" w:cs="Times New Roman"/>
                <w:b/>
                <w:snapToGrid w:val="0"/>
                <w:sz w:val="21"/>
                <w:szCs w:val="22"/>
                <w:lang w:val="en-US" w:eastAsia="zh-CN" w:bidi="ar-SA"/>
              </w:rPr>
              <w:t>图2</w:t>
            </w:r>
            <w:r>
              <w:rPr>
                <w:rFonts w:hint="eastAsia" w:cs="Times New Roman"/>
                <w:b/>
                <w:snapToGrid w:val="0"/>
                <w:sz w:val="21"/>
                <w:szCs w:val="22"/>
                <w:lang w:val="en-US" w:eastAsia="zh-CN" w:bidi="ar-SA"/>
              </w:rPr>
              <w:t>-</w:t>
            </w:r>
            <w:r>
              <w:rPr>
                <w:rFonts w:hint="eastAsia" w:ascii="Times New Roman" w:hAnsi="Times New Roman" w:eastAsia="宋体" w:cs="Times New Roman"/>
                <w:b/>
                <w:snapToGrid w:val="0"/>
                <w:sz w:val="21"/>
                <w:szCs w:val="22"/>
                <w:lang w:val="en-US" w:eastAsia="zh-CN" w:bidi="ar-SA"/>
              </w:rPr>
              <w:t>2  汽油加油工艺流程图</w:t>
            </w:r>
          </w:p>
          <w:p w14:paraId="165E060A">
            <w:pPr>
              <w:widowControl/>
              <w:snapToGrid w:val="0"/>
              <w:ind w:firstLine="480"/>
              <w:rPr>
                <w:rFonts w:hint="eastAsia"/>
              </w:rPr>
            </w:pPr>
            <w:r>
              <w:rPr>
                <w:rFonts w:hint="eastAsia"/>
              </w:rPr>
              <w:t>（1）卸油工艺流程</w:t>
            </w:r>
          </w:p>
          <w:p w14:paraId="7CE1365C">
            <w:pPr>
              <w:widowControl/>
              <w:snapToGrid w:val="0"/>
              <w:ind w:firstLine="480"/>
              <w:rPr>
                <w:rFonts w:hint="eastAsia"/>
              </w:rPr>
            </w:pPr>
            <w:r>
              <w:rPr>
                <w:rFonts w:hint="eastAsia"/>
              </w:rPr>
              <w:t>汽油罐车排气管安装防火罩进入卸油现场，停靠到卸车位置后油罐车熄火，</w:t>
            </w:r>
          </w:p>
          <w:p w14:paraId="47C871CD">
            <w:pPr>
              <w:widowControl/>
              <w:snapToGrid w:val="0"/>
              <w:ind w:firstLine="480"/>
              <w:rPr>
                <w:rFonts w:hint="eastAsia"/>
              </w:rPr>
            </w:pPr>
            <w:r>
              <w:rPr>
                <w:rFonts w:hint="eastAsia"/>
              </w:rPr>
              <w:t>车辆停稳后，垫好三角木，挂上警示牌，卸油区域设置警戒线（桩），并将防静电接地夹夹在防静电接地处，静置5分钟后，用带快速接头的卸油软管与地下油罐连通，同时将油气回收管道与油罐车连接，管线连接后开阀自流卸油。初始流速控制在1m/s以内，卸油时流速应不大于3m/s，卸油完毕关阀、静置5分钟后，脱开快速接头及静电接地夹。</w:t>
            </w:r>
          </w:p>
          <w:p w14:paraId="2D2361D6">
            <w:pPr>
              <w:widowControl/>
              <w:snapToGrid w:val="0"/>
              <w:ind w:firstLine="480"/>
              <w:rPr>
                <w:rFonts w:hint="eastAsia"/>
              </w:rPr>
            </w:pPr>
            <w:r>
              <w:rPr>
                <w:rFonts w:hint="eastAsia"/>
              </w:rPr>
              <w:t>（2）加油工艺流程</w:t>
            </w:r>
          </w:p>
          <w:p w14:paraId="56377477">
            <w:pPr>
              <w:widowControl/>
              <w:snapToGrid w:val="0"/>
              <w:ind w:firstLine="480"/>
              <w:rPr>
                <w:rFonts w:hint="eastAsia"/>
              </w:rPr>
            </w:pPr>
            <w:r>
              <w:rPr>
                <w:rFonts w:hint="eastAsia"/>
              </w:rPr>
              <w:t>加油车辆停靠在加油位置后，关闭发动机和所有车上灯光。加油员询问车辆所需油品及数量，加油工摘下加油枪将加油枪与车辆油箱加油口正确连接，提起油枪，开关信号送入电脑装置，电脑装置处理后启动加油机同时启动加油泵对汽车加油，同时，油气回收抽气泵工作（汽油加油机加油时产生的油气通过加油枪口的油气回收管进入卸油回收主管道，将在加油过程中挥发的油气收集到汽油油罐内，待卸油时运回储油库进行油气回收处理），在加油过程中，应</w:t>
            </w:r>
            <w:r>
              <w:rPr>
                <w:rFonts w:hint="eastAsia"/>
                <w:lang w:val="en-US" w:eastAsia="zh-CN"/>
              </w:rPr>
              <w:t>观察</w:t>
            </w:r>
            <w:r>
              <w:rPr>
                <w:rFonts w:hint="eastAsia"/>
              </w:rPr>
              <w:t>加油系统运行情况，防止发生泄漏。加油完毕，在确保加油泵停机的情况下，取下加油枪放回加油机，同时，油气回收抽气泵停止工作</w:t>
            </w:r>
            <w:r>
              <w:rPr>
                <w:rFonts w:hint="eastAsia"/>
                <w:lang w:eastAsia="zh-CN"/>
              </w:rPr>
              <w:t>，</w:t>
            </w:r>
            <w:r>
              <w:rPr>
                <w:rFonts w:hint="eastAsia"/>
              </w:rPr>
              <w:t>加油过程结束。</w:t>
            </w:r>
          </w:p>
          <w:p w14:paraId="1816276B">
            <w:pPr>
              <w:widowControl/>
              <w:snapToGrid w:val="0"/>
              <w:ind w:firstLine="480"/>
              <w:rPr>
                <w:rFonts w:hint="eastAsia"/>
              </w:rPr>
            </w:pPr>
            <w:r>
              <w:rPr>
                <w:rFonts w:hint="eastAsia"/>
              </w:rPr>
              <w:t>（3）油气回收系统</w:t>
            </w:r>
          </w:p>
          <w:p w14:paraId="7B5CBCF4">
            <w:pPr>
              <w:widowControl/>
              <w:snapToGrid w:val="0"/>
              <w:ind w:firstLine="480"/>
            </w:pPr>
            <w:r>
              <w:rPr>
                <w:rFonts w:hint="eastAsia"/>
              </w:rPr>
              <w:t>汽油油气回收是节能环保型的高新技术，运用油气回收技术回收油品在储运、装卸过程中排放的油气，防止油气挥发造成的大气污染，消除安全隐患。</w:t>
            </w:r>
          </w:p>
          <w:p w14:paraId="2966C322">
            <w:pPr>
              <w:widowControl/>
              <w:snapToGrid w:val="0"/>
              <w:ind w:firstLine="480"/>
              <w:rPr>
                <w:rFonts w:hint="eastAsia"/>
              </w:rPr>
            </w:pPr>
            <w:r>
              <w:rPr>
                <w:rFonts w:hint="eastAsia"/>
              </w:rPr>
              <w:t>1）汽油卸油油气回收</w:t>
            </w:r>
          </w:p>
          <w:p w14:paraId="23261C45">
            <w:pPr>
              <w:widowControl/>
              <w:snapToGrid w:val="0"/>
              <w:ind w:firstLine="480"/>
              <w:rPr>
                <w:rFonts w:hint="eastAsia"/>
              </w:rPr>
            </w:pPr>
            <w:r>
              <w:rPr>
                <w:rFonts w:hint="eastAsia"/>
              </w:rPr>
              <w:t>汽油卸油油气回收阶段是通过压力平衡原理，将汽油在卸油过程中挥发的油气收集到油罐车内，运回储油库进行油气回收处理的过程。在卸油时关闭汽油油气通气管道阀门，连接卸油油气回收管道，在汽油进入油罐的同时罐内回收的油气通过油气回收管道输送至油罐车。待卸油结束，地下油罐与油罐车内压力达到平衡状态，汽油卸油油气回收阶段结束。</w:t>
            </w:r>
          </w:p>
          <w:p w14:paraId="591C41B9">
            <w:pPr>
              <w:widowControl/>
              <w:snapToGrid w:val="0"/>
              <w:ind w:firstLine="480"/>
              <w:rPr>
                <w:rFonts w:hint="eastAsia"/>
              </w:rPr>
            </w:pPr>
            <w:r>
              <w:rPr>
                <w:rFonts w:hint="eastAsia"/>
              </w:rPr>
              <w:t>2）汽油加油油气回收</w:t>
            </w:r>
          </w:p>
          <w:p w14:paraId="4CCE4772">
            <w:pPr>
              <w:widowControl/>
              <w:snapToGrid w:val="0"/>
              <w:ind w:firstLine="480"/>
            </w:pPr>
            <w:r>
              <w:rPr>
                <w:rFonts w:hint="eastAsia"/>
              </w:rPr>
              <w:t>汽油加油油气回收阶段是采用真空辅助式油气回收设备，将汽油在加油过程中挥发的油气通过地下油气回收管线收集到地下油罐内的油气回收过程。预留三次回收。该阶段油气回收实现过程：在加油站为汽车加油过程中，通过真空泵产生一定真空度，经过加油枪、油气回收管、真空泵等油气回收设备，按照气液比控制在1.0至1.2之间的要求，将加油过程中挥发的油气回收到油罐内。加油油气回收至92#汽油油罐。停止加油时，油泵信号中断，真空泵关闭，汽油加油油气回收阶段结束。</w:t>
            </w:r>
          </w:p>
          <w:p w14:paraId="2ED4D097">
            <w:pPr>
              <w:widowControl/>
              <w:snapToGrid w:val="0"/>
              <w:ind w:firstLine="480"/>
              <w:rPr>
                <w:rFonts w:hint="default" w:eastAsia="宋体"/>
                <w:b/>
                <w:bCs/>
                <w:lang w:val="en-US" w:eastAsia="zh-CN"/>
              </w:rPr>
            </w:pPr>
            <w:r>
              <w:rPr>
                <w:rFonts w:hint="eastAsia"/>
                <w:b/>
                <w:bCs/>
                <w:lang w:val="en-US" w:eastAsia="zh-CN"/>
              </w:rPr>
              <w:t>2.柴油加油工艺流程</w:t>
            </w:r>
          </w:p>
          <w:p w14:paraId="55EC5179">
            <w:pPr>
              <w:widowControl/>
              <w:snapToGrid w:val="0"/>
              <w:ind w:left="0" w:leftChars="0" w:firstLine="0" w:firstLineChars="0"/>
              <w:jc w:val="center"/>
              <w:rPr>
                <w:rFonts w:hint="eastAsia"/>
              </w:rPr>
            </w:pPr>
            <w:r>
              <w:drawing>
                <wp:inline distT="0" distB="0" distL="114300" distR="114300">
                  <wp:extent cx="5281295" cy="812800"/>
                  <wp:effectExtent l="0" t="0" r="14605" b="6350"/>
                  <wp:docPr id="9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4"/>
                          <pic:cNvPicPr>
                            <a:picLocks noChangeAspect="1"/>
                          </pic:cNvPicPr>
                        </pic:nvPicPr>
                        <pic:blipFill>
                          <a:blip r:embed="rId12"/>
                          <a:stretch>
                            <a:fillRect/>
                          </a:stretch>
                        </pic:blipFill>
                        <pic:spPr>
                          <a:xfrm>
                            <a:off x="0" y="0"/>
                            <a:ext cx="5281295" cy="812800"/>
                          </a:xfrm>
                          <a:prstGeom prst="rect">
                            <a:avLst/>
                          </a:prstGeom>
                          <a:noFill/>
                          <a:ln>
                            <a:noFill/>
                          </a:ln>
                        </pic:spPr>
                      </pic:pic>
                    </a:graphicData>
                  </a:graphic>
                </wp:inline>
              </w:drawing>
            </w:r>
          </w:p>
          <w:p w14:paraId="452B34D8">
            <w:pPr>
              <w:widowControl/>
              <w:snapToGrid w:val="0"/>
              <w:ind w:left="0" w:leftChars="0" w:firstLine="0" w:firstLineChars="0"/>
              <w:jc w:val="center"/>
              <w:rPr>
                <w:rFonts w:hint="eastAsia"/>
              </w:rPr>
            </w:pPr>
            <w:r>
              <w:rPr>
                <w:rFonts w:hint="eastAsia" w:ascii="Times New Roman" w:hAnsi="Times New Roman" w:eastAsia="宋体" w:cs="Times New Roman"/>
                <w:b/>
                <w:snapToGrid w:val="0"/>
                <w:sz w:val="21"/>
                <w:szCs w:val="22"/>
                <w:lang w:val="en-US" w:eastAsia="zh-CN" w:bidi="ar-SA"/>
              </w:rPr>
              <w:t>图2</w:t>
            </w:r>
            <w:r>
              <w:rPr>
                <w:rFonts w:hint="eastAsia" w:cs="Times New Roman"/>
                <w:b/>
                <w:snapToGrid w:val="0"/>
                <w:sz w:val="21"/>
                <w:szCs w:val="22"/>
                <w:lang w:val="en-US" w:eastAsia="zh-CN" w:bidi="ar-SA"/>
              </w:rPr>
              <w:t>-3</w:t>
            </w:r>
            <w:r>
              <w:rPr>
                <w:rFonts w:hint="eastAsia" w:ascii="Times New Roman" w:hAnsi="Times New Roman" w:eastAsia="宋体" w:cs="Times New Roman"/>
                <w:b/>
                <w:snapToGrid w:val="0"/>
                <w:sz w:val="21"/>
                <w:szCs w:val="22"/>
                <w:lang w:val="en-US" w:eastAsia="zh-CN" w:bidi="ar-SA"/>
              </w:rPr>
              <w:t xml:space="preserve">  </w:t>
            </w:r>
            <w:r>
              <w:rPr>
                <w:rFonts w:hint="eastAsia" w:cs="Times New Roman"/>
                <w:b/>
                <w:snapToGrid w:val="0"/>
                <w:sz w:val="21"/>
                <w:szCs w:val="22"/>
                <w:lang w:val="en-US" w:eastAsia="zh-CN" w:bidi="ar-SA"/>
              </w:rPr>
              <w:t>柴</w:t>
            </w:r>
            <w:r>
              <w:rPr>
                <w:rFonts w:hint="eastAsia" w:ascii="Times New Roman" w:hAnsi="Times New Roman" w:eastAsia="宋体" w:cs="Times New Roman"/>
                <w:b/>
                <w:snapToGrid w:val="0"/>
                <w:sz w:val="21"/>
                <w:szCs w:val="22"/>
                <w:lang w:val="en-US" w:eastAsia="zh-CN" w:bidi="ar-SA"/>
              </w:rPr>
              <w:t>油加油工艺流程图</w:t>
            </w:r>
          </w:p>
          <w:p w14:paraId="70A21135">
            <w:pPr>
              <w:widowControl/>
              <w:snapToGrid w:val="0"/>
              <w:ind w:firstLine="480"/>
            </w:pPr>
            <w:r>
              <w:rPr>
                <w:rFonts w:hint="eastAsia"/>
              </w:rPr>
              <w:t>（1）卸油工艺流程</w:t>
            </w:r>
          </w:p>
          <w:p w14:paraId="40707931">
            <w:pPr>
              <w:widowControl/>
              <w:snapToGrid w:val="0"/>
              <w:ind w:firstLine="480"/>
              <w:rPr>
                <w:rFonts w:hint="eastAsia"/>
              </w:rPr>
            </w:pPr>
            <w:r>
              <w:rPr>
                <w:rFonts w:hint="eastAsia"/>
              </w:rPr>
              <w:t>柴油罐车排气管安装防火罩进入卸油现场，停靠到卸车位置后油罐车熄火，卸车操作人员连接好静电接地线并静</w:t>
            </w:r>
            <w:r>
              <w:rPr>
                <w:rFonts w:hint="eastAsia"/>
                <w:lang w:val="en-US" w:eastAsia="zh-CN"/>
              </w:rPr>
              <w:t>置</w:t>
            </w:r>
            <w:r>
              <w:rPr>
                <w:rFonts w:hint="eastAsia"/>
              </w:rPr>
              <w:t>5min。核对罐车及油品、牌号，检查无误确认具备条件后，罐车卸油管与对应储油罐管口快速接头连接，然后打开汽车罐车底部阀门，油品卸入油罐内，卸车结束后，关闭各阀门，罐车静</w:t>
            </w:r>
            <w:r>
              <w:rPr>
                <w:rFonts w:hint="eastAsia"/>
                <w:lang w:val="en-US" w:eastAsia="zh-CN"/>
              </w:rPr>
              <w:t>置</w:t>
            </w:r>
            <w:r>
              <w:rPr>
                <w:rFonts w:hint="eastAsia"/>
              </w:rPr>
              <w:t>5min后，拆下静电接地线及软管离站。</w:t>
            </w:r>
          </w:p>
          <w:p w14:paraId="13A7DE4D">
            <w:pPr>
              <w:widowControl/>
              <w:snapToGrid w:val="0"/>
              <w:ind w:firstLine="480"/>
              <w:rPr>
                <w:rFonts w:hint="eastAsia"/>
              </w:rPr>
            </w:pPr>
            <w:r>
              <w:rPr>
                <w:rFonts w:hint="eastAsia"/>
              </w:rPr>
              <w:t>（2）加油工艺流程</w:t>
            </w:r>
          </w:p>
          <w:p w14:paraId="0E143295">
            <w:pPr>
              <w:widowControl/>
              <w:snapToGrid w:val="0"/>
              <w:ind w:firstLine="480"/>
            </w:pPr>
            <w:r>
              <w:rPr>
                <w:rFonts w:hint="eastAsia"/>
              </w:rPr>
              <w:t>加油车辆停靠在加油位置后，关闭发动机和所有车上灯光。加油工摘下加油枪将加油枪与车辆油箱加油口正确连接，提起油枪，开关信号送入电脑装置，电脑装置处理后启动加油机同时启动加油泵对汽车加油，在加油过程中，</w:t>
            </w:r>
            <w:r>
              <w:rPr>
                <w:rFonts w:hint="eastAsia"/>
                <w:lang w:val="en-US" w:eastAsia="zh-CN"/>
              </w:rPr>
              <w:t>观察</w:t>
            </w:r>
            <w:r>
              <w:rPr>
                <w:rFonts w:hint="eastAsia"/>
              </w:rPr>
              <w:t>加油系统运行情况，防止发生泄漏。加油完毕后，确认加油泵已停机的情况下，取下加油枪放回加油机。</w:t>
            </w:r>
          </w:p>
          <w:bookmarkEnd w:id="7"/>
          <w:p w14:paraId="3A07B173">
            <w:pPr>
              <w:ind w:firstLine="482" w:firstLineChars="200"/>
              <w:rPr>
                <w:b/>
                <w:bCs/>
              </w:rPr>
            </w:pPr>
            <w:r>
              <w:rPr>
                <w:rFonts w:hint="eastAsia"/>
                <w:b/>
                <w:bCs/>
                <w:lang w:val="en-US" w:eastAsia="zh-CN"/>
              </w:rPr>
              <w:t>3.</w:t>
            </w:r>
            <w:r>
              <w:rPr>
                <w:b/>
                <w:bCs/>
              </w:rPr>
              <w:t>本项目储罐为双层储油罐，双层罐简介</w:t>
            </w:r>
          </w:p>
          <w:p w14:paraId="5351F41F">
            <w:pPr>
              <w:ind w:firstLine="480"/>
            </w:pPr>
            <w:r>
              <w:t>（1）基本信息</w:t>
            </w:r>
          </w:p>
          <w:p w14:paraId="554F522C">
            <w:pPr>
              <w:ind w:firstLine="470" w:firstLineChars="196"/>
            </w:pPr>
            <w:r>
              <w:t>SF全名为钢制强化玻璃纤维制双层油罐，是在单层钢制油罐外附加一层玻璃纤维增强塑料</w:t>
            </w:r>
            <w:r>
              <w:rPr>
                <w:rFonts w:hint="eastAsia"/>
                <w:lang w:eastAsia="zh-CN"/>
              </w:rPr>
              <w:t>（</w:t>
            </w:r>
            <w:r>
              <w:t>即玻璃钢</w:t>
            </w:r>
            <w:r>
              <w:rPr>
                <w:rFonts w:hint="eastAsia"/>
                <w:lang w:eastAsia="zh-CN"/>
              </w:rPr>
              <w:t>）</w:t>
            </w:r>
            <w:r>
              <w:t>防渗外套，从而构成的双层结构油罐。钢制内罐与FRP外罐之间具有贯通间隙空间；</w:t>
            </w:r>
          </w:p>
          <w:p w14:paraId="0CC27871">
            <w:pPr>
              <w:ind w:firstLine="480"/>
            </w:pPr>
            <w:r>
              <w:t>（2）结构</w:t>
            </w:r>
          </w:p>
          <w:p w14:paraId="4708F419">
            <w:pPr>
              <w:ind w:firstLine="480"/>
            </w:pPr>
            <w:r>
              <w:rPr>
                <w:rFonts w:hint="eastAsia" w:ascii="宋体" w:hAnsi="宋体" w:cs="宋体"/>
              </w:rPr>
              <w:t>①</w:t>
            </w:r>
            <w:r>
              <w:t>内层：采用6mm厚的Q235-B钢板制造，与普通的厚度仅5mm的单层油罐相比，强度提高。</w:t>
            </w:r>
          </w:p>
          <w:p w14:paraId="342C48DA">
            <w:pPr>
              <w:ind w:firstLine="480"/>
            </w:pPr>
            <w:r>
              <w:rPr>
                <w:rFonts w:hint="eastAsia" w:ascii="宋体" w:hAnsi="宋体" w:cs="宋体"/>
              </w:rPr>
              <w:t>②</w:t>
            </w:r>
            <w:r>
              <w:t>外层：强化玻璃纤维，厚度达到2.5mm以上，抗压抗震性好。具有耐腐蚀性、耐电蚀性；</w:t>
            </w:r>
          </w:p>
          <w:p w14:paraId="7B139AE0">
            <w:pPr>
              <w:ind w:firstLine="480"/>
            </w:pPr>
            <w:r>
              <w:rPr>
                <w:rFonts w:hint="eastAsia" w:ascii="宋体" w:hAnsi="宋体" w:cs="宋体"/>
              </w:rPr>
              <w:t>③</w:t>
            </w:r>
            <w:r>
              <w:t>贯通间隙：0.1~3.5mm；300°的范围，无牢固支撑。</w:t>
            </w:r>
          </w:p>
          <w:p w14:paraId="19582509">
            <w:pPr>
              <w:ind w:firstLine="480"/>
            </w:pPr>
            <w:r>
              <w:rPr>
                <w:rFonts w:hint="eastAsia" w:ascii="宋体" w:hAnsi="宋体" w:cs="宋体"/>
              </w:rPr>
              <w:t>④</w:t>
            </w:r>
            <w:r>
              <w:t>加强结构：内罐加强</w:t>
            </w:r>
          </w:p>
          <w:p w14:paraId="4BDCD42D">
            <w:pPr>
              <w:ind w:firstLine="480"/>
            </w:pPr>
            <w:r>
              <w:rPr>
                <w:rFonts w:hint="eastAsia" w:ascii="宋体" w:hAnsi="宋体" w:cs="宋体"/>
              </w:rPr>
              <w:t>⑤</w:t>
            </w:r>
            <w:r>
              <w:t>检测设备：泄漏检测仪24小时实时监控，监测到间隙空间底部液位时发出警报。</w:t>
            </w:r>
          </w:p>
          <w:p w14:paraId="6DE1FD53">
            <w:pPr>
              <w:ind w:firstLine="480"/>
            </w:pPr>
            <w:bookmarkStart w:id="8" w:name="24049398-26634321-1_2"/>
            <w:bookmarkEnd w:id="8"/>
            <w:r>
              <w:t>（3）安全特性</w:t>
            </w:r>
          </w:p>
          <w:p w14:paraId="71C8CFDB">
            <w:pPr>
              <w:ind w:firstLine="480"/>
            </w:pPr>
            <w:r>
              <w:t>双层油罐如果内罐渗漏，双层间隙内带有一定压力的气体或检测液，会进入常压的内罐；双层间隙内的压力或液位会发生变化，触发声光报警器。储液渗漏进双层间隙后，由于外罐完好，储液并不会漏出。因此，储液、土壤和地下水都是安全的。</w:t>
            </w:r>
          </w:p>
          <w:p w14:paraId="56283F0D">
            <w:pPr>
              <w:ind w:firstLine="480"/>
            </w:pPr>
            <w:r>
              <w:t>如果外罐渗漏，双层间隙内带有一定压力的气体或检测液，会进入土壤。同理，双层间隙内的压力或液位会发生变化，触发声光报警器。此时，由于内罐是完好的，储液安全；进入土壤的只有气体或检测液，因此，土壤和地下水也是安全的。</w:t>
            </w:r>
          </w:p>
          <w:p w14:paraId="3AD676F6">
            <w:pPr>
              <w:ind w:firstLine="480"/>
            </w:pPr>
            <w:r>
              <w:t>由于内罐接触的储液与外罐所接触的土壤、地下水，属于不同介质，对罐体材料腐蚀速率不同，在同一时间发生渗漏的概率几乎为零。因此，可以杜绝储液漏出罐外，做到了生产安全和地下水环境保护。</w:t>
            </w:r>
          </w:p>
          <w:p w14:paraId="4F8C96D5">
            <w:pPr>
              <w:pStyle w:val="2"/>
            </w:pPr>
            <w:r>
              <w:rPr>
                <w:rFonts w:cs="Times New Roman"/>
                <w:bCs/>
                <w:snapToGrid w:val="0"/>
                <w:szCs w:val="24"/>
              </w:rPr>
              <w:t>根据前述的工艺流程及工艺说明，该项目主要产生的污染源情况见表</w:t>
            </w:r>
            <w:r>
              <w:rPr>
                <w:rFonts w:hint="eastAsia" w:cs="Times New Roman"/>
                <w:bCs/>
                <w:snapToGrid w:val="0"/>
                <w:szCs w:val="24"/>
              </w:rPr>
              <w:t>2</w:t>
            </w:r>
            <w:r>
              <w:rPr>
                <w:rFonts w:hint="eastAsia" w:cs="Times New Roman"/>
                <w:bCs/>
                <w:snapToGrid w:val="0"/>
                <w:szCs w:val="24"/>
                <w:lang w:val="en-US" w:eastAsia="zh-CN"/>
              </w:rPr>
              <w:t>-8</w:t>
            </w:r>
            <w:r>
              <w:rPr>
                <w:rFonts w:cs="Times New Roman"/>
                <w:bCs/>
                <w:snapToGrid w:val="0"/>
                <w:szCs w:val="24"/>
              </w:rPr>
              <w:t>。</w:t>
            </w:r>
          </w:p>
          <w:p w14:paraId="58292410">
            <w:pPr>
              <w:spacing w:line="240" w:lineRule="auto"/>
              <w:ind w:firstLine="422"/>
              <w:jc w:val="center"/>
              <w:textAlignment w:val="auto"/>
              <w:rPr>
                <w:rFonts w:cs="Times New Roman"/>
                <w:b/>
                <w:sz w:val="21"/>
                <w:szCs w:val="21"/>
              </w:rPr>
            </w:pPr>
            <w:r>
              <w:rPr>
                <w:rFonts w:cs="Times New Roman"/>
                <w:b/>
                <w:sz w:val="21"/>
                <w:szCs w:val="21"/>
              </w:rPr>
              <w:t>表</w:t>
            </w:r>
            <w:r>
              <w:rPr>
                <w:rFonts w:hint="eastAsia" w:cs="Times New Roman"/>
                <w:b/>
                <w:sz w:val="21"/>
                <w:szCs w:val="21"/>
              </w:rPr>
              <w:t>2</w:t>
            </w:r>
            <w:r>
              <w:rPr>
                <w:rFonts w:hint="eastAsia" w:cs="Times New Roman"/>
                <w:b/>
                <w:sz w:val="21"/>
                <w:szCs w:val="21"/>
                <w:lang w:val="en-US" w:eastAsia="zh-CN"/>
              </w:rPr>
              <w:t>-8</w:t>
            </w:r>
            <w:r>
              <w:rPr>
                <w:rFonts w:cs="Times New Roman"/>
                <w:b/>
                <w:sz w:val="21"/>
                <w:szCs w:val="21"/>
              </w:rPr>
              <w:t xml:space="preserve">  本项目生产过程产污节点表</w:t>
            </w:r>
          </w:p>
          <w:tbl>
            <w:tblPr>
              <w:tblStyle w:val="20"/>
              <w:tblW w:w="494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17"/>
              <w:gridCol w:w="1740"/>
              <w:gridCol w:w="4165"/>
            </w:tblGrid>
            <w:tr w14:paraId="30B10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Borders>
                    <w:tl2br w:val="nil"/>
                    <w:tr2bl w:val="nil"/>
                  </w:tcBorders>
                  <w:vAlign w:val="center"/>
                </w:tcPr>
                <w:p w14:paraId="55EA181B">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名称</w:t>
                  </w:r>
                </w:p>
              </w:tc>
              <w:tc>
                <w:tcPr>
                  <w:tcW w:w="1015" w:type="pct"/>
                  <w:tcBorders>
                    <w:tl2br w:val="nil"/>
                    <w:tr2bl w:val="nil"/>
                  </w:tcBorders>
                  <w:vAlign w:val="center"/>
                </w:tcPr>
                <w:p w14:paraId="36D2D421">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污染来源</w:t>
                  </w:r>
                </w:p>
              </w:tc>
              <w:tc>
                <w:tcPr>
                  <w:tcW w:w="1029" w:type="pct"/>
                  <w:tcBorders>
                    <w:tl2br w:val="nil"/>
                    <w:tr2bl w:val="nil"/>
                  </w:tcBorders>
                  <w:vAlign w:val="center"/>
                </w:tcPr>
                <w:p w14:paraId="3E1BB9E1">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主要污染物</w:t>
                  </w:r>
                </w:p>
              </w:tc>
              <w:tc>
                <w:tcPr>
                  <w:tcW w:w="2463" w:type="pct"/>
                  <w:tcBorders>
                    <w:tl2br w:val="nil"/>
                    <w:tr2bl w:val="nil"/>
                  </w:tcBorders>
                  <w:vAlign w:val="center"/>
                </w:tcPr>
                <w:p w14:paraId="7EDA53E3">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sz w:val="21"/>
                      <w:szCs w:val="24"/>
                    </w:rPr>
                    <w:t>排放去向及治理措施</w:t>
                  </w:r>
                </w:p>
              </w:tc>
            </w:tr>
            <w:tr w14:paraId="63AA7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Borders>
                    <w:tl2br w:val="nil"/>
                    <w:tr2bl w:val="nil"/>
                  </w:tcBorders>
                  <w:vAlign w:val="center"/>
                </w:tcPr>
                <w:p w14:paraId="28E14C42">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废水</w:t>
                  </w:r>
                </w:p>
              </w:tc>
              <w:tc>
                <w:tcPr>
                  <w:tcW w:w="1015" w:type="pct"/>
                  <w:tcBorders>
                    <w:tl2br w:val="nil"/>
                    <w:tr2bl w:val="nil"/>
                  </w:tcBorders>
                  <w:vAlign w:val="center"/>
                </w:tcPr>
                <w:p w14:paraId="6E9D61B1">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生活污水</w:t>
                  </w:r>
                </w:p>
              </w:tc>
              <w:tc>
                <w:tcPr>
                  <w:tcW w:w="1029" w:type="pct"/>
                  <w:tcBorders>
                    <w:tl2br w:val="nil"/>
                    <w:tr2bl w:val="nil"/>
                  </w:tcBorders>
                  <w:vAlign w:val="center"/>
                </w:tcPr>
                <w:p w14:paraId="44891F8C">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sz w:val="21"/>
                      <w:szCs w:val="21"/>
                    </w:rPr>
                    <w:t>COD</w:t>
                  </w:r>
                  <w:r>
                    <w:rPr>
                      <w:rFonts w:cs="Times New Roman"/>
                      <w:sz w:val="21"/>
                      <w:szCs w:val="21"/>
                      <w:vertAlign w:val="subscript"/>
                    </w:rPr>
                    <w:t>Cr</w:t>
                  </w:r>
                  <w:r>
                    <w:rPr>
                      <w:rFonts w:cs="Times New Roman"/>
                      <w:sz w:val="21"/>
                      <w:szCs w:val="21"/>
                    </w:rPr>
                    <w:t>、BOD</w:t>
                  </w:r>
                  <w:r>
                    <w:rPr>
                      <w:rFonts w:cs="Times New Roman"/>
                      <w:sz w:val="21"/>
                      <w:szCs w:val="21"/>
                      <w:vertAlign w:val="subscript"/>
                    </w:rPr>
                    <w:t>5</w:t>
                  </w:r>
                  <w:r>
                    <w:rPr>
                      <w:rFonts w:cs="Times New Roman"/>
                      <w:sz w:val="21"/>
                      <w:szCs w:val="21"/>
                    </w:rPr>
                    <w:t>、SS、氨氮</w:t>
                  </w:r>
                </w:p>
              </w:tc>
              <w:tc>
                <w:tcPr>
                  <w:tcW w:w="2463" w:type="pct"/>
                  <w:tcBorders>
                    <w:tl2br w:val="nil"/>
                    <w:tr2bl w:val="nil"/>
                  </w:tcBorders>
                  <w:vAlign w:val="center"/>
                </w:tcPr>
                <w:p w14:paraId="195C4318">
                  <w:pPr>
                    <w:autoSpaceDE w:val="0"/>
                    <w:autoSpaceDN w:val="0"/>
                    <w:adjustRightInd w:val="0"/>
                    <w:spacing w:line="240" w:lineRule="auto"/>
                    <w:ind w:firstLine="0" w:firstLineChars="0"/>
                    <w:jc w:val="center"/>
                    <w:textAlignment w:val="auto"/>
                    <w:rPr>
                      <w:rFonts w:hint="eastAsia" w:eastAsia="宋体" w:cs="Times New Roman"/>
                      <w:kern w:val="0"/>
                      <w:sz w:val="21"/>
                      <w:szCs w:val="21"/>
                      <w:lang w:eastAsia="zh-CN"/>
                    </w:rPr>
                  </w:pPr>
                  <w:r>
                    <w:rPr>
                      <w:rFonts w:hint="eastAsia" w:cs="Times New Roman"/>
                      <w:sz w:val="21"/>
                      <w:szCs w:val="21"/>
                    </w:rPr>
                    <w:t>经排水系统收集至化粪池（1</w:t>
                  </w:r>
                  <w:r>
                    <w:rPr>
                      <w:rFonts w:hint="eastAsia" w:cs="Times New Roman"/>
                      <w:sz w:val="21"/>
                      <w:szCs w:val="21"/>
                      <w:lang w:val="en-US" w:eastAsia="zh-CN"/>
                    </w:rPr>
                    <w:t>9</w:t>
                  </w:r>
                  <w:r>
                    <w:rPr>
                      <w:rFonts w:hint="eastAsia" w:cs="Times New Roman"/>
                      <w:sz w:val="21"/>
                      <w:szCs w:val="21"/>
                    </w:rPr>
                    <w:t>m</w:t>
                  </w:r>
                  <w:r>
                    <w:rPr>
                      <w:rFonts w:hint="eastAsia" w:cs="Times New Roman"/>
                      <w:sz w:val="21"/>
                      <w:szCs w:val="21"/>
                      <w:vertAlign w:val="superscript"/>
                    </w:rPr>
                    <w:t>3</w:t>
                  </w:r>
                  <w:r>
                    <w:rPr>
                      <w:rFonts w:hint="eastAsia" w:cs="Times New Roman"/>
                      <w:sz w:val="21"/>
                      <w:szCs w:val="21"/>
                    </w:rPr>
                    <w:t>）处理后排放至市政排水管道，最终进入</w:t>
                  </w:r>
                  <w:r>
                    <w:rPr>
                      <w:rFonts w:hint="eastAsia" w:cs="Times New Roman"/>
                      <w:sz w:val="21"/>
                      <w:szCs w:val="21"/>
                      <w:lang w:eastAsia="zh-CN"/>
                    </w:rPr>
                    <w:t>库尔勒经济技术开发区工业废水处理厂</w:t>
                  </w:r>
                  <w:r>
                    <w:rPr>
                      <w:rFonts w:hint="eastAsia" w:cs="Times New Roman"/>
                      <w:sz w:val="21"/>
                      <w:szCs w:val="21"/>
                    </w:rPr>
                    <w:t>深度处理</w:t>
                  </w:r>
                </w:p>
              </w:tc>
            </w:tr>
            <w:tr w14:paraId="72CA8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Borders>
                    <w:tl2br w:val="nil"/>
                    <w:tr2bl w:val="nil"/>
                  </w:tcBorders>
                  <w:vAlign w:val="center"/>
                </w:tcPr>
                <w:p w14:paraId="05F85931">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废气</w:t>
                  </w:r>
                </w:p>
              </w:tc>
              <w:tc>
                <w:tcPr>
                  <w:tcW w:w="1015" w:type="pct"/>
                  <w:tcBorders>
                    <w:tl2br w:val="nil"/>
                    <w:tr2bl w:val="nil"/>
                  </w:tcBorders>
                  <w:vAlign w:val="center"/>
                </w:tcPr>
                <w:p w14:paraId="7BE6CAE8">
                  <w:pPr>
                    <w:autoSpaceDE w:val="0"/>
                    <w:autoSpaceDN w:val="0"/>
                    <w:adjustRightInd w:val="0"/>
                    <w:spacing w:line="240" w:lineRule="auto"/>
                    <w:ind w:firstLine="0" w:firstLineChars="0"/>
                    <w:jc w:val="center"/>
                    <w:textAlignment w:val="auto"/>
                    <w:rPr>
                      <w:rFonts w:cs="Times New Roman"/>
                      <w:kern w:val="0"/>
                      <w:sz w:val="21"/>
                      <w:szCs w:val="21"/>
                    </w:rPr>
                  </w:pPr>
                  <w:r>
                    <w:rPr>
                      <w:rFonts w:hint="eastAsia" w:cs="Times New Roman"/>
                      <w:kern w:val="0"/>
                      <w:sz w:val="21"/>
                      <w:szCs w:val="21"/>
                    </w:rPr>
                    <w:t>卸油、加油过程</w:t>
                  </w:r>
                </w:p>
              </w:tc>
              <w:tc>
                <w:tcPr>
                  <w:tcW w:w="1029" w:type="pct"/>
                  <w:tcBorders>
                    <w:tl2br w:val="nil"/>
                    <w:tr2bl w:val="nil"/>
                  </w:tcBorders>
                  <w:vAlign w:val="center"/>
                </w:tcPr>
                <w:p w14:paraId="6C592ACB">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非甲烷总烃</w:t>
                  </w:r>
                </w:p>
              </w:tc>
              <w:tc>
                <w:tcPr>
                  <w:tcW w:w="2463" w:type="pct"/>
                  <w:tcBorders>
                    <w:tl2br w:val="nil"/>
                    <w:tr2bl w:val="nil"/>
                  </w:tcBorders>
                  <w:vAlign w:val="center"/>
                </w:tcPr>
                <w:p w14:paraId="1FE2B805">
                  <w:pPr>
                    <w:autoSpaceDE w:val="0"/>
                    <w:autoSpaceDN w:val="0"/>
                    <w:adjustRightInd w:val="0"/>
                    <w:spacing w:line="240" w:lineRule="auto"/>
                    <w:ind w:firstLine="0" w:firstLineChars="0"/>
                    <w:jc w:val="center"/>
                    <w:textAlignment w:val="auto"/>
                    <w:rPr>
                      <w:rFonts w:cs="Times New Roman"/>
                      <w:kern w:val="0"/>
                      <w:sz w:val="21"/>
                      <w:szCs w:val="21"/>
                    </w:rPr>
                  </w:pPr>
                  <w:r>
                    <w:rPr>
                      <w:rFonts w:hint="eastAsia" w:cs="Times New Roman"/>
                      <w:sz w:val="21"/>
                      <w:szCs w:val="21"/>
                      <w:lang w:val="en-US" w:eastAsia="zh-CN"/>
                    </w:rPr>
                    <w:t>配套二次</w:t>
                  </w:r>
                  <w:r>
                    <w:rPr>
                      <w:rFonts w:cs="Times New Roman"/>
                      <w:sz w:val="21"/>
                      <w:szCs w:val="21"/>
                    </w:rPr>
                    <w:t>油气回收系统</w:t>
                  </w:r>
                </w:p>
              </w:tc>
            </w:tr>
            <w:tr w14:paraId="5D544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Borders>
                    <w:tl2br w:val="nil"/>
                    <w:tr2bl w:val="nil"/>
                  </w:tcBorders>
                  <w:vAlign w:val="center"/>
                </w:tcPr>
                <w:p w14:paraId="277F83EB">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噪声</w:t>
                  </w:r>
                </w:p>
              </w:tc>
              <w:tc>
                <w:tcPr>
                  <w:tcW w:w="1015" w:type="pct"/>
                  <w:tcBorders>
                    <w:tl2br w:val="nil"/>
                    <w:tr2bl w:val="nil"/>
                  </w:tcBorders>
                  <w:vAlign w:val="center"/>
                </w:tcPr>
                <w:p w14:paraId="6BF82ED2">
                  <w:pPr>
                    <w:autoSpaceDE w:val="0"/>
                    <w:autoSpaceDN w:val="0"/>
                    <w:adjustRightInd w:val="0"/>
                    <w:spacing w:line="240" w:lineRule="auto"/>
                    <w:ind w:firstLine="0" w:firstLineChars="0"/>
                    <w:jc w:val="center"/>
                    <w:textAlignment w:val="auto"/>
                    <w:rPr>
                      <w:rFonts w:hint="eastAsia" w:eastAsia="宋体" w:cs="Times New Roman"/>
                      <w:kern w:val="0"/>
                      <w:sz w:val="21"/>
                      <w:szCs w:val="21"/>
                      <w:lang w:val="en-US" w:eastAsia="zh-CN"/>
                    </w:rPr>
                  </w:pPr>
                  <w:r>
                    <w:rPr>
                      <w:rFonts w:cs="Times New Roman"/>
                      <w:kern w:val="0"/>
                      <w:sz w:val="21"/>
                      <w:szCs w:val="21"/>
                    </w:rPr>
                    <w:t>车辆</w:t>
                  </w:r>
                  <w:r>
                    <w:rPr>
                      <w:rFonts w:hint="eastAsia" w:cs="Times New Roman"/>
                      <w:kern w:val="0"/>
                      <w:sz w:val="21"/>
                      <w:szCs w:val="21"/>
                      <w:lang w:val="en-US" w:eastAsia="zh-CN"/>
                    </w:rPr>
                    <w:t>行驶</w:t>
                  </w:r>
                  <w:r>
                    <w:rPr>
                      <w:rFonts w:cs="Times New Roman"/>
                      <w:kern w:val="0"/>
                      <w:sz w:val="21"/>
                      <w:szCs w:val="21"/>
                    </w:rPr>
                    <w:t>、设备</w:t>
                  </w:r>
                  <w:r>
                    <w:rPr>
                      <w:rFonts w:hint="eastAsia" w:cs="Times New Roman"/>
                      <w:kern w:val="0"/>
                      <w:sz w:val="21"/>
                      <w:szCs w:val="21"/>
                      <w:lang w:val="en-US" w:eastAsia="zh-CN"/>
                    </w:rPr>
                    <w:t>运行</w:t>
                  </w:r>
                </w:p>
              </w:tc>
              <w:tc>
                <w:tcPr>
                  <w:tcW w:w="1029" w:type="pct"/>
                  <w:tcBorders>
                    <w:tl2br w:val="nil"/>
                    <w:tr2bl w:val="nil"/>
                  </w:tcBorders>
                  <w:vAlign w:val="center"/>
                </w:tcPr>
                <w:p w14:paraId="1E5F3525">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Leq</w:t>
                  </w:r>
                  <w:r>
                    <w:rPr>
                      <w:rFonts w:hint="eastAsia" w:cs="Times New Roman"/>
                      <w:kern w:val="0"/>
                      <w:sz w:val="21"/>
                      <w:szCs w:val="21"/>
                    </w:rPr>
                    <w:t>（</w:t>
                  </w:r>
                  <w:r>
                    <w:rPr>
                      <w:rFonts w:cs="Times New Roman"/>
                      <w:kern w:val="0"/>
                      <w:sz w:val="21"/>
                      <w:szCs w:val="21"/>
                    </w:rPr>
                    <w:t>A</w:t>
                  </w:r>
                  <w:r>
                    <w:rPr>
                      <w:rFonts w:hint="eastAsia" w:cs="Times New Roman"/>
                      <w:kern w:val="0"/>
                      <w:sz w:val="21"/>
                      <w:szCs w:val="21"/>
                    </w:rPr>
                    <w:t>）</w:t>
                  </w:r>
                </w:p>
              </w:tc>
              <w:tc>
                <w:tcPr>
                  <w:tcW w:w="2463" w:type="pct"/>
                  <w:tcBorders>
                    <w:tl2br w:val="nil"/>
                    <w:tr2bl w:val="nil"/>
                  </w:tcBorders>
                  <w:vAlign w:val="center"/>
                </w:tcPr>
                <w:p w14:paraId="0C0240D4">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sz w:val="21"/>
                      <w:szCs w:val="21"/>
                    </w:rPr>
                    <w:t>隔音措施、减振基座、合理布置生产设备</w:t>
                  </w:r>
                </w:p>
              </w:tc>
            </w:tr>
            <w:tr w14:paraId="362F4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92" w:type="pct"/>
                  <w:vMerge w:val="restart"/>
                  <w:tcBorders>
                    <w:tl2br w:val="nil"/>
                    <w:tr2bl w:val="nil"/>
                  </w:tcBorders>
                  <w:vAlign w:val="center"/>
                </w:tcPr>
                <w:p w14:paraId="25571EEB">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固废</w:t>
                  </w:r>
                </w:p>
              </w:tc>
              <w:tc>
                <w:tcPr>
                  <w:tcW w:w="1015" w:type="pct"/>
                  <w:tcBorders>
                    <w:tl2br w:val="nil"/>
                    <w:tr2bl w:val="nil"/>
                  </w:tcBorders>
                  <w:vAlign w:val="center"/>
                </w:tcPr>
                <w:p w14:paraId="385DABEC">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员工生活</w:t>
                  </w:r>
                </w:p>
              </w:tc>
              <w:tc>
                <w:tcPr>
                  <w:tcW w:w="1029" w:type="pct"/>
                  <w:tcBorders>
                    <w:tl2br w:val="nil"/>
                    <w:tr2bl w:val="nil"/>
                  </w:tcBorders>
                  <w:vAlign w:val="center"/>
                </w:tcPr>
                <w:p w14:paraId="6C909682">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sz w:val="21"/>
                      <w:szCs w:val="21"/>
                    </w:rPr>
                    <w:t>生活垃圾</w:t>
                  </w:r>
                </w:p>
              </w:tc>
              <w:tc>
                <w:tcPr>
                  <w:tcW w:w="2463" w:type="pct"/>
                  <w:tcBorders>
                    <w:tl2br w:val="nil"/>
                    <w:tr2bl w:val="nil"/>
                  </w:tcBorders>
                  <w:vAlign w:val="center"/>
                </w:tcPr>
                <w:p w14:paraId="6104EBD9">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sz w:val="21"/>
                      <w:szCs w:val="21"/>
                    </w:rPr>
                    <w:t>集中收集后交环卫部门清运</w:t>
                  </w:r>
                </w:p>
              </w:tc>
            </w:tr>
            <w:tr w14:paraId="38B51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Merge w:val="continue"/>
                  <w:tcBorders>
                    <w:tl2br w:val="nil"/>
                    <w:tr2bl w:val="nil"/>
                  </w:tcBorders>
                  <w:vAlign w:val="center"/>
                </w:tcPr>
                <w:p w14:paraId="6818B4D2">
                  <w:pPr>
                    <w:autoSpaceDE w:val="0"/>
                    <w:autoSpaceDN w:val="0"/>
                    <w:adjustRightInd w:val="0"/>
                    <w:spacing w:line="240" w:lineRule="auto"/>
                    <w:ind w:firstLine="0" w:firstLineChars="0"/>
                    <w:jc w:val="center"/>
                    <w:textAlignment w:val="auto"/>
                    <w:rPr>
                      <w:rFonts w:cs="Times New Roman"/>
                      <w:kern w:val="0"/>
                      <w:sz w:val="21"/>
                      <w:szCs w:val="21"/>
                    </w:rPr>
                  </w:pPr>
                </w:p>
              </w:tc>
              <w:tc>
                <w:tcPr>
                  <w:tcW w:w="1015" w:type="pct"/>
                  <w:tcBorders>
                    <w:tl2br w:val="nil"/>
                    <w:tr2bl w:val="nil"/>
                  </w:tcBorders>
                  <w:vAlign w:val="center"/>
                </w:tcPr>
                <w:p w14:paraId="0A36980B">
                  <w:pPr>
                    <w:autoSpaceDE w:val="0"/>
                    <w:autoSpaceDN w:val="0"/>
                    <w:adjustRightInd w:val="0"/>
                    <w:spacing w:line="240" w:lineRule="auto"/>
                    <w:ind w:firstLine="0" w:firstLineChars="0"/>
                    <w:jc w:val="center"/>
                    <w:textAlignment w:val="auto"/>
                    <w:rPr>
                      <w:rFonts w:cs="Times New Roman"/>
                      <w:kern w:val="0"/>
                      <w:sz w:val="21"/>
                      <w:szCs w:val="21"/>
                    </w:rPr>
                  </w:pPr>
                  <w:r>
                    <w:rPr>
                      <w:rFonts w:cs="Times New Roman"/>
                      <w:kern w:val="0"/>
                      <w:sz w:val="21"/>
                      <w:szCs w:val="21"/>
                    </w:rPr>
                    <w:t>生产过程</w:t>
                  </w:r>
                </w:p>
              </w:tc>
              <w:tc>
                <w:tcPr>
                  <w:tcW w:w="1029" w:type="pct"/>
                  <w:tcBorders>
                    <w:tl2br w:val="nil"/>
                    <w:tr2bl w:val="nil"/>
                  </w:tcBorders>
                  <w:vAlign w:val="center"/>
                </w:tcPr>
                <w:p w14:paraId="300E8D5D">
                  <w:pPr>
                    <w:autoSpaceDE w:val="0"/>
                    <w:autoSpaceDN w:val="0"/>
                    <w:adjustRightInd w:val="0"/>
                    <w:spacing w:line="240" w:lineRule="auto"/>
                    <w:ind w:firstLine="0" w:firstLineChars="0"/>
                    <w:jc w:val="center"/>
                    <w:textAlignment w:val="auto"/>
                    <w:rPr>
                      <w:rFonts w:cs="Times New Roman"/>
                      <w:kern w:val="0"/>
                      <w:sz w:val="21"/>
                      <w:szCs w:val="21"/>
                    </w:rPr>
                  </w:pPr>
                  <w:r>
                    <w:rPr>
                      <w:rFonts w:hint="eastAsia" w:cs="Times New Roman"/>
                      <w:kern w:val="0"/>
                      <w:sz w:val="21"/>
                      <w:szCs w:val="21"/>
                    </w:rPr>
                    <w:t>危险废物</w:t>
                  </w:r>
                </w:p>
              </w:tc>
              <w:tc>
                <w:tcPr>
                  <w:tcW w:w="2463" w:type="pct"/>
                  <w:tcBorders>
                    <w:tl2br w:val="nil"/>
                    <w:tr2bl w:val="nil"/>
                  </w:tcBorders>
                  <w:vAlign w:val="center"/>
                </w:tcPr>
                <w:p w14:paraId="5D0338D5">
                  <w:pPr>
                    <w:autoSpaceDE w:val="0"/>
                    <w:autoSpaceDN w:val="0"/>
                    <w:adjustRightInd w:val="0"/>
                    <w:spacing w:line="240" w:lineRule="auto"/>
                    <w:ind w:firstLine="0" w:firstLineChars="0"/>
                    <w:textAlignment w:val="auto"/>
                    <w:rPr>
                      <w:rFonts w:cs="Times New Roman"/>
                      <w:kern w:val="0"/>
                      <w:sz w:val="21"/>
                      <w:szCs w:val="21"/>
                    </w:rPr>
                  </w:pPr>
                  <w:r>
                    <w:rPr>
                      <w:rFonts w:hint="eastAsia" w:cs="Times New Roman"/>
                      <w:sz w:val="21"/>
                      <w:szCs w:val="21"/>
                    </w:rPr>
                    <w:t>油罐清洁工作定期委托站外单位承包，清罐</w:t>
                  </w:r>
                  <w:r>
                    <w:rPr>
                      <w:rFonts w:hint="eastAsia" w:cs="Times New Roman"/>
                      <w:sz w:val="21"/>
                      <w:szCs w:val="21"/>
                      <w:lang w:val="en-US" w:eastAsia="zh-CN"/>
                    </w:rPr>
                    <w:t>产生的油泥、废水</w:t>
                  </w:r>
                  <w:r>
                    <w:rPr>
                      <w:rFonts w:hint="eastAsia" w:cs="Times New Roman"/>
                      <w:sz w:val="21"/>
                      <w:szCs w:val="21"/>
                    </w:rPr>
                    <w:t>也由作业方（危废处置单位）处置，不在站区</w:t>
                  </w:r>
                  <w:r>
                    <w:rPr>
                      <w:rFonts w:hint="eastAsia" w:cs="Times New Roman"/>
                      <w:sz w:val="21"/>
                      <w:szCs w:val="21"/>
                      <w:lang w:val="en-US" w:eastAsia="zh-CN"/>
                    </w:rPr>
                    <w:t>贮存</w:t>
                  </w:r>
                  <w:r>
                    <w:rPr>
                      <w:rFonts w:hint="eastAsia" w:cs="Times New Roman"/>
                      <w:sz w:val="21"/>
                      <w:szCs w:val="21"/>
                    </w:rPr>
                    <w:t>；废弃的</w:t>
                  </w:r>
                  <w:r>
                    <w:rPr>
                      <w:rFonts w:hint="eastAsia" w:cs="Times New Roman"/>
                      <w:sz w:val="21"/>
                      <w:szCs w:val="21"/>
                      <w:lang w:eastAsia="zh-CN"/>
                    </w:rPr>
                    <w:t>沾油手套</w:t>
                  </w:r>
                  <w:r>
                    <w:rPr>
                      <w:rFonts w:hint="eastAsia" w:cs="Times New Roman"/>
                      <w:sz w:val="21"/>
                      <w:szCs w:val="21"/>
                    </w:rPr>
                    <w:t>、抹布、设备检维修时产生废润滑油，集中收集</w:t>
                  </w:r>
                  <w:r>
                    <w:rPr>
                      <w:rFonts w:hint="eastAsia" w:cs="Times New Roman"/>
                      <w:sz w:val="21"/>
                      <w:szCs w:val="21"/>
                      <w:lang w:val="en-US" w:eastAsia="zh-CN"/>
                    </w:rPr>
                    <w:t>贮存</w:t>
                  </w:r>
                  <w:r>
                    <w:rPr>
                      <w:rFonts w:hint="eastAsia" w:cs="Times New Roman"/>
                      <w:sz w:val="21"/>
                      <w:szCs w:val="21"/>
                    </w:rPr>
                    <w:t>于危险废物贮存点并委托有资质单位</w:t>
                  </w:r>
                  <w:r>
                    <w:rPr>
                      <w:rFonts w:hint="eastAsia" w:cs="Times New Roman"/>
                      <w:sz w:val="21"/>
                      <w:szCs w:val="21"/>
                      <w:lang w:val="en-US" w:eastAsia="zh-CN"/>
                    </w:rPr>
                    <w:t>拉运</w:t>
                  </w:r>
                  <w:r>
                    <w:rPr>
                      <w:rFonts w:hint="eastAsia" w:cs="Times New Roman"/>
                      <w:sz w:val="21"/>
                      <w:szCs w:val="21"/>
                    </w:rPr>
                    <w:t>处置</w:t>
                  </w:r>
                </w:p>
              </w:tc>
            </w:tr>
          </w:tbl>
          <w:p w14:paraId="5BEF2A8B"/>
        </w:tc>
      </w:tr>
      <w:tr w14:paraId="316C3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459" w:type="dxa"/>
            <w:vAlign w:val="center"/>
          </w:tcPr>
          <w:p w14:paraId="1D80B2AB">
            <w:pPr>
              <w:pStyle w:val="16"/>
              <w:adjustRightInd w:val="0"/>
              <w:snapToGrid w:val="0"/>
              <w:spacing w:before="0" w:beforeAutospacing="0" w:after="0" w:afterAutospacing="0"/>
              <w:ind w:firstLine="0" w:firstLineChars="0"/>
              <w:jc w:val="both"/>
              <w:rPr>
                <w:rFonts w:cs="宋体"/>
                <w:sz w:val="21"/>
                <w:szCs w:val="21"/>
              </w:rPr>
            </w:pPr>
            <w:r>
              <w:rPr>
                <w:rFonts w:hint="eastAsia" w:cs="宋体"/>
                <w:bCs/>
                <w:kern w:val="2"/>
                <w:sz w:val="21"/>
                <w:szCs w:val="21"/>
              </w:rPr>
              <w:t>与项目有关的原有环境污染问题</w:t>
            </w:r>
          </w:p>
        </w:tc>
        <w:tc>
          <w:tcPr>
            <w:tcW w:w="8787" w:type="dxa"/>
            <w:vAlign w:val="center"/>
          </w:tcPr>
          <w:p w14:paraId="6A5103C9">
            <w:pPr>
              <w:adjustRightInd w:val="0"/>
              <w:snapToGrid w:val="0"/>
              <w:ind w:firstLine="480"/>
              <w:rPr>
                <w:rFonts w:ascii="宋体" w:hAnsi="宋体"/>
                <w:bCs/>
                <w:szCs w:val="21"/>
              </w:rPr>
            </w:pPr>
            <w:r>
              <w:rPr>
                <w:bCs/>
                <w:color w:val="000000"/>
              </w:rPr>
              <w:t>本项目</w:t>
            </w:r>
            <w:r>
              <w:rPr>
                <w:rFonts w:hint="eastAsia"/>
                <w:bCs/>
                <w:color w:val="000000"/>
              </w:rPr>
              <w:t>属于新建项目，</w:t>
            </w:r>
            <w:r>
              <w:rPr>
                <w:bCs/>
                <w:color w:val="000000"/>
              </w:rPr>
              <w:t>无原有污染情况及主要环境问题。</w:t>
            </w:r>
          </w:p>
        </w:tc>
      </w:tr>
    </w:tbl>
    <w:p w14:paraId="2954D422">
      <w:pPr>
        <w:pStyle w:val="4"/>
      </w:pPr>
      <w:r>
        <w:rPr>
          <w:rFonts w:hint="eastAsia"/>
        </w:rPr>
        <w:t>三、区域环境质量现状、环境保护目标及评价标准</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1AC6E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23" w:hRule="atLeast"/>
          <w:jc w:val="center"/>
        </w:trPr>
        <w:tc>
          <w:tcPr>
            <w:tcW w:w="800" w:type="dxa"/>
            <w:vAlign w:val="center"/>
          </w:tcPr>
          <w:p w14:paraId="351F40FF">
            <w:pPr>
              <w:adjustRightInd w:val="0"/>
              <w:snapToGrid w:val="0"/>
              <w:ind w:firstLine="0" w:firstLineChars="0"/>
              <w:jc w:val="both"/>
              <w:rPr>
                <w:rFonts w:ascii="宋体" w:hAnsi="宋体" w:cs="宋体"/>
                <w:szCs w:val="21"/>
              </w:rPr>
            </w:pPr>
            <w:r>
              <w:rPr>
                <w:rFonts w:hint="eastAsia" w:ascii="宋体" w:hAnsi="宋体" w:cs="宋体"/>
                <w:szCs w:val="21"/>
              </w:rPr>
              <w:t>区域环境质量现状</w:t>
            </w:r>
          </w:p>
        </w:tc>
        <w:tc>
          <w:tcPr>
            <w:tcW w:w="8190" w:type="dxa"/>
            <w:vAlign w:val="center"/>
          </w:tcPr>
          <w:p w14:paraId="191E5E47">
            <w:pPr>
              <w:ind w:firstLine="0" w:firstLineChars="0"/>
              <w:rPr>
                <w:b/>
                <w:bCs/>
              </w:rPr>
            </w:pPr>
            <w:r>
              <w:rPr>
                <w:rFonts w:hint="eastAsia"/>
                <w:b/>
                <w:bCs/>
              </w:rPr>
              <w:t>3.1区域环境质量评价</w:t>
            </w:r>
          </w:p>
          <w:p w14:paraId="42062C1A">
            <w:pPr>
              <w:ind w:firstLine="0" w:firstLineChars="0"/>
              <w:rPr>
                <w:rFonts w:hint="eastAsia"/>
                <w:b/>
                <w:bCs/>
              </w:rPr>
            </w:pPr>
            <w:r>
              <w:rPr>
                <w:rFonts w:hint="eastAsia"/>
                <w:b/>
                <w:bCs/>
              </w:rPr>
              <w:t>3.1.1环境空气质量评价</w:t>
            </w:r>
          </w:p>
          <w:p w14:paraId="0ACDB0DA">
            <w:pPr>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9" w:name="_Toc29722417"/>
            <w:bookmarkStart w:id="10" w:name="_Toc240865444"/>
            <w:r>
              <w:rPr>
                <w:rFonts w:hint="eastAsia"/>
              </w:rPr>
              <w:t>根据《环境影响评价技术导则</w:t>
            </w:r>
            <w:r>
              <w:rPr>
                <w:rFonts w:hint="eastAsia"/>
                <w:lang w:val="en-US" w:eastAsia="zh-CN"/>
              </w:rPr>
              <w:t xml:space="preserve"> </w:t>
            </w:r>
            <w:r>
              <w:rPr>
                <w:rFonts w:hint="eastAsia"/>
              </w:rPr>
              <w:t>大气环境》（H.J2.2-2018）对环境质量现状数据的要求，本次大气环境中基本污染物CO、O</w:t>
            </w:r>
            <w:r>
              <w:rPr>
                <w:rFonts w:hint="eastAsia"/>
                <w:vertAlign w:val="subscript"/>
              </w:rPr>
              <w:t>3</w:t>
            </w:r>
            <w:r>
              <w:rPr>
                <w:rFonts w:hint="eastAsia"/>
              </w:rPr>
              <w:t>、PM</w:t>
            </w:r>
            <w:r>
              <w:rPr>
                <w:rFonts w:hint="eastAsia"/>
                <w:vertAlign w:val="subscript"/>
              </w:rPr>
              <w:t>10</w:t>
            </w:r>
            <w:r>
              <w:rPr>
                <w:rFonts w:hint="eastAsia"/>
              </w:rPr>
              <w:t>、PM</w:t>
            </w:r>
            <w:r>
              <w:rPr>
                <w:rFonts w:hint="eastAsia"/>
                <w:vertAlign w:val="subscript"/>
              </w:rPr>
              <w:t>2.5</w:t>
            </w:r>
            <w:r>
              <w:rPr>
                <w:rFonts w:hint="eastAsia"/>
              </w:rPr>
              <w:t>、SO</w:t>
            </w:r>
            <w:r>
              <w:rPr>
                <w:rFonts w:hint="eastAsia"/>
                <w:vertAlign w:val="subscript"/>
              </w:rPr>
              <w:t>2</w:t>
            </w:r>
            <w:r>
              <w:rPr>
                <w:rFonts w:hint="eastAsia"/>
              </w:rPr>
              <w:t>、NO</w:t>
            </w:r>
            <w:r>
              <w:rPr>
                <w:rFonts w:hint="eastAsia"/>
                <w:vertAlign w:val="subscript"/>
              </w:rPr>
              <w:t>2</w:t>
            </w:r>
            <w:r>
              <w:rPr>
                <w:rFonts w:hint="eastAsia"/>
              </w:rPr>
              <w:t>数据选取库尔勒经济技术开发区国控空气自动监测站2024年的监测数据作为本项目区环境空气现状评价基本污染物的数据来源。大气特征污染物环境质量现状评价采用现场监测的方式进行调查。</w:t>
            </w:r>
          </w:p>
          <w:p w14:paraId="14464042">
            <w:pPr>
              <w:pStyle w:val="44"/>
            </w:pPr>
            <w:r>
              <w:rPr>
                <w:rFonts w:hint="eastAsia" w:ascii="Times New Roman" w:hAnsi="Times New Roman" w:eastAsia="宋体" w:cs="Times New Roman"/>
                <w:b/>
                <w:snapToGrid w:val="0"/>
                <w:sz w:val="21"/>
                <w:szCs w:val="24"/>
                <w:lang w:val="en-US" w:eastAsia="zh-CN" w:bidi="ar-SA"/>
              </w:rPr>
              <w:t>表</w:t>
            </w:r>
            <w:r>
              <w:rPr>
                <w:rFonts w:hint="eastAsia" w:cs="Times New Roman"/>
                <w:b/>
                <w:snapToGrid w:val="0"/>
                <w:sz w:val="21"/>
                <w:szCs w:val="24"/>
                <w:lang w:val="en-US" w:eastAsia="zh-CN" w:bidi="ar-SA"/>
              </w:rPr>
              <w:t>3</w:t>
            </w:r>
            <w:r>
              <w:rPr>
                <w:rFonts w:hint="eastAsia" w:ascii="Times New Roman" w:hAnsi="Times New Roman" w:eastAsia="宋体" w:cs="Times New Roman"/>
                <w:b/>
                <w:snapToGrid w:val="0"/>
                <w:sz w:val="21"/>
                <w:szCs w:val="24"/>
                <w:lang w:val="en-US" w:eastAsia="zh-CN" w:bidi="ar-SA"/>
              </w:rPr>
              <w:t>-1</w:t>
            </w:r>
            <w:r>
              <w:rPr>
                <w:rFonts w:hint="eastAsia" w:cs="Times New Roman"/>
                <w:b/>
                <w:snapToGrid w:val="0"/>
                <w:sz w:val="21"/>
                <w:szCs w:val="24"/>
                <w:lang w:val="en-US" w:eastAsia="zh-CN" w:bidi="ar-SA"/>
              </w:rPr>
              <w:t xml:space="preserve">  </w:t>
            </w:r>
            <w:r>
              <w:rPr>
                <w:rFonts w:hint="eastAsia" w:ascii="Times New Roman" w:hAnsi="Times New Roman" w:eastAsia="宋体" w:cs="Times New Roman"/>
                <w:b/>
                <w:snapToGrid w:val="0"/>
                <w:sz w:val="21"/>
                <w:szCs w:val="24"/>
                <w:lang w:val="en-US" w:eastAsia="zh-CN" w:bidi="ar-SA"/>
              </w:rPr>
              <w:t>基本污染物监测及评价结果</w:t>
            </w:r>
          </w:p>
          <w:tbl>
            <w:tblPr>
              <w:tblStyle w:val="20"/>
              <w:tblW w:w="50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9"/>
              <w:gridCol w:w="2866"/>
              <w:gridCol w:w="1091"/>
              <w:gridCol w:w="986"/>
              <w:gridCol w:w="787"/>
              <w:gridCol w:w="681"/>
              <w:gridCol w:w="884"/>
            </w:tblGrid>
            <w:tr w14:paraId="2E82A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tblHeader/>
                <w:jc w:val="center"/>
              </w:trPr>
              <w:tc>
                <w:tcPr>
                  <w:tcW w:w="466" w:type="pct"/>
                  <w:tcBorders>
                    <w:tl2br w:val="nil"/>
                    <w:tr2bl w:val="nil"/>
                  </w:tcBorders>
                  <w:vAlign w:val="center"/>
                </w:tcPr>
                <w:p w14:paraId="7BC46922">
                  <w:pPr>
                    <w:pStyle w:val="32"/>
                    <w:rPr>
                      <w:rFonts w:hint="default"/>
                    </w:rPr>
                  </w:pPr>
                  <w:r>
                    <w:t>污染物</w:t>
                  </w:r>
                </w:p>
              </w:tc>
              <w:tc>
                <w:tcPr>
                  <w:tcW w:w="1780" w:type="pct"/>
                  <w:tcBorders>
                    <w:tl2br w:val="nil"/>
                    <w:tr2bl w:val="nil"/>
                  </w:tcBorders>
                  <w:vAlign w:val="center"/>
                </w:tcPr>
                <w:p w14:paraId="250407AB">
                  <w:pPr>
                    <w:pStyle w:val="32"/>
                    <w:rPr>
                      <w:rFonts w:hint="default"/>
                    </w:rPr>
                  </w:pPr>
                  <w:r>
                    <w:t>年评价指标</w:t>
                  </w:r>
                </w:p>
              </w:tc>
              <w:tc>
                <w:tcPr>
                  <w:tcW w:w="678" w:type="pct"/>
                  <w:tcBorders>
                    <w:tl2br w:val="nil"/>
                    <w:tr2bl w:val="nil"/>
                  </w:tcBorders>
                  <w:vAlign w:val="center"/>
                </w:tcPr>
                <w:p w14:paraId="707FB7C5">
                  <w:pPr>
                    <w:pStyle w:val="32"/>
                    <w:rPr>
                      <w:rFonts w:hint="default"/>
                    </w:rPr>
                  </w:pPr>
                  <w:r>
                    <w:rPr>
                      <w:rFonts w:hint="default"/>
                    </w:rPr>
                    <w:t>现状浓度（μg/m³）</w:t>
                  </w:r>
                </w:p>
              </w:tc>
              <w:tc>
                <w:tcPr>
                  <w:tcW w:w="612" w:type="pct"/>
                  <w:tcBorders>
                    <w:tl2br w:val="nil"/>
                    <w:tr2bl w:val="nil"/>
                  </w:tcBorders>
                  <w:vAlign w:val="center"/>
                </w:tcPr>
                <w:p w14:paraId="69AAC581">
                  <w:pPr>
                    <w:pStyle w:val="32"/>
                    <w:rPr>
                      <w:rFonts w:hint="default"/>
                    </w:rPr>
                  </w:pPr>
                  <w:r>
                    <w:rPr>
                      <w:rFonts w:hint="default"/>
                    </w:rPr>
                    <w:t>标准限值（μg/m³）</w:t>
                  </w:r>
                </w:p>
              </w:tc>
              <w:tc>
                <w:tcPr>
                  <w:tcW w:w="489" w:type="pct"/>
                  <w:tcBorders>
                    <w:tl2br w:val="nil"/>
                    <w:tr2bl w:val="nil"/>
                  </w:tcBorders>
                  <w:vAlign w:val="center"/>
                </w:tcPr>
                <w:p w14:paraId="7FA5E120">
                  <w:pPr>
                    <w:pStyle w:val="32"/>
                    <w:rPr>
                      <w:rFonts w:hint="default"/>
                    </w:rPr>
                  </w:pPr>
                  <w:r>
                    <w:t>占标率（%）</w:t>
                  </w:r>
                </w:p>
              </w:tc>
              <w:tc>
                <w:tcPr>
                  <w:tcW w:w="423" w:type="pct"/>
                  <w:tcBorders>
                    <w:tl2br w:val="nil"/>
                    <w:tr2bl w:val="nil"/>
                  </w:tcBorders>
                  <w:vAlign w:val="center"/>
                </w:tcPr>
                <w:p w14:paraId="5C7BB003">
                  <w:pPr>
                    <w:pStyle w:val="32"/>
                    <w:rPr>
                      <w:rFonts w:hint="default"/>
                    </w:rPr>
                  </w:pPr>
                  <w:r>
                    <w:t>超标</w:t>
                  </w:r>
                </w:p>
                <w:p w14:paraId="556DE9E9">
                  <w:pPr>
                    <w:pStyle w:val="32"/>
                    <w:rPr>
                      <w:rFonts w:hint="default"/>
                    </w:rPr>
                  </w:pPr>
                  <w:r>
                    <w:t>倍数</w:t>
                  </w:r>
                </w:p>
              </w:tc>
              <w:tc>
                <w:tcPr>
                  <w:tcW w:w="549" w:type="pct"/>
                  <w:tcBorders>
                    <w:tl2br w:val="nil"/>
                    <w:tr2bl w:val="nil"/>
                  </w:tcBorders>
                  <w:vAlign w:val="center"/>
                </w:tcPr>
                <w:p w14:paraId="48C5B389">
                  <w:pPr>
                    <w:pStyle w:val="32"/>
                    <w:rPr>
                      <w:rFonts w:hint="default"/>
                    </w:rPr>
                  </w:pPr>
                  <w:r>
                    <w:t>达标情况</w:t>
                  </w:r>
                </w:p>
              </w:tc>
            </w:tr>
            <w:tr w14:paraId="771A5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restart"/>
                  <w:tcBorders>
                    <w:tl2br w:val="nil"/>
                    <w:tr2bl w:val="nil"/>
                  </w:tcBorders>
                  <w:vAlign w:val="center"/>
                </w:tcPr>
                <w:p w14:paraId="5D7F435D">
                  <w:pPr>
                    <w:pStyle w:val="32"/>
                    <w:rPr>
                      <w:rFonts w:hint="default"/>
                    </w:rPr>
                  </w:pPr>
                  <w:r>
                    <w:t>SO</w:t>
                  </w:r>
                  <w:r>
                    <w:rPr>
                      <w:vertAlign w:val="subscript"/>
                    </w:rPr>
                    <w:t>2</w:t>
                  </w:r>
                </w:p>
              </w:tc>
              <w:tc>
                <w:tcPr>
                  <w:tcW w:w="1780" w:type="pct"/>
                  <w:tcBorders>
                    <w:tl2br w:val="nil"/>
                    <w:tr2bl w:val="nil"/>
                  </w:tcBorders>
                  <w:vAlign w:val="center"/>
                </w:tcPr>
                <w:p w14:paraId="0B689A39">
                  <w:pPr>
                    <w:pStyle w:val="32"/>
                    <w:rPr>
                      <w:rFonts w:hint="default"/>
                    </w:rPr>
                  </w:pPr>
                  <w:r>
                    <w:t>年平均质量浓度</w:t>
                  </w:r>
                </w:p>
              </w:tc>
              <w:tc>
                <w:tcPr>
                  <w:tcW w:w="678" w:type="pct"/>
                  <w:tcBorders>
                    <w:tl2br w:val="nil"/>
                    <w:tr2bl w:val="nil"/>
                  </w:tcBorders>
                  <w:vAlign w:val="center"/>
                </w:tcPr>
                <w:p w14:paraId="0B8B10F2">
                  <w:pPr>
                    <w:pStyle w:val="32"/>
                    <w:rPr>
                      <w:rFonts w:hint="default"/>
                    </w:rPr>
                  </w:pPr>
                  <w:r>
                    <w:t>4.8</w:t>
                  </w:r>
                </w:p>
              </w:tc>
              <w:tc>
                <w:tcPr>
                  <w:tcW w:w="612" w:type="pct"/>
                  <w:tcBorders>
                    <w:tl2br w:val="nil"/>
                    <w:tr2bl w:val="nil"/>
                  </w:tcBorders>
                  <w:vAlign w:val="center"/>
                </w:tcPr>
                <w:p w14:paraId="6675FA35">
                  <w:pPr>
                    <w:pStyle w:val="32"/>
                    <w:rPr>
                      <w:rFonts w:hint="default"/>
                    </w:rPr>
                  </w:pPr>
                  <w:r>
                    <w:t>60</w:t>
                  </w:r>
                </w:p>
              </w:tc>
              <w:tc>
                <w:tcPr>
                  <w:tcW w:w="489" w:type="pct"/>
                  <w:tcBorders>
                    <w:tl2br w:val="nil"/>
                    <w:tr2bl w:val="nil"/>
                  </w:tcBorders>
                  <w:vAlign w:val="center"/>
                </w:tcPr>
                <w:p w14:paraId="17C1D8A3">
                  <w:pPr>
                    <w:pStyle w:val="32"/>
                    <w:rPr>
                      <w:rFonts w:hint="default"/>
                    </w:rPr>
                  </w:pPr>
                  <w:r>
                    <w:t>8.00</w:t>
                  </w:r>
                </w:p>
              </w:tc>
              <w:tc>
                <w:tcPr>
                  <w:tcW w:w="423" w:type="pct"/>
                  <w:tcBorders>
                    <w:tl2br w:val="nil"/>
                    <w:tr2bl w:val="nil"/>
                  </w:tcBorders>
                  <w:vAlign w:val="center"/>
                </w:tcPr>
                <w:p w14:paraId="0E0B403A">
                  <w:pPr>
                    <w:pStyle w:val="32"/>
                    <w:rPr>
                      <w:rFonts w:hint="default"/>
                    </w:rPr>
                  </w:pPr>
                  <w:r>
                    <w:t>/</w:t>
                  </w:r>
                </w:p>
              </w:tc>
              <w:tc>
                <w:tcPr>
                  <w:tcW w:w="549" w:type="pct"/>
                  <w:tcBorders>
                    <w:tl2br w:val="nil"/>
                    <w:tr2bl w:val="nil"/>
                  </w:tcBorders>
                  <w:vAlign w:val="center"/>
                </w:tcPr>
                <w:p w14:paraId="0263B8D1">
                  <w:pPr>
                    <w:pStyle w:val="32"/>
                    <w:rPr>
                      <w:rFonts w:hint="default"/>
                    </w:rPr>
                  </w:pPr>
                  <w:r>
                    <w:t>达标</w:t>
                  </w:r>
                </w:p>
              </w:tc>
            </w:tr>
            <w:tr w14:paraId="1133B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continue"/>
                  <w:tcBorders>
                    <w:tl2br w:val="nil"/>
                    <w:tr2bl w:val="nil"/>
                  </w:tcBorders>
                  <w:vAlign w:val="center"/>
                </w:tcPr>
                <w:p w14:paraId="5DCF1D41">
                  <w:pPr>
                    <w:pStyle w:val="32"/>
                    <w:rPr>
                      <w:rFonts w:hint="default"/>
                    </w:rPr>
                  </w:pPr>
                </w:p>
              </w:tc>
              <w:tc>
                <w:tcPr>
                  <w:tcW w:w="1780" w:type="pct"/>
                  <w:tcBorders>
                    <w:tl2br w:val="nil"/>
                    <w:tr2bl w:val="nil"/>
                  </w:tcBorders>
                  <w:vAlign w:val="center"/>
                </w:tcPr>
                <w:p w14:paraId="269B8C1A">
                  <w:pPr>
                    <w:pStyle w:val="32"/>
                    <w:rPr>
                      <w:rFonts w:hint="default"/>
                    </w:rPr>
                  </w:pPr>
                  <w:r>
                    <w:t>第98百分位数日平均浓度</w:t>
                  </w:r>
                </w:p>
              </w:tc>
              <w:tc>
                <w:tcPr>
                  <w:tcW w:w="678" w:type="pct"/>
                  <w:tcBorders>
                    <w:tl2br w:val="nil"/>
                    <w:tr2bl w:val="nil"/>
                  </w:tcBorders>
                  <w:vAlign w:val="center"/>
                </w:tcPr>
                <w:p w14:paraId="76BD479D">
                  <w:pPr>
                    <w:pStyle w:val="32"/>
                    <w:rPr>
                      <w:rFonts w:hint="default"/>
                    </w:rPr>
                  </w:pPr>
                  <w:r>
                    <w:t>9</w:t>
                  </w:r>
                </w:p>
              </w:tc>
              <w:tc>
                <w:tcPr>
                  <w:tcW w:w="612" w:type="pct"/>
                  <w:tcBorders>
                    <w:tl2br w:val="nil"/>
                    <w:tr2bl w:val="nil"/>
                  </w:tcBorders>
                  <w:vAlign w:val="center"/>
                </w:tcPr>
                <w:p w14:paraId="75839358">
                  <w:pPr>
                    <w:pStyle w:val="32"/>
                    <w:rPr>
                      <w:rFonts w:hint="default"/>
                    </w:rPr>
                  </w:pPr>
                  <w:r>
                    <w:t>150</w:t>
                  </w:r>
                </w:p>
              </w:tc>
              <w:tc>
                <w:tcPr>
                  <w:tcW w:w="489" w:type="pct"/>
                  <w:tcBorders>
                    <w:tl2br w:val="nil"/>
                    <w:tr2bl w:val="nil"/>
                  </w:tcBorders>
                  <w:vAlign w:val="center"/>
                </w:tcPr>
                <w:p w14:paraId="52596740">
                  <w:pPr>
                    <w:pStyle w:val="32"/>
                    <w:rPr>
                      <w:rFonts w:hint="default"/>
                    </w:rPr>
                  </w:pPr>
                  <w:r>
                    <w:t>6.00</w:t>
                  </w:r>
                </w:p>
              </w:tc>
              <w:tc>
                <w:tcPr>
                  <w:tcW w:w="423" w:type="pct"/>
                  <w:tcBorders>
                    <w:tl2br w:val="nil"/>
                    <w:tr2bl w:val="nil"/>
                  </w:tcBorders>
                  <w:vAlign w:val="center"/>
                </w:tcPr>
                <w:p w14:paraId="4F4B6A63">
                  <w:pPr>
                    <w:pStyle w:val="32"/>
                    <w:rPr>
                      <w:rFonts w:hint="default"/>
                    </w:rPr>
                  </w:pPr>
                  <w:r>
                    <w:t>/</w:t>
                  </w:r>
                </w:p>
              </w:tc>
              <w:tc>
                <w:tcPr>
                  <w:tcW w:w="549" w:type="pct"/>
                  <w:tcBorders>
                    <w:tl2br w:val="nil"/>
                    <w:tr2bl w:val="nil"/>
                  </w:tcBorders>
                  <w:vAlign w:val="center"/>
                </w:tcPr>
                <w:p w14:paraId="4B86EF7C">
                  <w:pPr>
                    <w:pStyle w:val="32"/>
                    <w:rPr>
                      <w:rFonts w:hint="default"/>
                    </w:rPr>
                  </w:pPr>
                  <w:r>
                    <w:t>达标</w:t>
                  </w:r>
                </w:p>
              </w:tc>
            </w:tr>
            <w:tr w14:paraId="50652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restart"/>
                  <w:tcBorders>
                    <w:tl2br w:val="nil"/>
                    <w:tr2bl w:val="nil"/>
                  </w:tcBorders>
                  <w:vAlign w:val="center"/>
                </w:tcPr>
                <w:p w14:paraId="32A18E2E">
                  <w:pPr>
                    <w:pStyle w:val="32"/>
                    <w:rPr>
                      <w:rFonts w:hint="default"/>
                    </w:rPr>
                  </w:pPr>
                  <w:r>
                    <w:t>NO</w:t>
                  </w:r>
                  <w:r>
                    <w:rPr>
                      <w:vertAlign w:val="subscript"/>
                    </w:rPr>
                    <w:t>2</w:t>
                  </w:r>
                </w:p>
              </w:tc>
              <w:tc>
                <w:tcPr>
                  <w:tcW w:w="1780" w:type="pct"/>
                  <w:tcBorders>
                    <w:tl2br w:val="nil"/>
                    <w:tr2bl w:val="nil"/>
                  </w:tcBorders>
                  <w:vAlign w:val="center"/>
                </w:tcPr>
                <w:p w14:paraId="3D383E3E">
                  <w:pPr>
                    <w:pStyle w:val="32"/>
                    <w:rPr>
                      <w:rFonts w:hint="default"/>
                    </w:rPr>
                  </w:pPr>
                  <w:r>
                    <w:t>年平均质量浓度</w:t>
                  </w:r>
                </w:p>
              </w:tc>
              <w:tc>
                <w:tcPr>
                  <w:tcW w:w="678" w:type="pct"/>
                  <w:tcBorders>
                    <w:tl2br w:val="nil"/>
                    <w:tr2bl w:val="nil"/>
                  </w:tcBorders>
                  <w:vAlign w:val="center"/>
                </w:tcPr>
                <w:p w14:paraId="048BED8B">
                  <w:pPr>
                    <w:pStyle w:val="32"/>
                    <w:rPr>
                      <w:rFonts w:hint="default"/>
                    </w:rPr>
                  </w:pPr>
                  <w:r>
                    <w:t>15.6</w:t>
                  </w:r>
                </w:p>
              </w:tc>
              <w:tc>
                <w:tcPr>
                  <w:tcW w:w="612" w:type="pct"/>
                  <w:tcBorders>
                    <w:tl2br w:val="nil"/>
                    <w:tr2bl w:val="nil"/>
                  </w:tcBorders>
                  <w:vAlign w:val="center"/>
                </w:tcPr>
                <w:p w14:paraId="24B0F05B">
                  <w:pPr>
                    <w:pStyle w:val="32"/>
                    <w:rPr>
                      <w:rFonts w:hint="default"/>
                    </w:rPr>
                  </w:pPr>
                  <w:r>
                    <w:t>40</w:t>
                  </w:r>
                </w:p>
              </w:tc>
              <w:tc>
                <w:tcPr>
                  <w:tcW w:w="489" w:type="pct"/>
                  <w:tcBorders>
                    <w:tl2br w:val="nil"/>
                    <w:tr2bl w:val="nil"/>
                  </w:tcBorders>
                  <w:vAlign w:val="center"/>
                </w:tcPr>
                <w:p w14:paraId="3D1E5790">
                  <w:pPr>
                    <w:pStyle w:val="32"/>
                    <w:rPr>
                      <w:rFonts w:hint="default"/>
                    </w:rPr>
                  </w:pPr>
                  <w:r>
                    <w:t>39.00</w:t>
                  </w:r>
                </w:p>
              </w:tc>
              <w:tc>
                <w:tcPr>
                  <w:tcW w:w="423" w:type="pct"/>
                  <w:tcBorders>
                    <w:tl2br w:val="nil"/>
                    <w:tr2bl w:val="nil"/>
                  </w:tcBorders>
                  <w:vAlign w:val="center"/>
                </w:tcPr>
                <w:p w14:paraId="0FB17C29">
                  <w:pPr>
                    <w:pStyle w:val="32"/>
                    <w:rPr>
                      <w:rFonts w:hint="default"/>
                    </w:rPr>
                  </w:pPr>
                  <w:r>
                    <w:t>/</w:t>
                  </w:r>
                </w:p>
              </w:tc>
              <w:tc>
                <w:tcPr>
                  <w:tcW w:w="549" w:type="pct"/>
                  <w:tcBorders>
                    <w:tl2br w:val="nil"/>
                    <w:tr2bl w:val="nil"/>
                  </w:tcBorders>
                  <w:vAlign w:val="center"/>
                </w:tcPr>
                <w:p w14:paraId="65F034E1">
                  <w:pPr>
                    <w:pStyle w:val="32"/>
                    <w:rPr>
                      <w:rFonts w:hint="default"/>
                    </w:rPr>
                  </w:pPr>
                  <w:r>
                    <w:t>达标</w:t>
                  </w:r>
                </w:p>
              </w:tc>
            </w:tr>
            <w:tr w14:paraId="43395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continue"/>
                  <w:tcBorders>
                    <w:tl2br w:val="nil"/>
                    <w:tr2bl w:val="nil"/>
                  </w:tcBorders>
                  <w:vAlign w:val="center"/>
                </w:tcPr>
                <w:p w14:paraId="3CDF876C">
                  <w:pPr>
                    <w:pStyle w:val="32"/>
                    <w:rPr>
                      <w:rFonts w:hint="default"/>
                    </w:rPr>
                  </w:pPr>
                </w:p>
              </w:tc>
              <w:tc>
                <w:tcPr>
                  <w:tcW w:w="1780" w:type="pct"/>
                  <w:tcBorders>
                    <w:tl2br w:val="nil"/>
                    <w:tr2bl w:val="nil"/>
                  </w:tcBorders>
                  <w:vAlign w:val="center"/>
                </w:tcPr>
                <w:p w14:paraId="1C27471B">
                  <w:pPr>
                    <w:pStyle w:val="32"/>
                    <w:rPr>
                      <w:rFonts w:hint="default"/>
                    </w:rPr>
                  </w:pPr>
                  <w:r>
                    <w:t>第98百分位数日平均浓度</w:t>
                  </w:r>
                </w:p>
              </w:tc>
              <w:tc>
                <w:tcPr>
                  <w:tcW w:w="678" w:type="pct"/>
                  <w:tcBorders>
                    <w:tl2br w:val="nil"/>
                    <w:tr2bl w:val="nil"/>
                  </w:tcBorders>
                  <w:vAlign w:val="center"/>
                </w:tcPr>
                <w:p w14:paraId="1859F61F">
                  <w:pPr>
                    <w:pStyle w:val="32"/>
                    <w:rPr>
                      <w:rFonts w:hint="default"/>
                    </w:rPr>
                  </w:pPr>
                  <w:r>
                    <w:t>45</w:t>
                  </w:r>
                </w:p>
              </w:tc>
              <w:tc>
                <w:tcPr>
                  <w:tcW w:w="612" w:type="pct"/>
                  <w:tcBorders>
                    <w:tl2br w:val="nil"/>
                    <w:tr2bl w:val="nil"/>
                  </w:tcBorders>
                  <w:vAlign w:val="center"/>
                </w:tcPr>
                <w:p w14:paraId="3D85F50E">
                  <w:pPr>
                    <w:pStyle w:val="32"/>
                    <w:rPr>
                      <w:rFonts w:hint="default"/>
                    </w:rPr>
                  </w:pPr>
                  <w:r>
                    <w:t>80</w:t>
                  </w:r>
                </w:p>
              </w:tc>
              <w:tc>
                <w:tcPr>
                  <w:tcW w:w="489" w:type="pct"/>
                  <w:tcBorders>
                    <w:tl2br w:val="nil"/>
                    <w:tr2bl w:val="nil"/>
                  </w:tcBorders>
                  <w:vAlign w:val="center"/>
                </w:tcPr>
                <w:p w14:paraId="2155E8DC">
                  <w:pPr>
                    <w:pStyle w:val="32"/>
                    <w:rPr>
                      <w:rFonts w:hint="default"/>
                    </w:rPr>
                  </w:pPr>
                  <w:r>
                    <w:t>56.25</w:t>
                  </w:r>
                </w:p>
              </w:tc>
              <w:tc>
                <w:tcPr>
                  <w:tcW w:w="423" w:type="pct"/>
                  <w:tcBorders>
                    <w:tl2br w:val="nil"/>
                    <w:tr2bl w:val="nil"/>
                  </w:tcBorders>
                  <w:vAlign w:val="center"/>
                </w:tcPr>
                <w:p w14:paraId="0EA37DB2">
                  <w:pPr>
                    <w:pStyle w:val="32"/>
                    <w:rPr>
                      <w:rFonts w:hint="default"/>
                    </w:rPr>
                  </w:pPr>
                  <w:r>
                    <w:t>/</w:t>
                  </w:r>
                </w:p>
              </w:tc>
              <w:tc>
                <w:tcPr>
                  <w:tcW w:w="549" w:type="pct"/>
                  <w:tcBorders>
                    <w:tl2br w:val="nil"/>
                    <w:tr2bl w:val="nil"/>
                  </w:tcBorders>
                  <w:vAlign w:val="center"/>
                </w:tcPr>
                <w:p w14:paraId="78FA7C8B">
                  <w:pPr>
                    <w:pStyle w:val="32"/>
                    <w:rPr>
                      <w:rFonts w:hint="default"/>
                    </w:rPr>
                  </w:pPr>
                  <w:r>
                    <w:t>达标</w:t>
                  </w:r>
                </w:p>
              </w:tc>
            </w:tr>
            <w:tr w14:paraId="5D4EC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tcBorders>
                    <w:tl2br w:val="nil"/>
                    <w:tr2bl w:val="nil"/>
                  </w:tcBorders>
                  <w:vAlign w:val="center"/>
                </w:tcPr>
                <w:p w14:paraId="35CB8434">
                  <w:pPr>
                    <w:pStyle w:val="32"/>
                    <w:rPr>
                      <w:rFonts w:hint="default"/>
                    </w:rPr>
                  </w:pPr>
                  <w:r>
                    <w:t>CO</w:t>
                  </w:r>
                </w:p>
              </w:tc>
              <w:tc>
                <w:tcPr>
                  <w:tcW w:w="1780" w:type="pct"/>
                  <w:tcBorders>
                    <w:tl2br w:val="nil"/>
                    <w:tr2bl w:val="nil"/>
                  </w:tcBorders>
                  <w:vAlign w:val="center"/>
                </w:tcPr>
                <w:p w14:paraId="3F400CB9">
                  <w:pPr>
                    <w:pStyle w:val="32"/>
                    <w:rPr>
                      <w:rFonts w:hint="default"/>
                    </w:rPr>
                  </w:pPr>
                  <w:r>
                    <w:t>第95百分位数日平均浓度</w:t>
                  </w:r>
                </w:p>
              </w:tc>
              <w:tc>
                <w:tcPr>
                  <w:tcW w:w="678" w:type="pct"/>
                  <w:tcBorders>
                    <w:tl2br w:val="nil"/>
                    <w:tr2bl w:val="nil"/>
                  </w:tcBorders>
                  <w:vAlign w:val="center"/>
                </w:tcPr>
                <w:p w14:paraId="054439D7">
                  <w:pPr>
                    <w:pStyle w:val="32"/>
                    <w:rPr>
                      <w:rFonts w:hint="default"/>
                    </w:rPr>
                  </w:pPr>
                  <w:r>
                    <w:t>700</w:t>
                  </w:r>
                </w:p>
              </w:tc>
              <w:tc>
                <w:tcPr>
                  <w:tcW w:w="612" w:type="pct"/>
                  <w:tcBorders>
                    <w:tl2br w:val="nil"/>
                    <w:tr2bl w:val="nil"/>
                  </w:tcBorders>
                  <w:vAlign w:val="center"/>
                </w:tcPr>
                <w:p w14:paraId="0B7F5657">
                  <w:pPr>
                    <w:pStyle w:val="32"/>
                    <w:rPr>
                      <w:rFonts w:hint="default"/>
                    </w:rPr>
                  </w:pPr>
                  <w:r>
                    <w:t>4000</w:t>
                  </w:r>
                </w:p>
              </w:tc>
              <w:tc>
                <w:tcPr>
                  <w:tcW w:w="489" w:type="pct"/>
                  <w:tcBorders>
                    <w:tl2br w:val="nil"/>
                    <w:tr2bl w:val="nil"/>
                  </w:tcBorders>
                  <w:vAlign w:val="center"/>
                </w:tcPr>
                <w:p w14:paraId="5687F5ED">
                  <w:pPr>
                    <w:pStyle w:val="32"/>
                    <w:rPr>
                      <w:rFonts w:hint="default"/>
                    </w:rPr>
                  </w:pPr>
                  <w:r>
                    <w:t>17.50</w:t>
                  </w:r>
                </w:p>
              </w:tc>
              <w:tc>
                <w:tcPr>
                  <w:tcW w:w="423" w:type="pct"/>
                  <w:tcBorders>
                    <w:tl2br w:val="nil"/>
                    <w:tr2bl w:val="nil"/>
                  </w:tcBorders>
                  <w:vAlign w:val="center"/>
                </w:tcPr>
                <w:p w14:paraId="05D16A74">
                  <w:pPr>
                    <w:pStyle w:val="32"/>
                    <w:rPr>
                      <w:rFonts w:hint="default"/>
                    </w:rPr>
                  </w:pPr>
                  <w:r>
                    <w:t>/</w:t>
                  </w:r>
                </w:p>
              </w:tc>
              <w:tc>
                <w:tcPr>
                  <w:tcW w:w="549" w:type="pct"/>
                  <w:tcBorders>
                    <w:tl2br w:val="nil"/>
                    <w:tr2bl w:val="nil"/>
                  </w:tcBorders>
                  <w:vAlign w:val="center"/>
                </w:tcPr>
                <w:p w14:paraId="7B1F8F20">
                  <w:pPr>
                    <w:pStyle w:val="32"/>
                    <w:rPr>
                      <w:rFonts w:hint="default"/>
                    </w:rPr>
                  </w:pPr>
                  <w:r>
                    <w:t>达标</w:t>
                  </w:r>
                </w:p>
              </w:tc>
            </w:tr>
            <w:tr w14:paraId="243FC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tcBorders>
                    <w:tl2br w:val="nil"/>
                    <w:tr2bl w:val="nil"/>
                  </w:tcBorders>
                  <w:vAlign w:val="center"/>
                </w:tcPr>
                <w:p w14:paraId="20813F7C">
                  <w:pPr>
                    <w:pStyle w:val="32"/>
                    <w:rPr>
                      <w:rFonts w:hint="default"/>
                    </w:rPr>
                  </w:pPr>
                  <w:r>
                    <w:t>O</w:t>
                  </w:r>
                  <w:r>
                    <w:rPr>
                      <w:vertAlign w:val="subscript"/>
                    </w:rPr>
                    <w:t>3</w:t>
                  </w:r>
                </w:p>
              </w:tc>
              <w:tc>
                <w:tcPr>
                  <w:tcW w:w="1780" w:type="pct"/>
                  <w:tcBorders>
                    <w:tl2br w:val="nil"/>
                    <w:tr2bl w:val="nil"/>
                  </w:tcBorders>
                  <w:vAlign w:val="center"/>
                </w:tcPr>
                <w:p w14:paraId="032FB1C0">
                  <w:pPr>
                    <w:pStyle w:val="32"/>
                    <w:rPr>
                      <w:rFonts w:hint="default"/>
                    </w:rPr>
                  </w:pPr>
                  <w:r>
                    <w:t>第90百分位日最大8h平均浓度</w:t>
                  </w:r>
                </w:p>
              </w:tc>
              <w:tc>
                <w:tcPr>
                  <w:tcW w:w="678" w:type="pct"/>
                  <w:tcBorders>
                    <w:tl2br w:val="nil"/>
                    <w:tr2bl w:val="nil"/>
                  </w:tcBorders>
                  <w:vAlign w:val="center"/>
                </w:tcPr>
                <w:p w14:paraId="29C0D8BA">
                  <w:pPr>
                    <w:pStyle w:val="32"/>
                    <w:rPr>
                      <w:rFonts w:hint="default"/>
                    </w:rPr>
                  </w:pPr>
                  <w:r>
                    <w:t>124</w:t>
                  </w:r>
                </w:p>
              </w:tc>
              <w:tc>
                <w:tcPr>
                  <w:tcW w:w="612" w:type="pct"/>
                  <w:tcBorders>
                    <w:tl2br w:val="nil"/>
                    <w:tr2bl w:val="nil"/>
                  </w:tcBorders>
                  <w:vAlign w:val="center"/>
                </w:tcPr>
                <w:p w14:paraId="13FBAAE7">
                  <w:pPr>
                    <w:pStyle w:val="32"/>
                    <w:rPr>
                      <w:rFonts w:hint="default"/>
                    </w:rPr>
                  </w:pPr>
                  <w:r>
                    <w:t>160</w:t>
                  </w:r>
                </w:p>
              </w:tc>
              <w:tc>
                <w:tcPr>
                  <w:tcW w:w="489" w:type="pct"/>
                  <w:tcBorders>
                    <w:tl2br w:val="nil"/>
                    <w:tr2bl w:val="nil"/>
                  </w:tcBorders>
                  <w:vAlign w:val="center"/>
                </w:tcPr>
                <w:p w14:paraId="79301E16">
                  <w:pPr>
                    <w:pStyle w:val="32"/>
                    <w:rPr>
                      <w:rFonts w:hint="default"/>
                    </w:rPr>
                  </w:pPr>
                  <w:r>
                    <w:t>77.50</w:t>
                  </w:r>
                </w:p>
              </w:tc>
              <w:tc>
                <w:tcPr>
                  <w:tcW w:w="423" w:type="pct"/>
                  <w:tcBorders>
                    <w:tl2br w:val="nil"/>
                    <w:tr2bl w:val="nil"/>
                  </w:tcBorders>
                  <w:vAlign w:val="center"/>
                </w:tcPr>
                <w:p w14:paraId="40760909">
                  <w:pPr>
                    <w:pStyle w:val="32"/>
                    <w:rPr>
                      <w:rFonts w:hint="default"/>
                    </w:rPr>
                  </w:pPr>
                  <w:r>
                    <w:t>/</w:t>
                  </w:r>
                </w:p>
              </w:tc>
              <w:tc>
                <w:tcPr>
                  <w:tcW w:w="549" w:type="pct"/>
                  <w:tcBorders>
                    <w:tl2br w:val="nil"/>
                    <w:tr2bl w:val="nil"/>
                  </w:tcBorders>
                  <w:vAlign w:val="center"/>
                </w:tcPr>
                <w:p w14:paraId="75672956">
                  <w:pPr>
                    <w:pStyle w:val="32"/>
                    <w:rPr>
                      <w:rFonts w:hint="default"/>
                    </w:rPr>
                  </w:pPr>
                  <w:r>
                    <w:t>达标</w:t>
                  </w:r>
                </w:p>
              </w:tc>
            </w:tr>
            <w:tr w14:paraId="40B94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restart"/>
                  <w:tcBorders>
                    <w:tl2br w:val="nil"/>
                    <w:tr2bl w:val="nil"/>
                  </w:tcBorders>
                  <w:vAlign w:val="center"/>
                </w:tcPr>
                <w:p w14:paraId="7871CB6F">
                  <w:pPr>
                    <w:pStyle w:val="32"/>
                    <w:rPr>
                      <w:rFonts w:hint="default"/>
                    </w:rPr>
                  </w:pPr>
                  <w:r>
                    <w:t>PM</w:t>
                  </w:r>
                  <w:r>
                    <w:rPr>
                      <w:vertAlign w:val="subscript"/>
                    </w:rPr>
                    <w:t>10</w:t>
                  </w:r>
                </w:p>
              </w:tc>
              <w:tc>
                <w:tcPr>
                  <w:tcW w:w="1780" w:type="pct"/>
                  <w:tcBorders>
                    <w:tl2br w:val="nil"/>
                    <w:tr2bl w:val="nil"/>
                  </w:tcBorders>
                  <w:vAlign w:val="center"/>
                </w:tcPr>
                <w:p w14:paraId="022AFBF4">
                  <w:pPr>
                    <w:pStyle w:val="32"/>
                    <w:rPr>
                      <w:rFonts w:hint="default"/>
                    </w:rPr>
                  </w:pPr>
                  <w:r>
                    <w:t>年平均质量浓度</w:t>
                  </w:r>
                </w:p>
              </w:tc>
              <w:tc>
                <w:tcPr>
                  <w:tcW w:w="678" w:type="pct"/>
                  <w:tcBorders>
                    <w:tl2br w:val="nil"/>
                    <w:tr2bl w:val="nil"/>
                  </w:tcBorders>
                  <w:vAlign w:val="center"/>
                </w:tcPr>
                <w:p w14:paraId="7A6F61E9">
                  <w:pPr>
                    <w:pStyle w:val="32"/>
                    <w:rPr>
                      <w:rFonts w:hint="default"/>
                    </w:rPr>
                  </w:pPr>
                  <w:r>
                    <w:t>135</w:t>
                  </w:r>
                </w:p>
              </w:tc>
              <w:tc>
                <w:tcPr>
                  <w:tcW w:w="612" w:type="pct"/>
                  <w:tcBorders>
                    <w:tl2br w:val="nil"/>
                    <w:tr2bl w:val="nil"/>
                  </w:tcBorders>
                  <w:vAlign w:val="center"/>
                </w:tcPr>
                <w:p w14:paraId="5BD8BF08">
                  <w:pPr>
                    <w:pStyle w:val="32"/>
                    <w:rPr>
                      <w:rFonts w:hint="default" w:eastAsia="宋体"/>
                      <w:lang w:val="en-US" w:eastAsia="zh-CN"/>
                    </w:rPr>
                  </w:pPr>
                  <w:r>
                    <w:rPr>
                      <w:rFonts w:hint="eastAsia"/>
                      <w:lang w:val="en-US" w:eastAsia="zh-CN"/>
                    </w:rPr>
                    <w:t>60</w:t>
                  </w:r>
                </w:p>
              </w:tc>
              <w:tc>
                <w:tcPr>
                  <w:tcW w:w="489" w:type="pct"/>
                  <w:tcBorders>
                    <w:tl2br w:val="nil"/>
                    <w:tr2bl w:val="nil"/>
                  </w:tcBorders>
                  <w:vAlign w:val="center"/>
                </w:tcPr>
                <w:p w14:paraId="7C1CA8FE">
                  <w:pPr>
                    <w:pStyle w:val="32"/>
                    <w:rPr>
                      <w:rFonts w:hint="default" w:eastAsia="宋体"/>
                      <w:lang w:val="en-US" w:eastAsia="zh-CN"/>
                    </w:rPr>
                  </w:pPr>
                  <w:r>
                    <w:rPr>
                      <w:rFonts w:hint="eastAsia"/>
                      <w:lang w:val="en-US" w:eastAsia="zh-CN"/>
                    </w:rPr>
                    <w:t>225.00</w:t>
                  </w:r>
                </w:p>
              </w:tc>
              <w:tc>
                <w:tcPr>
                  <w:tcW w:w="423" w:type="pct"/>
                  <w:tcBorders>
                    <w:tl2br w:val="nil"/>
                    <w:tr2bl w:val="nil"/>
                  </w:tcBorders>
                  <w:vAlign w:val="center"/>
                </w:tcPr>
                <w:p w14:paraId="257CAF87">
                  <w:pPr>
                    <w:pStyle w:val="32"/>
                    <w:rPr>
                      <w:rFonts w:hint="default" w:eastAsia="宋体"/>
                      <w:lang w:val="en-US" w:eastAsia="zh-CN"/>
                    </w:rPr>
                  </w:pPr>
                  <w:r>
                    <w:rPr>
                      <w:rFonts w:hint="eastAsia"/>
                      <w:lang w:val="en-US" w:eastAsia="zh-CN"/>
                    </w:rPr>
                    <w:t>1.25</w:t>
                  </w:r>
                </w:p>
              </w:tc>
              <w:tc>
                <w:tcPr>
                  <w:tcW w:w="549" w:type="pct"/>
                  <w:tcBorders>
                    <w:tl2br w:val="nil"/>
                    <w:tr2bl w:val="nil"/>
                  </w:tcBorders>
                  <w:vAlign w:val="center"/>
                </w:tcPr>
                <w:p w14:paraId="2DCA2A32">
                  <w:pPr>
                    <w:pStyle w:val="32"/>
                    <w:rPr>
                      <w:rFonts w:hint="default"/>
                    </w:rPr>
                  </w:pPr>
                  <w:r>
                    <w:t>不达标</w:t>
                  </w:r>
                </w:p>
              </w:tc>
            </w:tr>
            <w:tr w14:paraId="5005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continue"/>
                  <w:tcBorders>
                    <w:tl2br w:val="nil"/>
                    <w:tr2bl w:val="nil"/>
                  </w:tcBorders>
                  <w:vAlign w:val="center"/>
                </w:tcPr>
                <w:p w14:paraId="0564A16B">
                  <w:pPr>
                    <w:pStyle w:val="32"/>
                    <w:rPr>
                      <w:rFonts w:hint="default"/>
                    </w:rPr>
                  </w:pPr>
                </w:p>
              </w:tc>
              <w:tc>
                <w:tcPr>
                  <w:tcW w:w="1780" w:type="pct"/>
                  <w:tcBorders>
                    <w:tl2br w:val="nil"/>
                    <w:tr2bl w:val="nil"/>
                  </w:tcBorders>
                  <w:vAlign w:val="center"/>
                </w:tcPr>
                <w:p w14:paraId="1CC15BF9">
                  <w:pPr>
                    <w:pStyle w:val="32"/>
                    <w:rPr>
                      <w:rFonts w:hint="default"/>
                    </w:rPr>
                  </w:pPr>
                  <w:r>
                    <w:t>第95百分位数日平均浓度</w:t>
                  </w:r>
                </w:p>
              </w:tc>
              <w:tc>
                <w:tcPr>
                  <w:tcW w:w="678" w:type="pct"/>
                  <w:tcBorders>
                    <w:tl2br w:val="nil"/>
                    <w:tr2bl w:val="nil"/>
                  </w:tcBorders>
                  <w:vAlign w:val="center"/>
                </w:tcPr>
                <w:p w14:paraId="4BD143D2">
                  <w:pPr>
                    <w:pStyle w:val="32"/>
                    <w:rPr>
                      <w:rFonts w:hint="default"/>
                    </w:rPr>
                  </w:pPr>
                  <w:r>
                    <w:t>382</w:t>
                  </w:r>
                </w:p>
              </w:tc>
              <w:tc>
                <w:tcPr>
                  <w:tcW w:w="612" w:type="pct"/>
                  <w:tcBorders>
                    <w:tl2br w:val="nil"/>
                    <w:tr2bl w:val="nil"/>
                  </w:tcBorders>
                  <w:vAlign w:val="center"/>
                </w:tcPr>
                <w:p w14:paraId="537D6C90">
                  <w:pPr>
                    <w:pStyle w:val="32"/>
                    <w:rPr>
                      <w:rFonts w:hint="default" w:eastAsia="宋体"/>
                      <w:lang w:val="en-US" w:eastAsia="zh-CN"/>
                    </w:rPr>
                  </w:pPr>
                  <w:r>
                    <w:rPr>
                      <w:rFonts w:hint="eastAsia"/>
                      <w:lang w:val="en-US" w:eastAsia="zh-CN"/>
                    </w:rPr>
                    <w:t>120</w:t>
                  </w:r>
                </w:p>
              </w:tc>
              <w:tc>
                <w:tcPr>
                  <w:tcW w:w="489" w:type="pct"/>
                  <w:tcBorders>
                    <w:tl2br w:val="nil"/>
                    <w:tr2bl w:val="nil"/>
                  </w:tcBorders>
                  <w:vAlign w:val="center"/>
                </w:tcPr>
                <w:p w14:paraId="1FEBF264">
                  <w:pPr>
                    <w:pStyle w:val="32"/>
                    <w:rPr>
                      <w:rFonts w:hint="default" w:eastAsia="宋体"/>
                      <w:lang w:val="en-US" w:eastAsia="zh-CN"/>
                    </w:rPr>
                  </w:pPr>
                  <w:r>
                    <w:rPr>
                      <w:rFonts w:hint="eastAsia"/>
                      <w:lang w:val="en-US" w:eastAsia="zh-CN"/>
                    </w:rPr>
                    <w:t>318.33</w:t>
                  </w:r>
                </w:p>
              </w:tc>
              <w:tc>
                <w:tcPr>
                  <w:tcW w:w="423" w:type="pct"/>
                  <w:tcBorders>
                    <w:tl2br w:val="nil"/>
                    <w:tr2bl w:val="nil"/>
                  </w:tcBorders>
                  <w:vAlign w:val="center"/>
                </w:tcPr>
                <w:p w14:paraId="3CBCE087">
                  <w:pPr>
                    <w:pStyle w:val="32"/>
                    <w:rPr>
                      <w:rFonts w:hint="default" w:eastAsia="宋体"/>
                      <w:lang w:val="en-US" w:eastAsia="zh-CN"/>
                    </w:rPr>
                  </w:pPr>
                  <w:r>
                    <w:rPr>
                      <w:rFonts w:hint="eastAsia"/>
                      <w:lang w:val="en-US" w:eastAsia="zh-CN"/>
                    </w:rPr>
                    <w:t>2.18</w:t>
                  </w:r>
                </w:p>
              </w:tc>
              <w:tc>
                <w:tcPr>
                  <w:tcW w:w="549" w:type="pct"/>
                  <w:tcBorders>
                    <w:tl2br w:val="nil"/>
                    <w:tr2bl w:val="nil"/>
                  </w:tcBorders>
                  <w:vAlign w:val="center"/>
                </w:tcPr>
                <w:p w14:paraId="1D44E0AD">
                  <w:pPr>
                    <w:pStyle w:val="32"/>
                    <w:rPr>
                      <w:rFonts w:hint="default"/>
                    </w:rPr>
                  </w:pPr>
                  <w:r>
                    <w:t>不达标</w:t>
                  </w:r>
                </w:p>
              </w:tc>
            </w:tr>
            <w:tr w14:paraId="26F75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restart"/>
                  <w:tcBorders>
                    <w:tl2br w:val="nil"/>
                    <w:tr2bl w:val="nil"/>
                  </w:tcBorders>
                  <w:vAlign w:val="center"/>
                </w:tcPr>
                <w:p w14:paraId="4D7E2505">
                  <w:pPr>
                    <w:pStyle w:val="32"/>
                    <w:rPr>
                      <w:rFonts w:hint="default"/>
                    </w:rPr>
                  </w:pPr>
                  <w:r>
                    <w:t>PM</w:t>
                  </w:r>
                  <w:r>
                    <w:rPr>
                      <w:vertAlign w:val="subscript"/>
                    </w:rPr>
                    <w:t>2.5</w:t>
                  </w:r>
                </w:p>
              </w:tc>
              <w:tc>
                <w:tcPr>
                  <w:tcW w:w="1780" w:type="pct"/>
                  <w:tcBorders>
                    <w:tl2br w:val="nil"/>
                    <w:tr2bl w:val="nil"/>
                  </w:tcBorders>
                  <w:vAlign w:val="center"/>
                </w:tcPr>
                <w:p w14:paraId="58D24AD1">
                  <w:pPr>
                    <w:pStyle w:val="32"/>
                    <w:rPr>
                      <w:rFonts w:hint="default"/>
                    </w:rPr>
                  </w:pPr>
                  <w:r>
                    <w:t>年平均质量浓度</w:t>
                  </w:r>
                </w:p>
              </w:tc>
              <w:tc>
                <w:tcPr>
                  <w:tcW w:w="678" w:type="pct"/>
                  <w:tcBorders>
                    <w:tl2br w:val="nil"/>
                    <w:tr2bl w:val="nil"/>
                  </w:tcBorders>
                  <w:vAlign w:val="center"/>
                </w:tcPr>
                <w:p w14:paraId="066E9327">
                  <w:pPr>
                    <w:pStyle w:val="32"/>
                    <w:rPr>
                      <w:rFonts w:hint="default"/>
                    </w:rPr>
                  </w:pPr>
                  <w:r>
                    <w:t>36</w:t>
                  </w:r>
                </w:p>
              </w:tc>
              <w:tc>
                <w:tcPr>
                  <w:tcW w:w="612" w:type="pct"/>
                  <w:tcBorders>
                    <w:tl2br w:val="nil"/>
                    <w:tr2bl w:val="nil"/>
                  </w:tcBorders>
                  <w:vAlign w:val="center"/>
                </w:tcPr>
                <w:p w14:paraId="5ED01AD3">
                  <w:pPr>
                    <w:pStyle w:val="32"/>
                    <w:rPr>
                      <w:rFonts w:hint="default" w:eastAsia="宋体"/>
                      <w:lang w:val="en-US" w:eastAsia="zh-CN"/>
                    </w:rPr>
                  </w:pPr>
                  <w:r>
                    <w:rPr>
                      <w:rFonts w:hint="eastAsia"/>
                      <w:lang w:val="en-US" w:eastAsia="zh-CN"/>
                    </w:rPr>
                    <w:t>30</w:t>
                  </w:r>
                </w:p>
              </w:tc>
              <w:tc>
                <w:tcPr>
                  <w:tcW w:w="489" w:type="pct"/>
                  <w:tcBorders>
                    <w:tl2br w:val="nil"/>
                    <w:tr2bl w:val="nil"/>
                  </w:tcBorders>
                  <w:vAlign w:val="center"/>
                </w:tcPr>
                <w:p w14:paraId="30BF7B8E">
                  <w:pPr>
                    <w:pStyle w:val="32"/>
                    <w:rPr>
                      <w:rFonts w:hint="default" w:eastAsia="宋体"/>
                      <w:lang w:val="en-US" w:eastAsia="zh-CN"/>
                    </w:rPr>
                  </w:pPr>
                  <w:r>
                    <w:rPr>
                      <w:rFonts w:hint="eastAsia"/>
                      <w:lang w:val="en-US" w:eastAsia="zh-CN"/>
                    </w:rPr>
                    <w:t>120.00</w:t>
                  </w:r>
                </w:p>
              </w:tc>
              <w:tc>
                <w:tcPr>
                  <w:tcW w:w="423" w:type="pct"/>
                  <w:tcBorders>
                    <w:tl2br w:val="nil"/>
                    <w:tr2bl w:val="nil"/>
                  </w:tcBorders>
                  <w:vAlign w:val="center"/>
                </w:tcPr>
                <w:p w14:paraId="2341E5AF">
                  <w:pPr>
                    <w:pStyle w:val="32"/>
                    <w:rPr>
                      <w:rFonts w:hint="default" w:eastAsia="宋体"/>
                      <w:lang w:val="en-US" w:eastAsia="zh-CN"/>
                    </w:rPr>
                  </w:pPr>
                  <w:r>
                    <w:rPr>
                      <w:rFonts w:hint="eastAsia"/>
                      <w:lang w:val="en-US" w:eastAsia="zh-CN"/>
                    </w:rPr>
                    <w:t>0.20</w:t>
                  </w:r>
                </w:p>
              </w:tc>
              <w:tc>
                <w:tcPr>
                  <w:tcW w:w="549" w:type="pct"/>
                  <w:tcBorders>
                    <w:tl2br w:val="nil"/>
                    <w:tr2bl w:val="nil"/>
                  </w:tcBorders>
                  <w:vAlign w:val="center"/>
                </w:tcPr>
                <w:p w14:paraId="74366CED">
                  <w:pPr>
                    <w:pStyle w:val="32"/>
                    <w:rPr>
                      <w:rFonts w:hint="default"/>
                    </w:rPr>
                  </w:pPr>
                  <w:r>
                    <w:t>不达标</w:t>
                  </w:r>
                </w:p>
              </w:tc>
            </w:tr>
            <w:tr w14:paraId="1E7A1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continue"/>
                  <w:tcBorders>
                    <w:tl2br w:val="nil"/>
                    <w:tr2bl w:val="nil"/>
                  </w:tcBorders>
                  <w:vAlign w:val="center"/>
                </w:tcPr>
                <w:p w14:paraId="6E102000">
                  <w:pPr>
                    <w:pStyle w:val="32"/>
                    <w:rPr>
                      <w:rFonts w:hint="default"/>
                    </w:rPr>
                  </w:pPr>
                </w:p>
              </w:tc>
              <w:tc>
                <w:tcPr>
                  <w:tcW w:w="1780" w:type="pct"/>
                  <w:tcBorders>
                    <w:tl2br w:val="nil"/>
                    <w:tr2bl w:val="nil"/>
                  </w:tcBorders>
                  <w:vAlign w:val="center"/>
                </w:tcPr>
                <w:p w14:paraId="64A4418E">
                  <w:pPr>
                    <w:pStyle w:val="32"/>
                    <w:rPr>
                      <w:rFonts w:hint="default"/>
                    </w:rPr>
                  </w:pPr>
                  <w:r>
                    <w:t>第95百分位数日平均浓度</w:t>
                  </w:r>
                </w:p>
              </w:tc>
              <w:tc>
                <w:tcPr>
                  <w:tcW w:w="678" w:type="pct"/>
                  <w:tcBorders>
                    <w:tl2br w:val="nil"/>
                    <w:tr2bl w:val="nil"/>
                  </w:tcBorders>
                  <w:vAlign w:val="center"/>
                </w:tcPr>
                <w:p w14:paraId="3BD3560A">
                  <w:pPr>
                    <w:pStyle w:val="32"/>
                    <w:rPr>
                      <w:rFonts w:hint="default"/>
                    </w:rPr>
                  </w:pPr>
                  <w:r>
                    <w:t>79</w:t>
                  </w:r>
                </w:p>
              </w:tc>
              <w:tc>
                <w:tcPr>
                  <w:tcW w:w="612" w:type="pct"/>
                  <w:tcBorders>
                    <w:tl2br w:val="nil"/>
                    <w:tr2bl w:val="nil"/>
                  </w:tcBorders>
                  <w:vAlign w:val="center"/>
                </w:tcPr>
                <w:p w14:paraId="0C28408A">
                  <w:pPr>
                    <w:pStyle w:val="32"/>
                    <w:rPr>
                      <w:rFonts w:hint="default" w:eastAsia="宋体"/>
                      <w:lang w:val="en-US" w:eastAsia="zh-CN"/>
                    </w:rPr>
                  </w:pPr>
                  <w:r>
                    <w:rPr>
                      <w:rFonts w:hint="eastAsia"/>
                      <w:lang w:val="en-US" w:eastAsia="zh-CN"/>
                    </w:rPr>
                    <w:t>60</w:t>
                  </w:r>
                </w:p>
              </w:tc>
              <w:tc>
                <w:tcPr>
                  <w:tcW w:w="489" w:type="pct"/>
                  <w:tcBorders>
                    <w:tl2br w:val="nil"/>
                    <w:tr2bl w:val="nil"/>
                  </w:tcBorders>
                  <w:vAlign w:val="center"/>
                </w:tcPr>
                <w:p w14:paraId="714083CE">
                  <w:pPr>
                    <w:pStyle w:val="32"/>
                    <w:rPr>
                      <w:rFonts w:hint="default" w:eastAsia="宋体"/>
                      <w:lang w:val="en-US" w:eastAsia="zh-CN"/>
                    </w:rPr>
                  </w:pPr>
                  <w:r>
                    <w:rPr>
                      <w:rFonts w:hint="eastAsia"/>
                      <w:lang w:val="en-US" w:eastAsia="zh-CN"/>
                    </w:rPr>
                    <w:t>131.67</w:t>
                  </w:r>
                </w:p>
              </w:tc>
              <w:tc>
                <w:tcPr>
                  <w:tcW w:w="423" w:type="pct"/>
                  <w:tcBorders>
                    <w:tl2br w:val="nil"/>
                    <w:tr2bl w:val="nil"/>
                  </w:tcBorders>
                  <w:vAlign w:val="center"/>
                </w:tcPr>
                <w:p w14:paraId="775DBE83">
                  <w:pPr>
                    <w:pStyle w:val="32"/>
                    <w:rPr>
                      <w:rFonts w:hint="default" w:eastAsia="宋体"/>
                      <w:lang w:val="en-US" w:eastAsia="zh-CN"/>
                    </w:rPr>
                  </w:pPr>
                  <w:r>
                    <w:rPr>
                      <w:rFonts w:hint="eastAsia"/>
                      <w:lang w:val="en-US" w:eastAsia="zh-CN"/>
                    </w:rPr>
                    <w:t>0.32</w:t>
                  </w:r>
                </w:p>
              </w:tc>
              <w:tc>
                <w:tcPr>
                  <w:tcW w:w="549" w:type="pct"/>
                  <w:tcBorders>
                    <w:tl2br w:val="nil"/>
                    <w:tr2bl w:val="nil"/>
                  </w:tcBorders>
                  <w:vAlign w:val="center"/>
                </w:tcPr>
                <w:p w14:paraId="05AFD6D8">
                  <w:pPr>
                    <w:pStyle w:val="32"/>
                    <w:rPr>
                      <w:rFonts w:hint="default"/>
                    </w:rPr>
                  </w:pPr>
                  <w:r>
                    <w:t>不达标</w:t>
                  </w:r>
                </w:p>
              </w:tc>
            </w:tr>
          </w:tbl>
          <w:p w14:paraId="270D7512">
            <w:pPr>
              <w:rPr>
                <w:kern w:val="0"/>
              </w:rPr>
            </w:pPr>
            <w:bookmarkStart w:id="11" w:name="OLE_LINK49"/>
            <w:r>
              <w:rPr>
                <w:rFonts w:hint="eastAsia"/>
              </w:rPr>
              <w:t>根据上述评价结果，库尔勒经济技术开发区国控空气自动监测站2024年</w:t>
            </w:r>
            <w:r>
              <w:rPr>
                <w:kern w:val="0"/>
              </w:rPr>
              <w:t>各项污染物除PM</w:t>
            </w:r>
            <w:r>
              <w:rPr>
                <w:kern w:val="0"/>
                <w:vertAlign w:val="subscript"/>
              </w:rPr>
              <w:t>10</w:t>
            </w:r>
            <w:r>
              <w:rPr>
                <w:kern w:val="0"/>
              </w:rPr>
              <w:t>、PM</w:t>
            </w:r>
            <w:r>
              <w:rPr>
                <w:kern w:val="0"/>
                <w:vertAlign w:val="subscript"/>
              </w:rPr>
              <w:t>2.5</w:t>
            </w:r>
            <w:r>
              <w:rPr>
                <w:kern w:val="0"/>
              </w:rPr>
              <w:t>外，SO</w:t>
            </w:r>
            <w:r>
              <w:rPr>
                <w:kern w:val="0"/>
                <w:vertAlign w:val="subscript"/>
              </w:rPr>
              <w:t>2</w:t>
            </w:r>
            <w:r>
              <w:rPr>
                <w:kern w:val="0"/>
              </w:rPr>
              <w:t>日均浓度、NO</w:t>
            </w:r>
            <w:r>
              <w:rPr>
                <w:kern w:val="0"/>
                <w:vertAlign w:val="subscript"/>
              </w:rPr>
              <w:t>2</w:t>
            </w:r>
            <w:r>
              <w:rPr>
                <w:kern w:val="0"/>
              </w:rPr>
              <w:t>日均浓度及CO日平均第95百分位数浓度、O</w:t>
            </w:r>
            <w:r>
              <w:rPr>
                <w:kern w:val="0"/>
                <w:vertAlign w:val="subscript"/>
              </w:rPr>
              <w:t>3</w:t>
            </w:r>
            <w:r>
              <w:rPr>
                <w:rFonts w:hint="eastAsia"/>
                <w:kern w:val="0"/>
              </w:rPr>
              <w:t>-</w:t>
            </w:r>
            <w:r>
              <w:rPr>
                <w:kern w:val="0"/>
              </w:rPr>
              <w:t>8小时第90百分位数浓度满足《环境空气质量标准》（GB3095-20</w:t>
            </w:r>
            <w:r>
              <w:rPr>
                <w:rFonts w:hint="eastAsia"/>
                <w:kern w:val="0"/>
                <w:lang w:val="en-US" w:eastAsia="zh-CN"/>
              </w:rPr>
              <w:t>26</w:t>
            </w:r>
            <w:r>
              <w:rPr>
                <w:kern w:val="0"/>
              </w:rPr>
              <w:t>）中二级标准限值要求，除PM</w:t>
            </w:r>
            <w:r>
              <w:rPr>
                <w:kern w:val="0"/>
                <w:vertAlign w:val="subscript"/>
              </w:rPr>
              <w:t>10</w:t>
            </w:r>
            <w:r>
              <w:rPr>
                <w:kern w:val="0"/>
              </w:rPr>
              <w:t>、PM</w:t>
            </w:r>
            <w:r>
              <w:rPr>
                <w:kern w:val="0"/>
                <w:vertAlign w:val="subscript"/>
              </w:rPr>
              <w:t>2.5</w:t>
            </w:r>
            <w:r>
              <w:rPr>
                <w:kern w:val="0"/>
              </w:rPr>
              <w:t>外，</w:t>
            </w:r>
            <w:r>
              <w:rPr>
                <w:rFonts w:hint="eastAsia"/>
                <w:kern w:val="0"/>
              </w:rPr>
              <w:t>SO</w:t>
            </w:r>
            <w:r>
              <w:rPr>
                <w:rFonts w:hint="eastAsia"/>
                <w:kern w:val="0"/>
                <w:vertAlign w:val="subscript"/>
              </w:rPr>
              <w:t>2</w:t>
            </w:r>
            <w:r>
              <w:rPr>
                <w:rFonts w:hint="eastAsia"/>
                <w:kern w:val="0"/>
              </w:rPr>
              <w:t>、NO</w:t>
            </w:r>
            <w:r>
              <w:rPr>
                <w:rFonts w:hint="eastAsia"/>
                <w:kern w:val="0"/>
                <w:vertAlign w:val="subscript"/>
              </w:rPr>
              <w:t>2</w:t>
            </w:r>
            <w:r>
              <w:rPr>
                <w:kern w:val="0"/>
              </w:rPr>
              <w:t>年平均值浓度满足《环境空气质量标准》（GB3095-20</w:t>
            </w:r>
            <w:r>
              <w:rPr>
                <w:rFonts w:hint="eastAsia"/>
                <w:kern w:val="0"/>
                <w:lang w:val="en-US" w:eastAsia="zh-CN"/>
              </w:rPr>
              <w:t>26</w:t>
            </w:r>
            <w:r>
              <w:rPr>
                <w:kern w:val="0"/>
              </w:rPr>
              <w:t>）</w:t>
            </w:r>
            <w:r>
              <w:t>中</w:t>
            </w:r>
            <w:r>
              <w:rPr>
                <w:rFonts w:hint="eastAsia"/>
                <w:lang w:val="en-US" w:eastAsia="zh-CN"/>
              </w:rPr>
              <w:t>过渡阶段</w:t>
            </w:r>
            <w:r>
              <w:t>二级标准</w:t>
            </w:r>
            <w:r>
              <w:rPr>
                <w:rFonts w:hint="eastAsia"/>
                <w:lang w:val="en-US" w:eastAsia="zh-CN"/>
              </w:rPr>
              <w:t>浓度限制</w:t>
            </w:r>
            <w:r>
              <w:rPr>
                <w:kern w:val="0"/>
              </w:rPr>
              <w:t>，超标原因主要为当地干旱、大风、扬尘等气候原因，统计数据未扣除沙尘天气的监测值。</w:t>
            </w:r>
          </w:p>
          <w:p w14:paraId="53383CAA">
            <w:pPr>
              <w:ind w:firstLine="480" w:firstLineChars="200"/>
              <w:rPr>
                <w:kern w:val="0"/>
              </w:rPr>
            </w:pPr>
            <w:r>
              <w:rPr>
                <w:kern w:val="0"/>
              </w:rPr>
              <w:t>《环境影响评价技术导则</w:t>
            </w:r>
            <w:r>
              <w:rPr>
                <w:rFonts w:hint="eastAsia"/>
                <w:kern w:val="0"/>
                <w:lang w:val="en-US" w:eastAsia="zh-CN"/>
              </w:rPr>
              <w:t xml:space="preserve"> </w:t>
            </w:r>
            <w:r>
              <w:rPr>
                <w:kern w:val="0"/>
              </w:rPr>
              <w:t>大气环境》（HJ2.2-2018）规定：</w:t>
            </w:r>
            <w:r>
              <w:rPr>
                <w:rFonts w:hint="eastAsia"/>
                <w:kern w:val="0"/>
              </w:rPr>
              <w:t>“</w:t>
            </w:r>
            <w:r>
              <w:rPr>
                <w:kern w:val="0"/>
              </w:rPr>
              <w:t>城市环境空气质量达标情况评价指标为SO</w:t>
            </w:r>
            <w:r>
              <w:rPr>
                <w:kern w:val="0"/>
                <w:vertAlign w:val="subscript"/>
              </w:rPr>
              <w:t>2</w:t>
            </w:r>
            <w:r>
              <w:rPr>
                <w:kern w:val="0"/>
              </w:rPr>
              <w:t>、NO</w:t>
            </w:r>
            <w:r>
              <w:rPr>
                <w:kern w:val="0"/>
                <w:vertAlign w:val="subscript"/>
              </w:rPr>
              <w:t>2</w:t>
            </w:r>
            <w:r>
              <w:rPr>
                <w:kern w:val="0"/>
              </w:rPr>
              <w:t>、PM</w:t>
            </w:r>
            <w:r>
              <w:rPr>
                <w:kern w:val="0"/>
                <w:vertAlign w:val="subscript"/>
              </w:rPr>
              <w:t>10</w:t>
            </w:r>
            <w:r>
              <w:rPr>
                <w:kern w:val="0"/>
              </w:rPr>
              <w:t>、PM</w:t>
            </w:r>
            <w:r>
              <w:rPr>
                <w:kern w:val="0"/>
                <w:vertAlign w:val="subscript"/>
              </w:rPr>
              <w:t>2.5</w:t>
            </w:r>
            <w:r>
              <w:rPr>
                <w:kern w:val="0"/>
              </w:rPr>
              <w:t>、CO和O</w:t>
            </w:r>
            <w:r>
              <w:rPr>
                <w:kern w:val="0"/>
                <w:vertAlign w:val="subscript"/>
              </w:rPr>
              <w:t>3</w:t>
            </w:r>
            <w:r>
              <w:rPr>
                <w:kern w:val="0"/>
              </w:rPr>
              <w:t>，六项污染物全部达标即为城市环境空气质量达标</w:t>
            </w:r>
            <w:r>
              <w:rPr>
                <w:rFonts w:hint="eastAsia"/>
                <w:kern w:val="0"/>
              </w:rPr>
              <w:t>”</w:t>
            </w:r>
            <w:r>
              <w:rPr>
                <w:kern w:val="0"/>
              </w:rPr>
              <w:t>。因此，</w:t>
            </w:r>
            <w:r>
              <w:rPr>
                <w:rFonts w:hint="eastAsia"/>
                <w:kern w:val="0"/>
              </w:rPr>
              <w:t>本项目</w:t>
            </w:r>
            <w:r>
              <w:rPr>
                <w:kern w:val="0"/>
              </w:rPr>
              <w:t>所在区域为</w:t>
            </w:r>
            <w:r>
              <w:rPr>
                <w:rFonts w:hint="eastAsia"/>
                <w:kern w:val="0"/>
              </w:rPr>
              <w:t>不</w:t>
            </w:r>
            <w:r>
              <w:rPr>
                <w:kern w:val="0"/>
              </w:rPr>
              <w:t>达标区。季节性沙尘天气对环境空气质量影响很大，是造成空气质量不达标的主要因素。</w:t>
            </w:r>
            <w:bookmarkEnd w:id="11"/>
          </w:p>
          <w:p w14:paraId="17625E53">
            <w:pPr>
              <w:ind w:firstLine="0" w:firstLineChars="0"/>
              <w:rPr>
                <w:b/>
                <w:bCs/>
              </w:rPr>
            </w:pPr>
            <w:r>
              <w:rPr>
                <w:rFonts w:hint="eastAsia"/>
                <w:b/>
                <w:bCs/>
              </w:rPr>
              <w:t>3.1.2地表水环境质量现状</w:t>
            </w:r>
            <w:bookmarkEnd w:id="9"/>
          </w:p>
          <w:bookmarkEnd w:id="10"/>
          <w:p w14:paraId="7590FC07">
            <w:pPr>
              <w:pStyle w:val="43"/>
              <w:bidi w:val="0"/>
              <w:rPr>
                <w:rFonts w:hint="default" w:ascii="Times New Roman" w:hAnsi="Times New Roman" w:cs="Times New Roman"/>
              </w:rPr>
            </w:pPr>
            <w:r>
              <w:rPr>
                <w:rFonts w:hint="default" w:ascii="Times New Roman" w:hAnsi="Times New Roman" w:cs="Times New Roman"/>
              </w:rPr>
              <w:t>根据《202</w:t>
            </w:r>
            <w:r>
              <w:rPr>
                <w:rFonts w:hint="default" w:ascii="Times New Roman" w:hAnsi="Times New Roman" w:cs="Times New Roman"/>
                <w:lang w:val="en-US" w:eastAsia="zh-CN"/>
              </w:rPr>
              <w:t>4巴</w:t>
            </w:r>
            <w:r>
              <w:rPr>
                <w:rFonts w:hint="default" w:ascii="Times New Roman" w:hAnsi="Times New Roman" w:cs="Times New Roman"/>
              </w:rPr>
              <w:t>音郭楞蒙古自治州生态环境状况公报》，全州地表水监测的31个考核断面（点位）中，Ⅰ~Ⅲ类优良水质断面（点位）占</w:t>
            </w:r>
            <w:r>
              <w:rPr>
                <w:rFonts w:hint="default" w:ascii="Times New Roman" w:hAnsi="Times New Roman" w:cs="Times New Roman"/>
                <w:lang w:val="en-US" w:eastAsia="zh-CN"/>
              </w:rPr>
              <w:t>90.3</w:t>
            </w:r>
            <w:r>
              <w:rPr>
                <w:rFonts w:hint="default" w:ascii="Times New Roman" w:hAnsi="Times New Roman" w:cs="Times New Roman"/>
              </w:rPr>
              <w:t>%，</w:t>
            </w:r>
            <w:r>
              <w:rPr>
                <w:rFonts w:hint="default" w:ascii="Times New Roman" w:hAnsi="Times New Roman" w:cs="Times New Roman"/>
                <w:lang w:val="en-US" w:eastAsia="zh-CN"/>
              </w:rPr>
              <w:t>无</w:t>
            </w:r>
            <w:r>
              <w:rPr>
                <w:rFonts w:hint="default" w:ascii="Times New Roman" w:hAnsi="Times New Roman" w:cs="Times New Roman"/>
              </w:rPr>
              <w:t>Ⅳ类水。6条主要河流19个监测断面中Ⅰ~Ⅲ类优良水质断面占100%，3个重要湖泊（水库）12个监测点位中Ⅰ~Ⅲ类优良水质点位占</w:t>
            </w:r>
            <w:r>
              <w:rPr>
                <w:rFonts w:hint="default" w:ascii="Times New Roman" w:hAnsi="Times New Roman" w:cs="Times New Roman"/>
                <w:lang w:val="en-US" w:eastAsia="zh-CN"/>
              </w:rPr>
              <w:t>75</w:t>
            </w:r>
            <w:r>
              <w:rPr>
                <w:rFonts w:hint="default" w:ascii="Times New Roman" w:hAnsi="Times New Roman" w:cs="Times New Roman"/>
              </w:rPr>
              <w:t>%，无劣Ⅴ类水体，湖泊主要水质影响因子为高锰酸盐指数和化学需氧量。</w:t>
            </w:r>
          </w:p>
          <w:p w14:paraId="53758BBF">
            <w:pPr>
              <w:ind w:firstLine="480" w:firstLineChars="200"/>
              <w:rPr>
                <w:rFonts w:hint="default" w:ascii="Times New Roman" w:hAnsi="Times New Roman" w:cs="Times New Roman"/>
              </w:rPr>
            </w:pPr>
            <w:r>
              <w:rPr>
                <w:rFonts w:hint="default" w:ascii="Times New Roman" w:hAnsi="Times New Roman" w:cs="Times New Roman"/>
              </w:rPr>
              <w:t>本项目</w:t>
            </w:r>
            <w:r>
              <w:rPr>
                <w:rFonts w:hint="eastAsia" w:ascii="Times New Roman" w:hAnsi="Times New Roman" w:cs="Times New Roman"/>
                <w:lang w:val="en-US" w:eastAsia="zh-CN"/>
              </w:rPr>
              <w:t>周边最近</w:t>
            </w:r>
            <w:r>
              <w:rPr>
                <w:rFonts w:hint="default" w:ascii="Times New Roman" w:hAnsi="Times New Roman" w:cs="Times New Roman"/>
              </w:rPr>
              <w:t>地表水系属于孔雀河流域</w:t>
            </w:r>
            <w:r>
              <w:rPr>
                <w:rFonts w:hint="eastAsia" w:ascii="Times New Roman" w:hAnsi="Times New Roman" w:cs="Times New Roman"/>
                <w:lang w:eastAsia="zh-CN"/>
              </w:rPr>
              <w:t>，</w:t>
            </w:r>
            <w:r>
              <w:rPr>
                <w:rFonts w:hint="eastAsia" w:ascii="Times New Roman" w:hAnsi="Times New Roman" w:cs="Times New Roman"/>
                <w:lang w:val="en-US" w:eastAsia="zh-CN"/>
              </w:rPr>
              <w:t>位于项目区西北侧4.9km处</w:t>
            </w:r>
            <w:r>
              <w:rPr>
                <w:rFonts w:hint="default" w:ascii="Times New Roman" w:hAnsi="Times New Roman" w:cs="Times New Roman"/>
              </w:rPr>
              <w:t>，根据《202</w:t>
            </w:r>
            <w:r>
              <w:rPr>
                <w:rFonts w:hint="default" w:ascii="Times New Roman" w:hAnsi="Times New Roman" w:cs="Times New Roman"/>
                <w:lang w:val="en-US" w:eastAsia="zh-CN"/>
              </w:rPr>
              <w:t>4</w:t>
            </w:r>
            <w:r>
              <w:rPr>
                <w:rFonts w:hint="default" w:ascii="Times New Roman" w:hAnsi="Times New Roman" w:cs="Times New Roman"/>
              </w:rPr>
              <w:t>巴音郭楞蒙古自治州生态环境状况公报》，6条主要河流19个监测断面中Ⅰ~Ⅲ类优良水质断面占100%，水质状况良好。</w:t>
            </w:r>
          </w:p>
          <w:p w14:paraId="287C6780">
            <w:pPr>
              <w:ind w:firstLine="0" w:firstLineChars="0"/>
              <w:rPr>
                <w:b/>
                <w:bCs/>
              </w:rPr>
            </w:pPr>
            <w:r>
              <w:rPr>
                <w:rFonts w:hint="eastAsia"/>
                <w:b/>
                <w:bCs/>
              </w:rPr>
              <w:t>3.1.3土壤、</w:t>
            </w:r>
            <w:r>
              <w:rPr>
                <w:b/>
                <w:bCs/>
              </w:rPr>
              <w:t>地下水</w:t>
            </w:r>
            <w:r>
              <w:rPr>
                <w:rFonts w:hint="eastAsia"/>
                <w:b/>
                <w:bCs/>
              </w:rPr>
              <w:t>环境质量现状</w:t>
            </w:r>
          </w:p>
          <w:p w14:paraId="1A8CCB61">
            <w:pPr>
              <w:ind w:firstLine="480"/>
            </w:pPr>
            <w:r>
              <w:rPr>
                <w:rFonts w:hint="eastAsia" w:ascii="Times New Roman" w:hAnsi="Times New Roman" w:eastAsia="宋体" w:cstheme="minorBidi"/>
                <w:b w:val="0"/>
                <w:bCs w:val="0"/>
                <w:kern w:val="2"/>
                <w:sz w:val="24"/>
                <w:szCs w:val="22"/>
                <w:lang w:val="en-US" w:eastAsia="zh-CN" w:bidi="ar-SA"/>
              </w:rPr>
              <w:t>根据《建设项目环境影响报告表编制技术指南》（</w:t>
            </w:r>
            <w:r>
              <w:rPr>
                <w:rFonts w:hint="eastAsia" w:cstheme="minorBidi"/>
                <w:b w:val="0"/>
                <w:bCs w:val="0"/>
                <w:kern w:val="2"/>
                <w:sz w:val="24"/>
                <w:szCs w:val="22"/>
                <w:lang w:val="en-US" w:eastAsia="zh-CN" w:bidi="ar-SA"/>
              </w:rPr>
              <w:t>污染</w:t>
            </w:r>
            <w:r>
              <w:rPr>
                <w:rFonts w:hint="eastAsia" w:ascii="Times New Roman" w:hAnsi="Times New Roman" w:eastAsia="宋体" w:cstheme="minorBidi"/>
                <w:b w:val="0"/>
                <w:bCs w:val="0"/>
                <w:kern w:val="2"/>
                <w:sz w:val="24"/>
                <w:szCs w:val="22"/>
                <w:lang w:val="en-US" w:eastAsia="zh-CN" w:bidi="ar-SA"/>
              </w:rPr>
              <w:t>影响类），</w:t>
            </w:r>
            <w:r>
              <w:rPr>
                <w:rFonts w:hint="eastAsia"/>
              </w:rPr>
              <w:t>本项目采用双层罐和双层输油管道，可以有效防控油品泄漏，储罐内设置了</w:t>
            </w:r>
            <w:r>
              <w:t>液位计、液位管理系统、液位报警装置，液位计和液位管理系统能够准确显示和管理罐内液位，</w:t>
            </w:r>
            <w:r>
              <w:rPr>
                <w:rFonts w:hint="eastAsia"/>
              </w:rPr>
              <w:t>可以及时发现储罐泄漏，</w:t>
            </w:r>
            <w:r>
              <w:t>如果发生油罐</w:t>
            </w:r>
            <w:r>
              <w:rPr>
                <w:rFonts w:hint="eastAsia"/>
                <w:lang w:val="en-US" w:eastAsia="zh-CN"/>
              </w:rPr>
              <w:t>泄漏</w:t>
            </w:r>
            <w:r>
              <w:t>，液位报警装置能够发出警告</w:t>
            </w:r>
            <w:r>
              <w:rPr>
                <w:rFonts w:hint="eastAsia"/>
              </w:rPr>
              <w:t>，严格按照《汽车加油加气加氢站技术标准》</w:t>
            </w:r>
            <w:r>
              <w:rPr>
                <w:rFonts w:hint="eastAsia"/>
                <w:lang w:eastAsia="zh-CN"/>
              </w:rPr>
              <w:t>（</w:t>
            </w:r>
            <w:r>
              <w:rPr>
                <w:rFonts w:hint="eastAsia"/>
              </w:rPr>
              <w:t>GB50156-2021）要求进行罐区防腐防渗工作。针对可能对</w:t>
            </w:r>
            <w:r>
              <w:rPr>
                <w:rFonts w:hint="eastAsia"/>
                <w:lang w:val="en-US" w:eastAsia="zh-CN"/>
              </w:rPr>
              <w:t>土壤、</w:t>
            </w:r>
            <w:r>
              <w:rPr>
                <w:rFonts w:hint="eastAsia"/>
              </w:rPr>
              <w:t>地下水造成影响的环节，按照“考虑重点，辐射全面”的防腐防渗原则，该加油站对一</w:t>
            </w:r>
            <w:r>
              <w:rPr>
                <w:rFonts w:hint="eastAsia"/>
                <w:lang w:val="en-US" w:eastAsia="zh-CN"/>
              </w:rPr>
              <w:t>般</w:t>
            </w:r>
            <w:r>
              <w:rPr>
                <w:rFonts w:hint="eastAsia"/>
              </w:rPr>
              <w:t>区域采用水泥硬化地面，装卸区、储罐区、输油管道、加油机等区域采取重点防腐防渗，渗透系数小于10</w:t>
            </w:r>
            <w:r>
              <w:rPr>
                <w:rFonts w:hint="eastAsia"/>
                <w:vertAlign w:val="superscript"/>
              </w:rPr>
              <w:t>-</w:t>
            </w:r>
            <w:r>
              <w:rPr>
                <w:rFonts w:hint="eastAsia"/>
                <w:vertAlign w:val="superscript"/>
                <w:lang w:val="en-US" w:eastAsia="zh-CN"/>
              </w:rPr>
              <w:t>7</w:t>
            </w:r>
            <w:r>
              <w:rPr>
                <w:rFonts w:hint="eastAsia"/>
              </w:rPr>
              <w:t>cm/s</w:t>
            </w:r>
            <w:r>
              <w:rPr>
                <w:rFonts w:hint="eastAsia" w:ascii="Times New Roman" w:hAnsi="Times New Roman" w:cs="Times New Roman"/>
                <w:szCs w:val="24"/>
                <w:lang w:val="en-US" w:eastAsia="zh-CN"/>
              </w:rPr>
              <w:t>。因此，本项目不存在</w:t>
            </w:r>
            <w:r>
              <w:rPr>
                <w:rFonts w:hint="eastAsia" w:ascii="Times New Roman" w:hAnsi="Times New Roman" w:eastAsia="宋体" w:cstheme="minorBidi"/>
                <w:b w:val="0"/>
                <w:bCs w:val="0"/>
                <w:kern w:val="2"/>
                <w:sz w:val="24"/>
                <w:szCs w:val="22"/>
                <w:lang w:val="en-US" w:eastAsia="zh-CN" w:bidi="ar-SA"/>
              </w:rPr>
              <w:t>地下水、土壤污染途径，可不开展地下水、土壤环境现状调查。</w:t>
            </w:r>
          </w:p>
          <w:p w14:paraId="06096D47">
            <w:pPr>
              <w:ind w:firstLine="0" w:firstLineChars="0"/>
              <w:rPr>
                <w:b/>
                <w:bCs/>
              </w:rPr>
            </w:pPr>
            <w:r>
              <w:rPr>
                <w:rFonts w:hint="eastAsia"/>
                <w:b/>
                <w:bCs/>
              </w:rPr>
              <w:t>3.1.4声环境质量现状</w:t>
            </w:r>
          </w:p>
          <w:p w14:paraId="6F6304FB">
            <w:pPr>
              <w:tabs>
                <w:tab w:val="left" w:pos="7170"/>
              </w:tabs>
              <w:snapToGrid w:val="0"/>
              <w:ind w:firstLine="480"/>
            </w:pPr>
            <w:r>
              <w:t>根据《声环境功能区划分技术规范》（GB/T15190-2014），本项目属于声环境功能区2类区域，声环境执行《声环境质量标准》（GB 3096-2008）的2类声环境功能限值。</w:t>
            </w:r>
          </w:p>
          <w:p w14:paraId="556CAF6E">
            <w:pPr>
              <w:ind w:firstLine="480"/>
              <w:rPr>
                <w:lang w:val="zh-CN"/>
              </w:rPr>
            </w:pPr>
            <w:r>
              <w:rPr>
                <w:rFonts w:hint="eastAsia"/>
              </w:rPr>
              <w:t>项目厂界外周边5</w:t>
            </w:r>
            <w:r>
              <w:t>0</w:t>
            </w:r>
            <w:r>
              <w:rPr>
                <w:rFonts w:hint="eastAsia"/>
              </w:rPr>
              <w:t>米范围内不存在声环境保护目标，因此对项目不进行声环境监测。</w:t>
            </w:r>
          </w:p>
          <w:p w14:paraId="6BC8E916">
            <w:pPr>
              <w:ind w:firstLine="0" w:firstLineChars="0"/>
              <w:rPr>
                <w:b/>
                <w:bCs/>
              </w:rPr>
            </w:pPr>
            <w:r>
              <w:rPr>
                <w:rFonts w:hint="eastAsia"/>
                <w:b/>
                <w:bCs/>
              </w:rPr>
              <w:t>3.1.5生态环境现状</w:t>
            </w:r>
          </w:p>
          <w:p w14:paraId="5B1A7F58">
            <w:pPr>
              <w:ind w:firstLine="480"/>
            </w:pPr>
            <w:r>
              <w:rPr>
                <w:rFonts w:hint="eastAsia" w:cs="Times New Roman"/>
              </w:rPr>
              <w:t>本项目位于</w:t>
            </w:r>
            <w:r>
              <w:t>新疆维吾尔自治区巴音郭楞蒙古自治州</w:t>
            </w:r>
            <w:r>
              <w:rPr>
                <w:rFonts w:hint="eastAsia"/>
                <w:lang w:val="en-US" w:eastAsia="zh-CN"/>
              </w:rPr>
              <w:t>库尔勒市和顺市场东侧</w:t>
            </w:r>
            <w:r>
              <w:rPr>
                <w:rFonts w:hint="eastAsia" w:cs="Times New Roman"/>
              </w:rPr>
              <w:t>，占地范围</w:t>
            </w:r>
            <w:r>
              <w:rPr>
                <w:rFonts w:hint="eastAsia" w:cs="Times New Roman"/>
                <w:lang w:val="en-US" w:eastAsia="zh-CN"/>
              </w:rPr>
              <w:t>及周边</w:t>
            </w:r>
            <w:r>
              <w:rPr>
                <w:rFonts w:hint="eastAsia" w:cs="Times New Roman"/>
              </w:rPr>
              <w:t>不涉及生态保护红线、饮用水水源保护区、风景名胜区、文物古迹等生态敏感区，区域内无珍稀濒危野生动植物存在，无生态环境保护目标存在</w:t>
            </w:r>
            <w:r>
              <w:rPr>
                <w:rFonts w:cs="Times New Roman"/>
              </w:rPr>
              <w:t>。</w:t>
            </w:r>
          </w:p>
        </w:tc>
      </w:tr>
      <w:tr w14:paraId="1C144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0" w:type="dxa"/>
            <w:vAlign w:val="center"/>
          </w:tcPr>
          <w:p w14:paraId="067DD291">
            <w:pPr>
              <w:adjustRightInd w:val="0"/>
              <w:snapToGrid w:val="0"/>
              <w:ind w:firstLine="0" w:firstLineChars="0"/>
              <w:jc w:val="both"/>
              <w:rPr>
                <w:rFonts w:ascii="宋体" w:hAnsi="宋体" w:cs="宋体"/>
                <w:szCs w:val="21"/>
              </w:rPr>
            </w:pPr>
            <w:r>
              <w:rPr>
                <w:rFonts w:hint="eastAsia" w:ascii="宋体" w:hAnsi="宋体" w:cs="宋体"/>
                <w:szCs w:val="21"/>
              </w:rPr>
              <w:t>环境保护目标</w:t>
            </w:r>
          </w:p>
        </w:tc>
        <w:tc>
          <w:tcPr>
            <w:tcW w:w="8190" w:type="dxa"/>
            <w:vAlign w:val="center"/>
          </w:tcPr>
          <w:p w14:paraId="11874BA2">
            <w:pPr>
              <w:ind w:firstLine="0" w:firstLineChars="0"/>
              <w:rPr>
                <w:highlight w:val="none"/>
              </w:rPr>
            </w:pPr>
            <w:r>
              <w:rPr>
                <w:rFonts w:hint="eastAsia"/>
                <w:b/>
                <w:bCs/>
                <w:highlight w:val="none"/>
                <w:lang w:val="en-US" w:eastAsia="zh-CN"/>
              </w:rPr>
              <w:t>3.2</w:t>
            </w:r>
            <w:r>
              <w:rPr>
                <w:b/>
                <w:bCs/>
                <w:highlight w:val="none"/>
              </w:rPr>
              <w:t>环境保护目标</w:t>
            </w:r>
          </w:p>
          <w:p w14:paraId="13BECAF5">
            <w:pPr>
              <w:ind w:firstLine="0" w:firstLineChars="0"/>
              <w:rPr>
                <w:b/>
                <w:bCs/>
                <w:highlight w:val="none"/>
              </w:rPr>
            </w:pPr>
            <w:r>
              <w:rPr>
                <w:rFonts w:hint="eastAsia"/>
                <w:b/>
                <w:bCs/>
                <w:highlight w:val="none"/>
                <w:lang w:val="en-US" w:eastAsia="zh-CN"/>
              </w:rPr>
              <w:t>3.2.1</w:t>
            </w:r>
            <w:r>
              <w:rPr>
                <w:rFonts w:hint="eastAsia"/>
                <w:b/>
                <w:bCs/>
                <w:highlight w:val="none"/>
              </w:rPr>
              <w:t>大气环境</w:t>
            </w:r>
          </w:p>
          <w:p w14:paraId="05AAA786">
            <w:pPr>
              <w:bidi w:val="0"/>
              <w:rPr>
                <w:rFonts w:hint="eastAsia"/>
              </w:rPr>
            </w:pPr>
            <w:r>
              <w:rPr>
                <w:rFonts w:hint="eastAsia" w:cs="Times New Roman"/>
                <w:szCs w:val="24"/>
              </w:rPr>
              <w:t>本项目场界外500m范围内无自然保护区、风景名胜区、居住区、文化区和农村地区中人群较集中的区域等大气环境保护目标</w:t>
            </w:r>
            <w:r>
              <w:rPr>
                <w:rFonts w:hint="eastAsia"/>
                <w:lang w:val="en-US" w:eastAsia="zh-CN"/>
              </w:rPr>
              <w:t>。</w:t>
            </w:r>
          </w:p>
          <w:p w14:paraId="2C619011">
            <w:pPr>
              <w:ind w:firstLine="0" w:firstLineChars="0"/>
              <w:rPr>
                <w:b/>
                <w:bCs/>
              </w:rPr>
            </w:pPr>
            <w:r>
              <w:rPr>
                <w:rFonts w:hint="eastAsia"/>
                <w:b/>
                <w:bCs/>
                <w:lang w:val="en-US" w:eastAsia="zh-CN"/>
              </w:rPr>
              <w:t>3.2.2</w:t>
            </w:r>
            <w:r>
              <w:rPr>
                <w:rFonts w:hint="eastAsia"/>
                <w:b/>
                <w:bCs/>
              </w:rPr>
              <w:t>声环境</w:t>
            </w:r>
          </w:p>
          <w:p w14:paraId="7415AF6B">
            <w:pPr>
              <w:ind w:firstLine="480"/>
              <w:rPr>
                <w:rFonts w:hint="eastAsia"/>
              </w:rPr>
            </w:pPr>
            <w:r>
              <w:rPr>
                <w:rFonts w:hint="eastAsia" w:cs="Times New Roman"/>
                <w:szCs w:val="24"/>
              </w:rPr>
              <w:t>根据《环境影响评价技术导则 声环境》（HJ2.4-2021），声环境敏感目标指医院、学校、机关、科研单位、住宅、自然保护区等对噪声敏感的建筑物或区域</w:t>
            </w:r>
            <w:r>
              <w:rPr>
                <w:rFonts w:hint="eastAsia" w:cs="Times New Roman"/>
                <w:szCs w:val="24"/>
                <w:lang w:eastAsia="zh-CN"/>
              </w:rPr>
              <w:t>，</w:t>
            </w:r>
            <w:r>
              <w:rPr>
                <w:rFonts w:hint="eastAsia"/>
              </w:rPr>
              <w:t>本项目厂界外50m无声环境保护目标。</w:t>
            </w:r>
          </w:p>
          <w:p w14:paraId="70C4EA24">
            <w:pPr>
              <w:ind w:firstLine="0" w:firstLineChars="0"/>
              <w:rPr>
                <w:b/>
                <w:bCs/>
              </w:rPr>
            </w:pPr>
            <w:r>
              <w:rPr>
                <w:rFonts w:hint="eastAsia"/>
                <w:b/>
                <w:bCs/>
                <w:lang w:val="en-US" w:eastAsia="zh-CN"/>
              </w:rPr>
              <w:t>3.2.3</w:t>
            </w:r>
            <w:r>
              <w:rPr>
                <w:rFonts w:hint="eastAsia"/>
                <w:b/>
                <w:bCs/>
              </w:rPr>
              <w:t>地下水环境</w:t>
            </w:r>
          </w:p>
          <w:p w14:paraId="0086F0F2">
            <w:pPr>
              <w:ind w:firstLine="480"/>
            </w:pPr>
            <w:r>
              <w:rPr>
                <w:rFonts w:hint="eastAsia"/>
              </w:rPr>
              <w:t>本项目厂界外500m范围内不存在地下水集中式饮用水水源和热水、矿泉水、温泉等特殊地下水资源。</w:t>
            </w:r>
          </w:p>
          <w:p w14:paraId="5E83D082">
            <w:pPr>
              <w:ind w:firstLine="0" w:firstLineChars="0"/>
              <w:rPr>
                <w:b/>
                <w:bCs/>
              </w:rPr>
            </w:pPr>
            <w:r>
              <w:rPr>
                <w:rFonts w:hint="eastAsia"/>
                <w:b/>
                <w:bCs/>
                <w:lang w:val="en-US" w:eastAsia="zh-CN"/>
              </w:rPr>
              <w:t>3.2.4</w:t>
            </w:r>
            <w:r>
              <w:rPr>
                <w:rFonts w:hint="eastAsia"/>
                <w:b/>
                <w:bCs/>
              </w:rPr>
              <w:t>生态环境</w:t>
            </w:r>
          </w:p>
          <w:p w14:paraId="15BE5269">
            <w:pPr>
              <w:ind w:firstLine="480"/>
              <w:outlineLvl w:val="1"/>
            </w:pPr>
            <w:r>
              <w:rPr>
                <w:rFonts w:hint="eastAsia" w:cs="Times New Roman"/>
                <w:szCs w:val="24"/>
              </w:rPr>
              <w:t>本项目位于</w:t>
            </w:r>
            <w:r>
              <w:t>新疆维吾尔自治区巴音郭楞蒙古自治州</w:t>
            </w:r>
            <w:r>
              <w:rPr>
                <w:rFonts w:hint="eastAsia"/>
                <w:lang w:val="en-US" w:eastAsia="zh-CN"/>
              </w:rPr>
              <w:t>库尔勒市和顺市场东侧</w:t>
            </w:r>
            <w:r>
              <w:rPr>
                <w:rFonts w:hint="eastAsia" w:cs="Times New Roman"/>
                <w:szCs w:val="24"/>
              </w:rPr>
              <w:t>，用地范围内及周边不涉及生态环境保护目标。</w:t>
            </w:r>
          </w:p>
        </w:tc>
      </w:tr>
      <w:tr w14:paraId="19361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00" w:type="dxa"/>
            <w:tcMar>
              <w:left w:w="28" w:type="dxa"/>
              <w:right w:w="28" w:type="dxa"/>
            </w:tcMar>
            <w:vAlign w:val="center"/>
          </w:tcPr>
          <w:p w14:paraId="01C402A5">
            <w:pPr>
              <w:adjustRightInd w:val="0"/>
              <w:snapToGrid w:val="0"/>
              <w:ind w:firstLine="0" w:firstLineChars="0"/>
              <w:jc w:val="both"/>
              <w:rPr>
                <w:rFonts w:ascii="宋体" w:hAnsi="宋体" w:cs="宋体"/>
                <w:szCs w:val="21"/>
              </w:rPr>
            </w:pPr>
            <w:r>
              <w:rPr>
                <w:rFonts w:hint="eastAsia" w:ascii="宋体" w:hAnsi="宋体" w:cs="宋体"/>
                <w:szCs w:val="21"/>
              </w:rPr>
              <w:t>污染物排放控</w:t>
            </w:r>
          </w:p>
          <w:p w14:paraId="47C0C422">
            <w:pPr>
              <w:adjustRightInd w:val="0"/>
              <w:snapToGrid w:val="0"/>
              <w:ind w:firstLine="0" w:firstLineChars="0"/>
              <w:jc w:val="both"/>
              <w:rPr>
                <w:rFonts w:ascii="宋体" w:hAnsi="宋体" w:cs="宋体"/>
                <w:szCs w:val="21"/>
              </w:rPr>
            </w:pPr>
            <w:r>
              <w:rPr>
                <w:rFonts w:hint="eastAsia" w:ascii="宋体" w:hAnsi="宋体" w:cs="宋体"/>
                <w:szCs w:val="21"/>
              </w:rPr>
              <w:t>制标准</w:t>
            </w:r>
          </w:p>
        </w:tc>
        <w:tc>
          <w:tcPr>
            <w:tcW w:w="8190" w:type="dxa"/>
            <w:vAlign w:val="center"/>
          </w:tcPr>
          <w:p w14:paraId="776A5EF1">
            <w:pPr>
              <w:ind w:firstLine="0" w:firstLineChars="0"/>
              <w:rPr>
                <w:b/>
              </w:rPr>
            </w:pPr>
            <w:r>
              <w:rPr>
                <w:rFonts w:hint="eastAsia"/>
                <w:b/>
              </w:rPr>
              <w:t>3.3污染物排放控制标准</w:t>
            </w:r>
          </w:p>
          <w:p w14:paraId="2430ED3C">
            <w:pPr>
              <w:ind w:firstLine="0" w:firstLineChars="0"/>
              <w:rPr>
                <w:b/>
              </w:rPr>
            </w:pPr>
            <w:r>
              <w:rPr>
                <w:rFonts w:hint="eastAsia"/>
                <w:b/>
              </w:rPr>
              <w:t>3.3.1</w:t>
            </w:r>
            <w:r>
              <w:rPr>
                <w:b/>
              </w:rPr>
              <w:t>废水</w:t>
            </w:r>
          </w:p>
          <w:p w14:paraId="29AF866D">
            <w:pPr>
              <w:ind w:firstLine="480" w:firstLineChars="200"/>
              <w:rPr>
                <w:rFonts w:cs="Times New Roman"/>
              </w:rPr>
            </w:pPr>
            <w:r>
              <w:rPr>
                <w:rFonts w:hint="eastAsia" w:cs="Times New Roman"/>
                <w:lang w:val="en-US" w:eastAsia="zh-CN"/>
              </w:rPr>
              <w:t>本项目</w:t>
            </w:r>
            <w:r>
              <w:rPr>
                <w:rFonts w:hint="eastAsia" w:cs="Times New Roman"/>
              </w:rPr>
              <w:t>运营期废水主要为生活污水，生活污水经化粪池预处理后达到《污水综合排放标准》（GB8978-1996）三级排放标准后</w:t>
            </w:r>
            <w:r>
              <w:rPr>
                <w:rFonts w:hint="eastAsia"/>
              </w:rPr>
              <w:t>排放至市政排水管道</w:t>
            </w:r>
            <w:r>
              <w:rPr>
                <w:rFonts w:hint="eastAsia"/>
                <w:lang w:eastAsia="zh-CN"/>
              </w:rPr>
              <w:t>，</w:t>
            </w:r>
            <w:r>
              <w:rPr>
                <w:rFonts w:hint="eastAsia"/>
              </w:rPr>
              <w:t>最终进入</w:t>
            </w:r>
            <w:r>
              <w:rPr>
                <w:rFonts w:hint="eastAsia"/>
                <w:lang w:eastAsia="zh-CN"/>
              </w:rPr>
              <w:t>库尔勒经济技术开发区工业废水处理厂</w:t>
            </w:r>
            <w:r>
              <w:rPr>
                <w:rFonts w:hint="eastAsia"/>
              </w:rPr>
              <w:t>深度处理</w:t>
            </w:r>
            <w:r>
              <w:rPr>
                <w:rFonts w:cs="Times New Roman"/>
              </w:rPr>
              <w:t>。</w:t>
            </w:r>
          </w:p>
          <w:p w14:paraId="5529C91F">
            <w:pPr>
              <w:ind w:left="0" w:leftChars="0" w:firstLine="0" w:firstLineChars="0"/>
              <w:rPr>
                <w:b/>
                <w:bCs/>
              </w:rPr>
            </w:pPr>
            <w:r>
              <w:rPr>
                <w:rFonts w:hint="eastAsia"/>
                <w:b/>
                <w:bCs/>
              </w:rPr>
              <w:t>3.3.</w:t>
            </w:r>
            <w:r>
              <w:rPr>
                <w:b/>
                <w:bCs/>
              </w:rPr>
              <w:t>2</w:t>
            </w:r>
            <w:r>
              <w:rPr>
                <w:rFonts w:hint="eastAsia"/>
                <w:b/>
                <w:bCs/>
              </w:rPr>
              <w:t>废气</w:t>
            </w:r>
          </w:p>
          <w:p w14:paraId="12C8922E">
            <w:pPr>
              <w:keepNext/>
              <w:keepLines/>
              <w:spacing w:before="120" w:after="60"/>
              <w:ind w:firstLine="480"/>
              <w:outlineLvl w:val="1"/>
              <w:rPr>
                <w:rFonts w:cs="Times New Roman"/>
                <w:b/>
                <w:bCs/>
                <w:color w:val="000000"/>
                <w:szCs w:val="32"/>
              </w:rPr>
            </w:pPr>
            <w:r>
              <w:rPr>
                <w:rFonts w:hint="eastAsia" w:cs="Times New Roman"/>
              </w:rPr>
              <w:t>施工期废气执行《大气污染物综合排放标准》（GB16297-1996）中无组织排放标准，无组织排放监控浓度限值：1.0mg/m</w:t>
            </w:r>
            <w:r>
              <w:rPr>
                <w:rFonts w:hint="eastAsia" w:cs="Times New Roman"/>
                <w:vertAlign w:val="superscript"/>
              </w:rPr>
              <w:t>3</w:t>
            </w:r>
            <w:r>
              <w:rPr>
                <w:rFonts w:hint="eastAsia" w:cs="Times New Roman"/>
              </w:rPr>
              <w:t>；</w:t>
            </w:r>
          </w:p>
          <w:p w14:paraId="718DCC01">
            <w:pPr>
              <w:adjustRightInd w:val="0"/>
              <w:snapToGrid w:val="0"/>
              <w:ind w:firstLine="480"/>
              <w:rPr>
                <w:rFonts w:cs="Times New Roman"/>
              </w:rPr>
            </w:pPr>
            <w:r>
              <w:rPr>
                <w:rFonts w:hint="eastAsia" w:cs="Times New Roman"/>
              </w:rPr>
              <w:t>运营期厂界有机废气（以非甲烷总烃计）《加油站大气污染物排放标准》（GB20952-2020）表3中无组织排放限值要求</w:t>
            </w:r>
            <w:r>
              <w:rPr>
                <w:rFonts w:cs="Times New Roman"/>
              </w:rPr>
              <w:t>。</w:t>
            </w:r>
          </w:p>
          <w:p w14:paraId="14E9909A">
            <w:pPr>
              <w:spacing w:before="120" w:beforeLines="50" w:line="240" w:lineRule="auto"/>
              <w:ind w:firstLine="0" w:firstLineChars="0"/>
              <w:jc w:val="center"/>
              <w:rPr>
                <w:rFonts w:cs="Times New Roman"/>
                <w:b/>
                <w:sz w:val="21"/>
              </w:rPr>
            </w:pPr>
            <w:r>
              <w:rPr>
                <w:rFonts w:hint="eastAsia" w:cs="Times New Roman"/>
                <w:b/>
                <w:sz w:val="21"/>
              </w:rPr>
              <w:t>表3</w:t>
            </w:r>
            <w:r>
              <w:rPr>
                <w:rFonts w:hint="eastAsia" w:cs="Times New Roman"/>
                <w:b/>
                <w:sz w:val="21"/>
                <w:lang w:val="en-US" w:eastAsia="zh-CN"/>
              </w:rPr>
              <w:t>-2</w:t>
            </w:r>
            <w:r>
              <w:rPr>
                <w:rFonts w:cs="Times New Roman"/>
                <w:b/>
                <w:sz w:val="21"/>
              </w:rPr>
              <w:t xml:space="preserve">  </w:t>
            </w:r>
            <w:r>
              <w:rPr>
                <w:rFonts w:hint="eastAsia" w:cs="Times New Roman"/>
                <w:b/>
                <w:sz w:val="21"/>
              </w:rPr>
              <w:t>油气浓度无组织排放限值</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942"/>
              <w:gridCol w:w="1619"/>
              <w:gridCol w:w="3071"/>
            </w:tblGrid>
            <w:tr w14:paraId="7F504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6" w:type="pct"/>
                  <w:vAlign w:val="center"/>
                </w:tcPr>
                <w:p w14:paraId="35FD8715">
                  <w:pPr>
                    <w:spacing w:line="240" w:lineRule="auto"/>
                    <w:ind w:firstLine="0" w:firstLineChars="0"/>
                    <w:contextualSpacing/>
                    <w:jc w:val="center"/>
                    <w:rPr>
                      <w:rFonts w:cs="Times New Roman"/>
                      <w:sz w:val="21"/>
                      <w:szCs w:val="21"/>
                    </w:rPr>
                  </w:pPr>
                  <w:r>
                    <w:rPr>
                      <w:rFonts w:hint="eastAsia" w:cs="Times New Roman"/>
                      <w:sz w:val="21"/>
                      <w:szCs w:val="21"/>
                    </w:rPr>
                    <w:t>污染物项目</w:t>
                  </w:r>
                </w:p>
              </w:tc>
              <w:tc>
                <w:tcPr>
                  <w:tcW w:w="1222" w:type="pct"/>
                  <w:vAlign w:val="center"/>
                </w:tcPr>
                <w:p w14:paraId="735CC050">
                  <w:pPr>
                    <w:spacing w:line="240" w:lineRule="auto"/>
                    <w:ind w:firstLine="0" w:firstLineChars="0"/>
                    <w:contextualSpacing/>
                    <w:jc w:val="center"/>
                    <w:rPr>
                      <w:rFonts w:cs="Times New Roman"/>
                      <w:sz w:val="21"/>
                      <w:szCs w:val="21"/>
                    </w:rPr>
                  </w:pPr>
                  <w:r>
                    <w:rPr>
                      <w:rFonts w:hint="eastAsia" w:ascii="Calibri" w:hAnsi="Calibri" w:cs="Times New Roman"/>
                      <w:color w:val="000000"/>
                      <w:sz w:val="21"/>
                      <w:szCs w:val="21"/>
                    </w:rPr>
                    <w:t>排放限值</w:t>
                  </w:r>
                </w:p>
              </w:tc>
              <w:tc>
                <w:tcPr>
                  <w:tcW w:w="1019" w:type="pct"/>
                  <w:vAlign w:val="center"/>
                </w:tcPr>
                <w:p w14:paraId="5DA8F771">
                  <w:pPr>
                    <w:spacing w:line="240" w:lineRule="auto"/>
                    <w:ind w:firstLine="0" w:firstLineChars="0"/>
                    <w:contextualSpacing/>
                    <w:jc w:val="center"/>
                    <w:rPr>
                      <w:rFonts w:cs="Times New Roman"/>
                      <w:sz w:val="21"/>
                      <w:szCs w:val="21"/>
                    </w:rPr>
                  </w:pPr>
                  <w:r>
                    <w:rPr>
                      <w:rFonts w:hint="eastAsia" w:ascii="Calibri" w:hAnsi="Calibri" w:cs="Times New Roman"/>
                      <w:color w:val="000000"/>
                      <w:sz w:val="21"/>
                      <w:szCs w:val="21"/>
                    </w:rPr>
                    <w:t>限值含义</w:t>
                  </w:r>
                </w:p>
              </w:tc>
              <w:tc>
                <w:tcPr>
                  <w:tcW w:w="1933" w:type="pct"/>
                  <w:vAlign w:val="center"/>
                </w:tcPr>
                <w:p w14:paraId="17A9FAA0">
                  <w:pPr>
                    <w:spacing w:line="240" w:lineRule="auto"/>
                    <w:ind w:firstLine="0" w:firstLineChars="0"/>
                    <w:contextualSpacing/>
                    <w:jc w:val="center"/>
                    <w:rPr>
                      <w:rFonts w:cs="Times New Roman"/>
                      <w:sz w:val="21"/>
                      <w:szCs w:val="21"/>
                    </w:rPr>
                  </w:pPr>
                  <w:r>
                    <w:rPr>
                      <w:rFonts w:hint="eastAsia" w:cs="Times New Roman"/>
                      <w:sz w:val="21"/>
                      <w:szCs w:val="21"/>
                    </w:rPr>
                    <w:t>标准来源</w:t>
                  </w:r>
                </w:p>
              </w:tc>
            </w:tr>
            <w:tr w14:paraId="16C5F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26" w:type="pct"/>
                  <w:vAlign w:val="center"/>
                </w:tcPr>
                <w:p w14:paraId="5FEF5899">
                  <w:pPr>
                    <w:spacing w:line="240" w:lineRule="auto"/>
                    <w:ind w:firstLine="0" w:firstLineChars="0"/>
                    <w:contextualSpacing/>
                    <w:jc w:val="center"/>
                    <w:rPr>
                      <w:rFonts w:cs="Times New Roman"/>
                      <w:sz w:val="21"/>
                      <w:szCs w:val="21"/>
                    </w:rPr>
                  </w:pPr>
                  <w:r>
                    <w:rPr>
                      <w:rFonts w:hint="eastAsia" w:cs="Times New Roman"/>
                      <w:sz w:val="21"/>
                      <w:szCs w:val="21"/>
                    </w:rPr>
                    <w:t>非甲烷总烃</w:t>
                  </w:r>
                </w:p>
              </w:tc>
              <w:tc>
                <w:tcPr>
                  <w:tcW w:w="1222" w:type="pct"/>
                  <w:vAlign w:val="center"/>
                </w:tcPr>
                <w:p w14:paraId="72DDC6A3">
                  <w:pPr>
                    <w:spacing w:line="240" w:lineRule="auto"/>
                    <w:ind w:firstLine="0" w:firstLineChars="0"/>
                    <w:contextualSpacing/>
                    <w:jc w:val="center"/>
                    <w:rPr>
                      <w:rFonts w:cs="Times New Roman"/>
                      <w:sz w:val="21"/>
                      <w:szCs w:val="21"/>
                    </w:rPr>
                  </w:pPr>
                  <w:r>
                    <w:rPr>
                      <w:rFonts w:cs="Times New Roman"/>
                      <w:sz w:val="21"/>
                      <w:szCs w:val="21"/>
                    </w:rPr>
                    <w:t>4.0</w:t>
                  </w:r>
                  <w:r>
                    <w:rPr>
                      <w:rFonts w:cs="Times New Roman"/>
                      <w:color w:val="000000"/>
                      <w:sz w:val="21"/>
                      <w:szCs w:val="21"/>
                    </w:rPr>
                    <w:t>mg/m</w:t>
                  </w:r>
                  <w:r>
                    <w:rPr>
                      <w:rFonts w:cs="Times New Roman"/>
                      <w:color w:val="000000"/>
                      <w:sz w:val="21"/>
                      <w:szCs w:val="21"/>
                      <w:vertAlign w:val="superscript"/>
                    </w:rPr>
                    <w:t>3</w:t>
                  </w:r>
                </w:p>
              </w:tc>
              <w:tc>
                <w:tcPr>
                  <w:tcW w:w="1019" w:type="pct"/>
                  <w:vAlign w:val="center"/>
                </w:tcPr>
                <w:p w14:paraId="714C789D">
                  <w:pPr>
                    <w:spacing w:line="240" w:lineRule="auto"/>
                    <w:ind w:firstLine="0" w:firstLineChars="0"/>
                    <w:contextualSpacing/>
                    <w:jc w:val="center"/>
                    <w:rPr>
                      <w:rFonts w:cs="Times New Roman"/>
                      <w:sz w:val="21"/>
                      <w:szCs w:val="21"/>
                    </w:rPr>
                  </w:pPr>
                  <w:r>
                    <w:rPr>
                      <w:rFonts w:hint="eastAsia" w:cs="Times New Roman"/>
                      <w:sz w:val="21"/>
                      <w:szCs w:val="21"/>
                    </w:rPr>
                    <w:t>监控点处1小时平均浓度值</w:t>
                  </w:r>
                </w:p>
              </w:tc>
              <w:tc>
                <w:tcPr>
                  <w:tcW w:w="1933" w:type="pct"/>
                  <w:vAlign w:val="center"/>
                </w:tcPr>
                <w:p w14:paraId="1947D3E2">
                  <w:pPr>
                    <w:spacing w:line="240" w:lineRule="auto"/>
                    <w:ind w:firstLine="0" w:firstLineChars="0"/>
                    <w:contextualSpacing/>
                    <w:jc w:val="center"/>
                    <w:rPr>
                      <w:rFonts w:cs="Times New Roman"/>
                      <w:sz w:val="21"/>
                      <w:szCs w:val="21"/>
                    </w:rPr>
                  </w:pPr>
                  <w:r>
                    <w:rPr>
                      <w:rFonts w:hint="eastAsia" w:cs="Times New Roman"/>
                      <w:color w:val="000000"/>
                      <w:sz w:val="21"/>
                      <w:szCs w:val="21"/>
                    </w:rPr>
                    <w:t>《加油站大气污染物排放标准》（GB20952-2020）表3中无组织排放限值要求</w:t>
                  </w:r>
                </w:p>
              </w:tc>
            </w:tr>
          </w:tbl>
          <w:p w14:paraId="58AC2F9F">
            <w:pPr>
              <w:spacing w:before="120" w:beforeLines="50" w:line="240" w:lineRule="auto"/>
              <w:ind w:firstLine="0" w:firstLineChars="0"/>
              <w:jc w:val="center"/>
              <w:rPr>
                <w:rFonts w:cs="Times New Roman"/>
                <w:b/>
                <w:sz w:val="21"/>
              </w:rPr>
            </w:pPr>
            <w:bookmarkStart w:id="12" w:name="OLE_LINK7"/>
            <w:r>
              <w:rPr>
                <w:rFonts w:hint="eastAsia" w:cs="Times New Roman"/>
                <w:b/>
                <w:sz w:val="21"/>
              </w:rPr>
              <w:t>表3</w:t>
            </w:r>
            <w:r>
              <w:rPr>
                <w:rFonts w:hint="eastAsia" w:cs="Times New Roman"/>
                <w:b/>
                <w:sz w:val="21"/>
                <w:lang w:val="en-US" w:eastAsia="zh-CN"/>
              </w:rPr>
              <w:t>-3</w:t>
            </w:r>
            <w:r>
              <w:rPr>
                <w:rFonts w:cs="Times New Roman"/>
                <w:b/>
                <w:sz w:val="21"/>
              </w:rPr>
              <w:t xml:space="preserve">  </w:t>
            </w:r>
            <w:r>
              <w:rPr>
                <w:rFonts w:hint="eastAsia" w:cs="Times New Roman"/>
                <w:b/>
                <w:sz w:val="21"/>
              </w:rPr>
              <w:t>《加油站大气污染物排放标准》（GB20952-2020）</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5988"/>
            </w:tblGrid>
            <w:tr w14:paraId="153CC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1" w:type="pct"/>
                  <w:vAlign w:val="center"/>
                </w:tcPr>
                <w:p w14:paraId="5E57A67C">
                  <w:pPr>
                    <w:spacing w:line="240" w:lineRule="auto"/>
                    <w:ind w:firstLine="0" w:firstLineChars="0"/>
                    <w:contextualSpacing/>
                    <w:jc w:val="center"/>
                    <w:rPr>
                      <w:rFonts w:cs="Times New Roman"/>
                      <w:sz w:val="21"/>
                      <w:szCs w:val="21"/>
                    </w:rPr>
                  </w:pPr>
                  <w:r>
                    <w:rPr>
                      <w:rFonts w:hint="eastAsia" w:ascii="Calibri" w:hAnsi="Calibri" w:cs="Times New Roman"/>
                      <w:color w:val="000000"/>
                      <w:sz w:val="21"/>
                      <w:szCs w:val="21"/>
                    </w:rPr>
                    <w:t>项目</w:t>
                  </w:r>
                </w:p>
              </w:tc>
              <w:tc>
                <w:tcPr>
                  <w:tcW w:w="3769" w:type="pct"/>
                  <w:vAlign w:val="center"/>
                </w:tcPr>
                <w:p w14:paraId="446AC7CD">
                  <w:pPr>
                    <w:spacing w:line="240" w:lineRule="auto"/>
                    <w:ind w:firstLine="0" w:firstLineChars="0"/>
                    <w:contextualSpacing/>
                    <w:jc w:val="center"/>
                    <w:rPr>
                      <w:rFonts w:cs="Times New Roman"/>
                      <w:sz w:val="21"/>
                      <w:szCs w:val="21"/>
                    </w:rPr>
                  </w:pPr>
                  <w:r>
                    <w:rPr>
                      <w:rFonts w:hint="eastAsia" w:cs="Times New Roman"/>
                      <w:sz w:val="21"/>
                      <w:szCs w:val="21"/>
                    </w:rPr>
                    <w:t>排放限值（技术参数）</w:t>
                  </w:r>
                </w:p>
              </w:tc>
            </w:tr>
            <w:tr w14:paraId="54E14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31" w:type="pct"/>
                  <w:vAlign w:val="center"/>
                </w:tcPr>
                <w:p w14:paraId="50ED89D7">
                  <w:pPr>
                    <w:spacing w:line="240" w:lineRule="auto"/>
                    <w:ind w:firstLine="0" w:firstLineChars="0"/>
                    <w:contextualSpacing/>
                    <w:jc w:val="center"/>
                    <w:rPr>
                      <w:rFonts w:cs="Times New Roman"/>
                      <w:sz w:val="21"/>
                      <w:szCs w:val="21"/>
                    </w:rPr>
                  </w:pPr>
                  <w:r>
                    <w:rPr>
                      <w:rFonts w:hint="eastAsia" w:cs="Times New Roman"/>
                      <w:sz w:val="21"/>
                      <w:szCs w:val="21"/>
                    </w:rPr>
                    <w:t>液阻</w:t>
                  </w:r>
                </w:p>
              </w:tc>
              <w:tc>
                <w:tcPr>
                  <w:tcW w:w="3769" w:type="pct"/>
                  <w:vAlign w:val="center"/>
                </w:tcPr>
                <w:p w14:paraId="7BF6BECE">
                  <w:pPr>
                    <w:spacing w:line="240" w:lineRule="auto"/>
                    <w:ind w:firstLine="0" w:firstLineChars="0"/>
                    <w:contextualSpacing/>
                    <w:jc w:val="center"/>
                    <w:rPr>
                      <w:rFonts w:cs="Times New Roman"/>
                      <w:sz w:val="21"/>
                      <w:szCs w:val="21"/>
                    </w:rPr>
                  </w:pPr>
                  <w:r>
                    <w:rPr>
                      <w:rFonts w:hint="eastAsia" w:cs="Times New Roman"/>
                      <w:sz w:val="21"/>
                      <w:szCs w:val="21"/>
                    </w:rPr>
                    <w:t>《加油站大气污染物排放标准》（GB20952-2020）表1限值</w:t>
                  </w:r>
                </w:p>
              </w:tc>
            </w:tr>
            <w:tr w14:paraId="34074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31" w:type="pct"/>
                  <w:vAlign w:val="center"/>
                </w:tcPr>
                <w:p w14:paraId="3C72AC2B">
                  <w:pPr>
                    <w:spacing w:line="240" w:lineRule="auto"/>
                    <w:ind w:firstLine="0" w:firstLineChars="0"/>
                    <w:contextualSpacing/>
                    <w:jc w:val="center"/>
                    <w:rPr>
                      <w:rFonts w:cs="Times New Roman"/>
                      <w:sz w:val="21"/>
                      <w:szCs w:val="21"/>
                    </w:rPr>
                  </w:pPr>
                  <w:r>
                    <w:rPr>
                      <w:rFonts w:hint="eastAsia" w:cs="Times New Roman"/>
                      <w:sz w:val="21"/>
                      <w:szCs w:val="21"/>
                    </w:rPr>
                    <w:t>密闭性</w:t>
                  </w:r>
                </w:p>
              </w:tc>
              <w:tc>
                <w:tcPr>
                  <w:tcW w:w="3769" w:type="pct"/>
                  <w:vAlign w:val="center"/>
                </w:tcPr>
                <w:p w14:paraId="662C696F">
                  <w:pPr>
                    <w:spacing w:line="240" w:lineRule="auto"/>
                    <w:ind w:firstLine="0" w:firstLineChars="0"/>
                    <w:contextualSpacing/>
                    <w:jc w:val="center"/>
                    <w:rPr>
                      <w:rFonts w:cs="Times New Roman"/>
                      <w:color w:val="000000"/>
                      <w:sz w:val="21"/>
                      <w:szCs w:val="21"/>
                    </w:rPr>
                  </w:pPr>
                  <w:r>
                    <w:rPr>
                      <w:rFonts w:hint="eastAsia" w:cs="Times New Roman"/>
                      <w:sz w:val="21"/>
                      <w:szCs w:val="21"/>
                    </w:rPr>
                    <w:t>《加油站大气污染物排放标准》（GB20952-2020）表</w:t>
                  </w:r>
                  <w:r>
                    <w:rPr>
                      <w:rFonts w:cs="Times New Roman"/>
                      <w:sz w:val="21"/>
                      <w:szCs w:val="21"/>
                    </w:rPr>
                    <w:t>2</w:t>
                  </w:r>
                  <w:r>
                    <w:rPr>
                      <w:rFonts w:hint="eastAsia" w:cs="Times New Roman"/>
                      <w:sz w:val="21"/>
                      <w:szCs w:val="21"/>
                    </w:rPr>
                    <w:t>限值</w:t>
                  </w:r>
                </w:p>
              </w:tc>
            </w:tr>
            <w:tr w14:paraId="6AB56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31" w:type="pct"/>
                  <w:vAlign w:val="center"/>
                </w:tcPr>
                <w:p w14:paraId="6D113BBE">
                  <w:pPr>
                    <w:spacing w:line="240" w:lineRule="auto"/>
                    <w:ind w:firstLine="0" w:firstLineChars="0"/>
                    <w:contextualSpacing/>
                    <w:jc w:val="center"/>
                    <w:rPr>
                      <w:rFonts w:cs="Times New Roman"/>
                      <w:sz w:val="21"/>
                      <w:szCs w:val="21"/>
                    </w:rPr>
                  </w:pPr>
                  <w:r>
                    <w:rPr>
                      <w:rFonts w:hint="eastAsia" w:cs="Times New Roman"/>
                      <w:sz w:val="21"/>
                      <w:szCs w:val="21"/>
                    </w:rPr>
                    <w:t>气液比</w:t>
                  </w:r>
                </w:p>
              </w:tc>
              <w:tc>
                <w:tcPr>
                  <w:tcW w:w="3769" w:type="pct"/>
                  <w:vAlign w:val="center"/>
                </w:tcPr>
                <w:p w14:paraId="51A3E7BD">
                  <w:pPr>
                    <w:spacing w:line="240" w:lineRule="auto"/>
                    <w:ind w:firstLine="0" w:firstLineChars="0"/>
                    <w:contextualSpacing/>
                    <w:jc w:val="center"/>
                    <w:rPr>
                      <w:rFonts w:cs="Times New Roman"/>
                      <w:color w:val="000000"/>
                      <w:sz w:val="21"/>
                      <w:szCs w:val="21"/>
                    </w:rPr>
                  </w:pPr>
                  <w:r>
                    <w:rPr>
                      <w:rFonts w:hint="eastAsia" w:cs="Times New Roman"/>
                      <w:sz w:val="21"/>
                      <w:szCs w:val="21"/>
                    </w:rPr>
                    <w:t>气液比应大于等于1</w:t>
                  </w:r>
                  <w:r>
                    <w:rPr>
                      <w:rFonts w:cs="Times New Roman"/>
                      <w:sz w:val="21"/>
                      <w:szCs w:val="21"/>
                    </w:rPr>
                    <w:t>.0</w:t>
                  </w:r>
                  <w:r>
                    <w:rPr>
                      <w:rFonts w:hint="eastAsia" w:cs="Times New Roman"/>
                      <w:sz w:val="21"/>
                      <w:szCs w:val="21"/>
                    </w:rPr>
                    <w:t>，小于等于1</w:t>
                  </w:r>
                  <w:r>
                    <w:rPr>
                      <w:rFonts w:cs="Times New Roman"/>
                      <w:sz w:val="21"/>
                      <w:szCs w:val="21"/>
                    </w:rPr>
                    <w:t>.2</w:t>
                  </w:r>
                </w:p>
              </w:tc>
            </w:tr>
            <w:tr w14:paraId="50D71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31" w:type="pct"/>
                  <w:vAlign w:val="center"/>
                </w:tcPr>
                <w:p w14:paraId="7B20DA7E">
                  <w:pPr>
                    <w:spacing w:line="240" w:lineRule="auto"/>
                    <w:ind w:firstLine="0" w:firstLineChars="0"/>
                    <w:contextualSpacing/>
                    <w:jc w:val="center"/>
                    <w:rPr>
                      <w:rFonts w:cs="Times New Roman"/>
                      <w:sz w:val="21"/>
                      <w:szCs w:val="21"/>
                    </w:rPr>
                  </w:pPr>
                  <w:r>
                    <w:rPr>
                      <w:rFonts w:hint="eastAsia" w:cs="Times New Roman"/>
                      <w:sz w:val="21"/>
                      <w:szCs w:val="21"/>
                    </w:rPr>
                    <w:t>油气泄漏检测值</w:t>
                  </w:r>
                </w:p>
              </w:tc>
              <w:tc>
                <w:tcPr>
                  <w:tcW w:w="3769" w:type="pct"/>
                  <w:vAlign w:val="center"/>
                </w:tcPr>
                <w:p w14:paraId="73898E59">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采用氢火焰离子化检测仪（以甲烷或丙烷为校准气体）检测油气回收系统密闭点位，油气泄漏检测值应小于等于5</w:t>
                  </w:r>
                  <w:r>
                    <w:rPr>
                      <w:rFonts w:cs="Times New Roman"/>
                      <w:color w:val="000000"/>
                      <w:sz w:val="21"/>
                      <w:szCs w:val="21"/>
                    </w:rPr>
                    <w:t>00umol/mol</w:t>
                  </w:r>
                </w:p>
              </w:tc>
            </w:tr>
          </w:tbl>
          <w:p w14:paraId="0EA6438E">
            <w:pPr>
              <w:adjustRightInd w:val="0"/>
              <w:snapToGrid w:val="0"/>
              <w:ind w:firstLine="480"/>
              <w:textAlignment w:val="auto"/>
              <w:rPr>
                <w:rFonts w:cs="Times New Roman"/>
              </w:rPr>
            </w:pPr>
            <w:r>
              <w:rPr>
                <w:rFonts w:hint="eastAsia" w:cs="Times New Roman"/>
                <w:lang w:val="en-US" w:eastAsia="zh-CN"/>
              </w:rPr>
              <w:t>运营期</w:t>
            </w:r>
            <w:r>
              <w:rPr>
                <w:rFonts w:hint="eastAsia" w:cs="Times New Roman"/>
              </w:rPr>
              <w:t>站区内</w:t>
            </w:r>
            <w:r>
              <w:rPr>
                <w:rFonts w:cs="Times New Roman"/>
              </w:rPr>
              <w:t>VOC</w:t>
            </w:r>
            <w:r>
              <w:rPr>
                <w:rFonts w:cs="Times New Roman"/>
                <w:vertAlign w:val="subscript"/>
              </w:rPr>
              <w:t>S</w:t>
            </w:r>
            <w:r>
              <w:rPr>
                <w:rFonts w:hint="eastAsia" w:cs="Times New Roman"/>
              </w:rPr>
              <w:t>排放执行《挥发性有机物无组织排放控制标准》（</w:t>
            </w:r>
            <w:r>
              <w:rPr>
                <w:rFonts w:cs="Times New Roman"/>
              </w:rPr>
              <w:t>GB37822-2019</w:t>
            </w:r>
            <w:r>
              <w:rPr>
                <w:rFonts w:hint="eastAsia" w:cs="Times New Roman"/>
              </w:rPr>
              <w:t>）表</w:t>
            </w:r>
            <w:r>
              <w:rPr>
                <w:rFonts w:cs="Times New Roman"/>
              </w:rPr>
              <w:t>A.1</w:t>
            </w:r>
            <w:r>
              <w:rPr>
                <w:rFonts w:hint="eastAsia" w:cs="Times New Roman"/>
              </w:rPr>
              <w:t>厂内</w:t>
            </w:r>
            <w:r>
              <w:rPr>
                <w:rFonts w:cs="Times New Roman"/>
              </w:rPr>
              <w:t>VOC</w:t>
            </w:r>
            <w:r>
              <w:rPr>
                <w:rFonts w:cs="Times New Roman"/>
                <w:vertAlign w:val="subscript"/>
              </w:rPr>
              <w:t>S</w:t>
            </w:r>
            <w:r>
              <w:rPr>
                <w:rFonts w:hint="eastAsia" w:cs="Times New Roman"/>
              </w:rPr>
              <w:t>无组织排放限值</w:t>
            </w:r>
            <w:bookmarkEnd w:id="12"/>
            <w:r>
              <w:rPr>
                <w:rFonts w:hint="eastAsia" w:cs="Times New Roman"/>
              </w:rPr>
              <w:t>，详见表</w:t>
            </w:r>
            <w:r>
              <w:rPr>
                <w:rFonts w:cs="Times New Roman"/>
              </w:rPr>
              <w:t>3</w:t>
            </w:r>
            <w:r>
              <w:rPr>
                <w:rFonts w:hint="eastAsia" w:cs="Times New Roman"/>
                <w:lang w:val="en-US" w:eastAsia="zh-CN"/>
              </w:rPr>
              <w:t>-4</w:t>
            </w:r>
            <w:r>
              <w:rPr>
                <w:rFonts w:hint="eastAsia" w:cs="Times New Roman"/>
              </w:rPr>
              <w:t>。</w:t>
            </w:r>
          </w:p>
          <w:p w14:paraId="3232ADA1">
            <w:pPr>
              <w:spacing w:before="120" w:beforeLines="50" w:line="240" w:lineRule="auto"/>
              <w:ind w:firstLine="422" w:firstLineChars="0"/>
              <w:jc w:val="center"/>
              <w:textAlignment w:val="auto"/>
              <w:rPr>
                <w:rFonts w:ascii="宋体" w:hAnsi="宋体" w:cs="宋体"/>
                <w:b/>
                <w:sz w:val="21"/>
                <w:szCs w:val="21"/>
              </w:rPr>
            </w:pPr>
            <w:r>
              <w:rPr>
                <w:rFonts w:hint="default" w:ascii="Times New Roman" w:hAnsi="Times New Roman" w:cs="Times New Roman"/>
                <w:b/>
                <w:sz w:val="21"/>
                <w:szCs w:val="21"/>
              </w:rPr>
              <w:t>表</w:t>
            </w:r>
            <w:r>
              <w:rPr>
                <w:rFonts w:hint="default" w:ascii="Times New Roman" w:hAnsi="Times New Roman" w:cs="Times New Roman"/>
                <w:b/>
                <w:sz w:val="21"/>
                <w:szCs w:val="21"/>
                <w:lang w:val="en-US" w:eastAsia="zh-CN"/>
              </w:rPr>
              <w:t>3-4</w:t>
            </w:r>
            <w:r>
              <w:rPr>
                <w:rFonts w:hint="default" w:ascii="Times New Roman" w:hAnsi="Times New Roman" w:cs="Times New Roman"/>
                <w:b/>
                <w:sz w:val="21"/>
                <w:szCs w:val="21"/>
              </w:rPr>
              <w:t xml:space="preserve">  厂区内VOC</w:t>
            </w:r>
            <w:r>
              <w:rPr>
                <w:rFonts w:cs="Times New Roman"/>
                <w:b/>
                <w:sz w:val="21"/>
                <w:szCs w:val="21"/>
                <w:vertAlign w:val="subscript"/>
              </w:rPr>
              <w:t>S</w:t>
            </w:r>
            <w:r>
              <w:rPr>
                <w:rFonts w:hint="eastAsia" w:ascii="宋体" w:hAnsi="宋体" w:cs="宋体"/>
                <w:b/>
                <w:sz w:val="21"/>
                <w:szCs w:val="21"/>
              </w:rPr>
              <w:t>无组织排放限值</w:t>
            </w:r>
            <w:r>
              <w:rPr>
                <w:rFonts w:hint="eastAsia" w:cs="Times New Roman"/>
                <w:b/>
                <w:sz w:val="21"/>
                <w:szCs w:val="21"/>
              </w:rPr>
              <w:t>（</w:t>
            </w:r>
            <w:r>
              <w:rPr>
                <w:rFonts w:cs="Times New Roman"/>
                <w:b/>
                <w:sz w:val="21"/>
                <w:szCs w:val="21"/>
              </w:rPr>
              <w:t>mg/m³</w:t>
            </w:r>
            <w:r>
              <w:rPr>
                <w:rFonts w:hint="eastAsia" w:cs="Times New Roman"/>
                <w:b/>
                <w:sz w:val="21"/>
                <w:szCs w:val="21"/>
              </w:rPr>
              <w:t>）</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099"/>
              <w:gridCol w:w="3129"/>
              <w:gridCol w:w="2443"/>
            </w:tblGrid>
            <w:tr w14:paraId="39DD7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0" w:type="dxa"/>
                  <w:tcBorders>
                    <w:top w:val="single" w:color="auto" w:sz="12" w:space="0"/>
                    <w:left w:val="single" w:color="auto" w:sz="12" w:space="0"/>
                    <w:bottom w:val="single" w:color="auto" w:sz="4" w:space="0"/>
                    <w:right w:val="single" w:color="auto" w:sz="4" w:space="0"/>
                  </w:tcBorders>
                  <w:vAlign w:val="center"/>
                </w:tcPr>
                <w:p w14:paraId="2248F983">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污染物项目</w:t>
                  </w:r>
                </w:p>
              </w:tc>
              <w:tc>
                <w:tcPr>
                  <w:tcW w:w="1155" w:type="dxa"/>
                  <w:tcBorders>
                    <w:top w:val="single" w:color="auto" w:sz="12" w:space="0"/>
                    <w:left w:val="single" w:color="auto" w:sz="4" w:space="0"/>
                    <w:bottom w:val="single" w:color="auto" w:sz="4" w:space="0"/>
                    <w:right w:val="single" w:color="auto" w:sz="4" w:space="0"/>
                  </w:tcBorders>
                  <w:vAlign w:val="center"/>
                </w:tcPr>
                <w:p w14:paraId="5DA405C5">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排放限值</w:t>
                  </w:r>
                </w:p>
              </w:tc>
              <w:tc>
                <w:tcPr>
                  <w:tcW w:w="3315" w:type="dxa"/>
                  <w:tcBorders>
                    <w:top w:val="single" w:color="auto" w:sz="12" w:space="0"/>
                    <w:left w:val="single" w:color="auto" w:sz="4" w:space="0"/>
                    <w:bottom w:val="single" w:color="auto" w:sz="4" w:space="0"/>
                    <w:right w:val="single" w:color="auto" w:sz="4" w:space="0"/>
                  </w:tcBorders>
                  <w:vAlign w:val="center"/>
                </w:tcPr>
                <w:p w14:paraId="74C0EC95">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限值含义</w:t>
                  </w:r>
                </w:p>
              </w:tc>
              <w:tc>
                <w:tcPr>
                  <w:tcW w:w="2585" w:type="dxa"/>
                  <w:tcBorders>
                    <w:top w:val="single" w:color="auto" w:sz="12" w:space="0"/>
                    <w:left w:val="single" w:color="auto" w:sz="4" w:space="0"/>
                    <w:bottom w:val="single" w:color="auto" w:sz="4" w:space="0"/>
                    <w:right w:val="single" w:color="auto" w:sz="12" w:space="0"/>
                  </w:tcBorders>
                  <w:vAlign w:val="center"/>
                </w:tcPr>
                <w:p w14:paraId="30D7C49F">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无组织排放监控位置</w:t>
                  </w:r>
                </w:p>
              </w:tc>
            </w:tr>
            <w:tr w14:paraId="427A8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40" w:type="dxa"/>
                  <w:vMerge w:val="restart"/>
                  <w:tcBorders>
                    <w:top w:val="single" w:color="auto" w:sz="4" w:space="0"/>
                    <w:left w:val="single" w:color="auto" w:sz="12" w:space="0"/>
                    <w:bottom w:val="single" w:color="auto" w:sz="12" w:space="0"/>
                    <w:right w:val="single" w:color="auto" w:sz="4" w:space="0"/>
                  </w:tcBorders>
                  <w:vAlign w:val="center"/>
                </w:tcPr>
                <w:p w14:paraId="02D716D9">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非甲烷总烃</w:t>
                  </w:r>
                </w:p>
              </w:tc>
              <w:tc>
                <w:tcPr>
                  <w:tcW w:w="1155" w:type="dxa"/>
                  <w:tcBorders>
                    <w:top w:val="single" w:color="auto" w:sz="4" w:space="0"/>
                    <w:left w:val="single" w:color="auto" w:sz="4" w:space="0"/>
                    <w:bottom w:val="single" w:color="auto" w:sz="4" w:space="0"/>
                    <w:right w:val="single" w:color="auto" w:sz="4" w:space="0"/>
                  </w:tcBorders>
                  <w:vAlign w:val="center"/>
                </w:tcPr>
                <w:p w14:paraId="6212E36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10</w:t>
                  </w:r>
                </w:p>
              </w:tc>
              <w:tc>
                <w:tcPr>
                  <w:tcW w:w="3315" w:type="dxa"/>
                  <w:tcBorders>
                    <w:top w:val="single" w:color="auto" w:sz="4" w:space="0"/>
                    <w:left w:val="single" w:color="auto" w:sz="4" w:space="0"/>
                    <w:bottom w:val="single" w:color="auto" w:sz="4" w:space="0"/>
                    <w:right w:val="single" w:color="auto" w:sz="4" w:space="0"/>
                  </w:tcBorders>
                  <w:vAlign w:val="center"/>
                </w:tcPr>
                <w:p w14:paraId="5D557412">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监控点处</w:t>
                  </w:r>
                  <w:r>
                    <w:rPr>
                      <w:rFonts w:cs="Times New Roman"/>
                      <w:kern w:val="0"/>
                      <w:sz w:val="21"/>
                      <w:szCs w:val="20"/>
                    </w:rPr>
                    <w:t>1h</w:t>
                  </w:r>
                  <w:r>
                    <w:rPr>
                      <w:rFonts w:hint="eastAsia" w:cs="Times New Roman"/>
                      <w:kern w:val="0"/>
                      <w:sz w:val="21"/>
                      <w:szCs w:val="20"/>
                    </w:rPr>
                    <w:t>平均浓度值</w:t>
                  </w:r>
                </w:p>
              </w:tc>
              <w:tc>
                <w:tcPr>
                  <w:tcW w:w="2585" w:type="dxa"/>
                  <w:vMerge w:val="restart"/>
                  <w:tcBorders>
                    <w:top w:val="single" w:color="auto" w:sz="4" w:space="0"/>
                    <w:left w:val="single" w:color="auto" w:sz="4" w:space="0"/>
                    <w:bottom w:val="single" w:color="auto" w:sz="12" w:space="0"/>
                    <w:right w:val="single" w:color="auto" w:sz="12" w:space="0"/>
                  </w:tcBorders>
                  <w:vAlign w:val="center"/>
                </w:tcPr>
                <w:p w14:paraId="407C8D78">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在</w:t>
                  </w:r>
                  <w:r>
                    <w:rPr>
                      <w:rFonts w:hint="eastAsia" w:cs="Times New Roman"/>
                      <w:kern w:val="0"/>
                      <w:sz w:val="21"/>
                      <w:szCs w:val="20"/>
                      <w:lang w:val="en-US" w:eastAsia="zh-CN"/>
                    </w:rPr>
                    <w:t>加油区周边</w:t>
                  </w:r>
                  <w:r>
                    <w:rPr>
                      <w:rFonts w:hint="eastAsia" w:cs="Times New Roman"/>
                      <w:kern w:val="0"/>
                      <w:sz w:val="21"/>
                      <w:szCs w:val="20"/>
                    </w:rPr>
                    <w:t>设置监控点</w:t>
                  </w:r>
                </w:p>
              </w:tc>
            </w:tr>
            <w:tr w14:paraId="2DCE2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vMerge w:val="continue"/>
                  <w:tcBorders>
                    <w:top w:val="single" w:color="auto" w:sz="4" w:space="0"/>
                    <w:left w:val="single" w:color="auto" w:sz="12" w:space="0"/>
                    <w:bottom w:val="single" w:color="auto" w:sz="12" w:space="0"/>
                    <w:right w:val="single" w:color="auto" w:sz="4" w:space="0"/>
                  </w:tcBorders>
                  <w:vAlign w:val="center"/>
                </w:tcPr>
                <w:p w14:paraId="0BE53FB5">
                  <w:pPr>
                    <w:widowControl/>
                    <w:spacing w:line="240" w:lineRule="auto"/>
                    <w:ind w:firstLine="0" w:firstLineChars="0"/>
                    <w:jc w:val="left"/>
                    <w:textAlignment w:val="auto"/>
                    <w:rPr>
                      <w:rFonts w:cs="Times New Roman"/>
                      <w:kern w:val="0"/>
                      <w:sz w:val="21"/>
                      <w:szCs w:val="20"/>
                    </w:rPr>
                  </w:pPr>
                </w:p>
              </w:tc>
              <w:tc>
                <w:tcPr>
                  <w:tcW w:w="1155" w:type="dxa"/>
                  <w:tcBorders>
                    <w:top w:val="single" w:color="auto" w:sz="4" w:space="0"/>
                    <w:left w:val="single" w:color="auto" w:sz="4" w:space="0"/>
                    <w:bottom w:val="single" w:color="auto" w:sz="12" w:space="0"/>
                    <w:right w:val="single" w:color="auto" w:sz="4" w:space="0"/>
                  </w:tcBorders>
                  <w:vAlign w:val="center"/>
                </w:tcPr>
                <w:p w14:paraId="739BEE6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30</w:t>
                  </w:r>
                </w:p>
              </w:tc>
              <w:tc>
                <w:tcPr>
                  <w:tcW w:w="3315" w:type="dxa"/>
                  <w:tcBorders>
                    <w:top w:val="single" w:color="auto" w:sz="4" w:space="0"/>
                    <w:left w:val="single" w:color="auto" w:sz="4" w:space="0"/>
                    <w:bottom w:val="single" w:color="auto" w:sz="12" w:space="0"/>
                    <w:right w:val="single" w:color="auto" w:sz="4" w:space="0"/>
                  </w:tcBorders>
                  <w:vAlign w:val="center"/>
                </w:tcPr>
                <w:p w14:paraId="58B23012">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监控点处任意一次浓度值</w:t>
                  </w:r>
                </w:p>
              </w:tc>
              <w:tc>
                <w:tcPr>
                  <w:tcW w:w="2651" w:type="dxa"/>
                  <w:vMerge w:val="continue"/>
                  <w:tcBorders>
                    <w:top w:val="single" w:color="auto" w:sz="4" w:space="0"/>
                    <w:left w:val="single" w:color="auto" w:sz="4" w:space="0"/>
                    <w:bottom w:val="single" w:color="auto" w:sz="12" w:space="0"/>
                    <w:right w:val="single" w:color="auto" w:sz="12" w:space="0"/>
                  </w:tcBorders>
                  <w:vAlign w:val="center"/>
                </w:tcPr>
                <w:p w14:paraId="206C5103">
                  <w:pPr>
                    <w:widowControl/>
                    <w:spacing w:line="240" w:lineRule="auto"/>
                    <w:ind w:firstLine="0" w:firstLineChars="0"/>
                    <w:jc w:val="left"/>
                    <w:textAlignment w:val="auto"/>
                    <w:rPr>
                      <w:rFonts w:cs="Times New Roman"/>
                      <w:kern w:val="0"/>
                      <w:sz w:val="21"/>
                      <w:szCs w:val="20"/>
                    </w:rPr>
                  </w:pPr>
                </w:p>
              </w:tc>
            </w:tr>
          </w:tbl>
          <w:p w14:paraId="13E4A9B7">
            <w:pPr>
              <w:ind w:firstLine="0" w:firstLineChars="0"/>
              <w:rPr>
                <w:b/>
                <w:bCs/>
              </w:rPr>
            </w:pPr>
            <w:r>
              <w:rPr>
                <w:b/>
                <w:bCs/>
              </w:rPr>
              <w:t>3.</w:t>
            </w:r>
            <w:r>
              <w:rPr>
                <w:rFonts w:hint="eastAsia"/>
                <w:b/>
                <w:bCs/>
              </w:rPr>
              <w:t>3.3</w:t>
            </w:r>
            <w:r>
              <w:rPr>
                <w:b/>
                <w:bCs/>
              </w:rPr>
              <w:t>噪声</w:t>
            </w:r>
          </w:p>
          <w:p w14:paraId="21DA8C74">
            <w:pPr>
              <w:ind w:firstLine="480"/>
            </w:pPr>
            <w:r>
              <w:rPr>
                <w:bCs/>
              </w:rPr>
              <w:t>施工期噪声执行《建筑施工噪声排放标准》（GB 12523-20</w:t>
            </w:r>
            <w:r>
              <w:rPr>
                <w:rFonts w:hint="eastAsia"/>
                <w:bCs/>
                <w:lang w:val="en-US" w:eastAsia="zh-CN"/>
              </w:rPr>
              <w:t>25</w:t>
            </w:r>
            <w:r>
              <w:rPr>
                <w:bCs/>
              </w:rPr>
              <w:t>）标准</w:t>
            </w:r>
            <w:r>
              <w:rPr>
                <w:rFonts w:hint="eastAsia"/>
                <w:bCs/>
              </w:rPr>
              <w:t>，</w:t>
            </w:r>
            <w:r>
              <w:t>即昼间：70dB(A)，夜间：55dB(A)。</w:t>
            </w:r>
          </w:p>
          <w:p w14:paraId="5B717610">
            <w:pPr>
              <w:ind w:firstLine="480"/>
            </w:pPr>
            <w:r>
              <w:t>项目区厂界外执行《工业企业厂界环境噪声排放标准》（GB12348-2008）中的2类标准，即昼间：60dB(A)，夜间：50dB(A)。</w:t>
            </w:r>
          </w:p>
          <w:p w14:paraId="4E29DCAC">
            <w:pPr>
              <w:ind w:firstLine="0" w:firstLineChars="0"/>
              <w:rPr>
                <w:b/>
                <w:bCs/>
              </w:rPr>
            </w:pPr>
            <w:r>
              <w:rPr>
                <w:rFonts w:hint="eastAsia"/>
                <w:b/>
                <w:bCs/>
              </w:rPr>
              <w:t>3.3.4</w:t>
            </w:r>
            <w:r>
              <w:rPr>
                <w:b/>
                <w:bCs/>
              </w:rPr>
              <w:t>固废</w:t>
            </w:r>
          </w:p>
          <w:p w14:paraId="4C2C4B50">
            <w:pPr>
              <w:ind w:firstLine="480"/>
              <w:rPr>
                <w:b/>
                <w:color w:val="000000"/>
              </w:rPr>
            </w:pPr>
            <w:r>
              <w:rPr>
                <w:rFonts w:hint="eastAsia" w:cs="Times New Roman"/>
                <w:lang w:val="en-US" w:eastAsia="zh-CN"/>
              </w:rPr>
              <w:t>项目运营期</w:t>
            </w:r>
            <w:r>
              <w:rPr>
                <w:bCs/>
              </w:rPr>
              <w:t>危险废物执行《危险废物贮存污染控制标准》（GB18597-20</w:t>
            </w:r>
            <w:r>
              <w:rPr>
                <w:rFonts w:hint="eastAsia"/>
                <w:bCs/>
              </w:rPr>
              <w:t>23</w:t>
            </w:r>
            <w:r>
              <w:rPr>
                <w:bCs/>
              </w:rPr>
              <w:t>）的相关规定。</w:t>
            </w:r>
          </w:p>
        </w:tc>
      </w:tr>
      <w:tr w14:paraId="05C78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800" w:type="dxa"/>
            <w:vAlign w:val="center"/>
          </w:tcPr>
          <w:p w14:paraId="45B77F07">
            <w:pPr>
              <w:adjustRightInd w:val="0"/>
              <w:snapToGrid w:val="0"/>
              <w:ind w:firstLine="0" w:firstLineChars="0"/>
              <w:jc w:val="both"/>
              <w:rPr>
                <w:rFonts w:ascii="宋体" w:hAnsi="宋体" w:cs="宋体"/>
                <w:szCs w:val="21"/>
              </w:rPr>
            </w:pPr>
            <w:r>
              <w:rPr>
                <w:rFonts w:hint="eastAsia" w:ascii="宋体" w:hAnsi="宋体" w:cs="宋体"/>
                <w:szCs w:val="21"/>
              </w:rPr>
              <w:t>总量控制指标</w:t>
            </w:r>
          </w:p>
        </w:tc>
        <w:tc>
          <w:tcPr>
            <w:tcW w:w="8190" w:type="dxa"/>
            <w:vAlign w:val="center"/>
          </w:tcPr>
          <w:p w14:paraId="338531F1">
            <w:pPr>
              <w:snapToGrid w:val="0"/>
              <w:ind w:firstLine="480"/>
              <w:textAlignment w:val="auto"/>
              <w:rPr>
                <w:rFonts w:cs="Times New Roman"/>
                <w:szCs w:val="24"/>
              </w:rPr>
            </w:pPr>
            <w:r>
              <w:rPr>
                <w:rFonts w:hint="eastAsia" w:cs="Times New Roman"/>
                <w:szCs w:val="24"/>
              </w:rPr>
              <w:t>根据《“十四五”污染减排综合工作方案编制技术指南》，国家实施总量控制的污染物指标有大气污染物：NOx和VOCs；水污染物：COD和NH</w:t>
            </w:r>
            <w:r>
              <w:rPr>
                <w:rFonts w:hint="eastAsia" w:cs="Times New Roman"/>
                <w:szCs w:val="24"/>
                <w:vertAlign w:val="subscript"/>
              </w:rPr>
              <w:t>3</w:t>
            </w:r>
            <w:r>
              <w:rPr>
                <w:rFonts w:hint="eastAsia" w:cs="Times New Roman"/>
                <w:szCs w:val="24"/>
              </w:rPr>
              <w:t>-N。</w:t>
            </w:r>
          </w:p>
          <w:p w14:paraId="58C5F4C4">
            <w:pPr>
              <w:snapToGrid w:val="0"/>
              <w:ind w:firstLine="480"/>
              <w:textAlignment w:val="auto"/>
              <w:rPr>
                <w:rFonts w:cs="Times New Roman"/>
                <w:szCs w:val="24"/>
              </w:rPr>
            </w:pPr>
            <w:r>
              <w:rPr>
                <w:rFonts w:hint="eastAsia" w:cs="Times New Roman"/>
                <w:szCs w:val="24"/>
              </w:rPr>
              <w:t>根据本报告工程分析可知，本项目运营期外排废气排放量很小且非连续性排放。同时，项目场地开阔，自然通风条件良好，随着空气流动很快被稀释。因此，本报告建议不设置废气污染物总量控制指标。</w:t>
            </w:r>
          </w:p>
          <w:p w14:paraId="648F7F69">
            <w:pPr>
              <w:adjustRightInd w:val="0"/>
              <w:snapToGrid w:val="0"/>
              <w:ind w:firstLine="480"/>
            </w:pPr>
            <w:r>
              <w:rPr>
                <w:rFonts w:hint="eastAsia" w:cs="Times New Roman"/>
                <w:szCs w:val="24"/>
              </w:rPr>
              <w:t>项目运营期</w:t>
            </w:r>
            <w:r>
              <w:rPr>
                <w:rFonts w:hint="eastAsia" w:cs="Times New Roman"/>
              </w:rPr>
              <w:t>生活污水经化粪池预处理后达到《污水综合排放标准》（GB8978-1996）三级排放标准后</w:t>
            </w:r>
            <w:r>
              <w:rPr>
                <w:rFonts w:hint="eastAsia"/>
              </w:rPr>
              <w:t>排放至市政排水管道</w:t>
            </w:r>
            <w:r>
              <w:rPr>
                <w:rFonts w:hint="eastAsia"/>
                <w:lang w:eastAsia="zh-CN"/>
              </w:rPr>
              <w:t>，</w:t>
            </w:r>
            <w:r>
              <w:rPr>
                <w:rFonts w:hint="eastAsia"/>
              </w:rPr>
              <w:t>最终进入</w:t>
            </w:r>
            <w:r>
              <w:rPr>
                <w:rFonts w:hint="eastAsia"/>
                <w:lang w:eastAsia="zh-CN"/>
              </w:rPr>
              <w:t>库尔勒经济技术开发区工业废水处理厂</w:t>
            </w:r>
            <w:r>
              <w:rPr>
                <w:rFonts w:hint="eastAsia"/>
              </w:rPr>
              <w:t>深度处理</w:t>
            </w:r>
            <w:r>
              <w:rPr>
                <w:rFonts w:hint="eastAsia" w:cs="Times New Roman"/>
                <w:szCs w:val="24"/>
                <w:lang w:eastAsia="zh-CN"/>
              </w:rPr>
              <w:t>，</w:t>
            </w:r>
            <w:r>
              <w:rPr>
                <w:rFonts w:hint="eastAsia" w:cs="Times New Roman"/>
                <w:szCs w:val="24"/>
              </w:rPr>
              <w:t>水污染物</w:t>
            </w:r>
            <w:r>
              <w:rPr>
                <w:rFonts w:hint="eastAsia" w:cs="Times New Roman"/>
                <w:szCs w:val="24"/>
                <w:lang w:val="en-US" w:eastAsia="zh-CN"/>
              </w:rPr>
              <w:t>总量已在污水处理厂总量中扣除，</w:t>
            </w:r>
            <w:r>
              <w:rPr>
                <w:rFonts w:hint="eastAsia" w:cs="Times New Roman"/>
                <w:szCs w:val="24"/>
              </w:rPr>
              <w:t>不需要</w:t>
            </w:r>
            <w:r>
              <w:rPr>
                <w:rFonts w:hint="eastAsia" w:cs="Times New Roman"/>
                <w:szCs w:val="24"/>
                <w:lang w:val="en-US" w:eastAsia="zh-CN"/>
              </w:rPr>
              <w:t>单独</w:t>
            </w:r>
            <w:r>
              <w:rPr>
                <w:rFonts w:hint="eastAsia" w:cs="Times New Roman"/>
                <w:szCs w:val="24"/>
              </w:rPr>
              <w:t>申请</w:t>
            </w:r>
            <w:r>
              <w:rPr>
                <w:rFonts w:cs="Times New Roman"/>
                <w:szCs w:val="24"/>
              </w:rPr>
              <w:t>。</w:t>
            </w:r>
          </w:p>
        </w:tc>
      </w:tr>
    </w:tbl>
    <w:p w14:paraId="1CF4BEB7">
      <w:pPr>
        <w:pStyle w:val="4"/>
      </w:pPr>
      <w:r>
        <w:rPr>
          <w:rFonts w:hint="eastAsia"/>
        </w:rPr>
        <w:t>四、主要环境影响和保护措施</w:t>
      </w:r>
    </w:p>
    <w:tbl>
      <w:tblPr>
        <w:tblStyle w:val="20"/>
        <w:tblpPr w:leftFromText="180" w:rightFromText="180" w:vertAnchor="text" w:tblpXSpec="center" w:tblpY="1"/>
        <w:tblOverlap w:val="never"/>
        <w:tblW w:w="93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570"/>
      </w:tblGrid>
      <w:tr w14:paraId="6BF15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6" w:type="dxa"/>
            <w:tcMar>
              <w:left w:w="28" w:type="dxa"/>
              <w:right w:w="28" w:type="dxa"/>
            </w:tcMar>
            <w:vAlign w:val="center"/>
          </w:tcPr>
          <w:p w14:paraId="01FD0EC8">
            <w:pPr>
              <w:pStyle w:val="16"/>
              <w:adjustRightInd w:val="0"/>
              <w:snapToGrid w:val="0"/>
              <w:spacing w:before="0" w:beforeAutospacing="0" w:after="0" w:afterAutospacing="0"/>
              <w:ind w:firstLine="0" w:firstLineChars="0"/>
              <w:jc w:val="both"/>
              <w:rPr>
                <w:rFonts w:cs="宋体"/>
                <w:bCs/>
                <w:kern w:val="2"/>
                <w:sz w:val="21"/>
                <w:szCs w:val="21"/>
              </w:rPr>
            </w:pPr>
            <w:r>
              <w:rPr>
                <w:rFonts w:hint="eastAsia" w:cs="宋体"/>
                <w:kern w:val="2"/>
                <w:sz w:val="21"/>
                <w:szCs w:val="21"/>
              </w:rPr>
              <w:t>施工期环境保护措施</w:t>
            </w:r>
          </w:p>
        </w:tc>
        <w:tc>
          <w:tcPr>
            <w:tcW w:w="8570" w:type="dxa"/>
            <w:vAlign w:val="center"/>
          </w:tcPr>
          <w:p w14:paraId="47BA69FD">
            <w:pPr>
              <w:adjustRightInd w:val="0"/>
              <w:snapToGrid w:val="0"/>
              <w:ind w:firstLine="0" w:firstLineChars="0"/>
              <w:rPr>
                <w:b/>
                <w:bCs/>
              </w:rPr>
            </w:pPr>
            <w:r>
              <w:rPr>
                <w:b/>
                <w:bCs/>
              </w:rPr>
              <w:t>4.1施工期环境保护措施：</w:t>
            </w:r>
          </w:p>
          <w:p w14:paraId="3FF275F7">
            <w:pPr>
              <w:adjustRightInd w:val="0"/>
              <w:snapToGrid w:val="0"/>
              <w:ind w:firstLine="0" w:firstLineChars="0"/>
              <w:rPr>
                <w:b/>
                <w:bCs/>
              </w:rPr>
            </w:pPr>
            <w:r>
              <w:rPr>
                <w:b/>
                <w:bCs/>
              </w:rPr>
              <w:t>4.1.1施工期大气污染防治措施</w:t>
            </w:r>
          </w:p>
          <w:p w14:paraId="34EAAF86">
            <w:pPr>
              <w:widowControl/>
              <w:ind w:firstLine="480"/>
            </w:pPr>
            <w:r>
              <w:rPr>
                <w:rFonts w:hint="eastAsia"/>
              </w:rPr>
              <w:t>施工期大气环境影响主要是施工扬尘。施工扬尘来源主要是土方的挖掘、场地平整、建筑材料装卸和堆放、车辆往来等引起的扬尘。由于施工现场广阔，空气流通性好，排放废气中的各项污染物能够很快扩散，不会引起局部大气环境质量的恶化，加之机械车辆的不连续使用和工程施工期有限，施工废气对区域的环境空气影响较小。</w:t>
            </w:r>
          </w:p>
          <w:p w14:paraId="75686708">
            <w:pPr>
              <w:numPr>
                <w:ilvl w:val="0"/>
                <w:numId w:val="2"/>
              </w:numPr>
              <w:adjustRightInd w:val="0"/>
              <w:snapToGrid w:val="0"/>
              <w:ind w:firstLine="480"/>
            </w:pPr>
            <w:r>
              <w:t>施工前须制定控制工地扬尘方案，施工期间接受相关部门的监督检查，执行建筑施工场地的相关规定，采取有效防尘措施</w:t>
            </w:r>
            <w:r>
              <w:rPr>
                <w:rFonts w:hint="eastAsia"/>
              </w:rPr>
              <w:t>。</w:t>
            </w:r>
          </w:p>
          <w:p w14:paraId="11B55E74">
            <w:pPr>
              <w:adjustRightInd w:val="0"/>
              <w:snapToGrid w:val="0"/>
              <w:ind w:firstLine="480"/>
            </w:pPr>
            <w:r>
              <w:t>（2）工场地要设置围挡，如用彩钢板或聚丙烯布在施工区四周围屏以防扬尘扩散。</w:t>
            </w:r>
          </w:p>
          <w:p w14:paraId="4EBBD361">
            <w:pPr>
              <w:adjustRightInd w:val="0"/>
              <w:snapToGrid w:val="0"/>
              <w:ind w:firstLine="480"/>
            </w:pPr>
            <w:r>
              <w:t>（3）施工现场合理布局，对制作场地、堆料场地和工地道路要硬化，对易扬尘物料加盖苫布。</w:t>
            </w:r>
          </w:p>
          <w:p w14:paraId="529FEC20">
            <w:pPr>
              <w:adjustRightInd w:val="0"/>
              <w:snapToGrid w:val="0"/>
              <w:ind w:firstLine="480"/>
            </w:pPr>
            <w:r>
              <w:t>（4）为进一步降低施工扬尘，要定期对路面和施工场区洒水，保持下垫面和空气湿润，减少起尘量，洒水频率视天气情况调整。进出车辆的车轮要经常冲洗。</w:t>
            </w:r>
          </w:p>
          <w:p w14:paraId="1FF36D5D">
            <w:pPr>
              <w:adjustRightInd w:val="0"/>
              <w:snapToGrid w:val="0"/>
              <w:ind w:firstLine="480"/>
            </w:pPr>
            <w:r>
              <w:t>（5）4级以上大风天气，不得进行土方回填、转运以及其他可能产生扬尘污染的施工，并对施工场地做好遮掩工作。</w:t>
            </w:r>
          </w:p>
          <w:p w14:paraId="7F961912">
            <w:pPr>
              <w:adjustRightInd w:val="0"/>
              <w:snapToGrid w:val="0"/>
              <w:ind w:firstLine="480"/>
            </w:pPr>
            <w:r>
              <w:t>（6）施工渣土必须覆盖，严禁将施工产生的渣土带入交通道路。</w:t>
            </w:r>
          </w:p>
          <w:p w14:paraId="07FD1C11">
            <w:pPr>
              <w:adjustRightInd w:val="0"/>
              <w:snapToGrid w:val="0"/>
              <w:ind w:firstLine="480"/>
            </w:pPr>
            <w:r>
              <w:t>（7）禁止现场搅拌混凝土。</w:t>
            </w:r>
          </w:p>
          <w:p w14:paraId="6836AFA8">
            <w:pPr>
              <w:adjustRightInd w:val="0"/>
              <w:snapToGrid w:val="0"/>
              <w:ind w:firstLine="0" w:firstLineChars="0"/>
              <w:rPr>
                <w:b/>
                <w:bCs/>
              </w:rPr>
            </w:pPr>
            <w:r>
              <w:rPr>
                <w:b/>
                <w:bCs/>
              </w:rPr>
              <w:t>4.1.2施工期废水污染防治措施</w:t>
            </w:r>
          </w:p>
          <w:p w14:paraId="4EFAEE8B">
            <w:pPr>
              <w:adjustRightInd w:val="0"/>
              <w:snapToGrid w:val="0"/>
              <w:ind w:firstLine="480"/>
            </w:pPr>
            <w:r>
              <w:t>（1）</w:t>
            </w:r>
            <w:r>
              <w:rPr>
                <w:rFonts w:hint="eastAsia"/>
              </w:rPr>
              <w:t>施工</w:t>
            </w:r>
            <w:r>
              <w:t>废水</w:t>
            </w:r>
          </w:p>
          <w:p w14:paraId="06BE36C4">
            <w:pPr>
              <w:ind w:firstLine="480"/>
            </w:pPr>
            <w:r>
              <w:t>施工废水主要为混凝土养护废水和设备、工具清洗废水，产生量较小，主要污染物为悬浮物。施工废水经过沉淀池沉淀后，用于洒水抑尘。</w:t>
            </w:r>
          </w:p>
          <w:p w14:paraId="2BBC4399">
            <w:pPr>
              <w:adjustRightInd w:val="0"/>
              <w:snapToGrid w:val="0"/>
              <w:ind w:firstLine="480"/>
              <w:rPr>
                <w:rFonts w:hint="eastAsia" w:eastAsia="宋体"/>
                <w:lang w:val="en-US" w:eastAsia="zh-CN"/>
              </w:rPr>
            </w:pPr>
            <w:r>
              <w:t>（2）生活</w:t>
            </w:r>
            <w:r>
              <w:rPr>
                <w:rFonts w:hint="eastAsia"/>
                <w:lang w:val="en-US" w:eastAsia="zh-CN"/>
              </w:rPr>
              <w:t>污水</w:t>
            </w:r>
          </w:p>
          <w:p w14:paraId="72EA57DE">
            <w:pPr>
              <w:keepNext w:val="0"/>
              <w:keepLines w:val="0"/>
              <w:widowControl/>
              <w:suppressLineNumbers w:val="0"/>
              <w:jc w:val="left"/>
            </w:pPr>
            <w:r>
              <w:rPr>
                <w:rFonts w:cs="Times New Roman"/>
                <w:szCs w:val="24"/>
              </w:rPr>
              <w:t>项目施工人员不在项目区住宿，不设置施工生活区，无施工生活</w:t>
            </w:r>
            <w:r>
              <w:rPr>
                <w:rFonts w:hint="eastAsia" w:cs="Times New Roman"/>
                <w:szCs w:val="24"/>
                <w:lang w:val="en-US" w:eastAsia="zh-CN"/>
              </w:rPr>
              <w:t>污水</w:t>
            </w:r>
            <w:r>
              <w:rPr>
                <w:rFonts w:cs="Times New Roman"/>
                <w:szCs w:val="24"/>
              </w:rPr>
              <w:t>产生</w:t>
            </w:r>
            <w:r>
              <w:rPr>
                <w:rFonts w:hint="eastAsia" w:cs="Times New Roman"/>
                <w:szCs w:val="24"/>
                <w:lang w:eastAsia="zh-CN"/>
              </w:rPr>
              <w:t>，</w:t>
            </w:r>
            <w:r>
              <w:rPr>
                <w:rFonts w:cs="Times New Roman"/>
                <w:szCs w:val="24"/>
                <w:lang w:val="en-US" w:eastAsia="zh-CN"/>
              </w:rPr>
              <w:t>施工期人员如厕依托和顺市场</w:t>
            </w:r>
            <w:r>
              <w:rPr>
                <w:rFonts w:hint="eastAsia" w:cs="Times New Roman"/>
                <w:szCs w:val="24"/>
                <w:lang w:val="en-US" w:eastAsia="zh-CN"/>
              </w:rPr>
              <w:t>已建成厕所</w:t>
            </w:r>
            <w:r>
              <w:rPr>
                <w:rFonts w:cs="Times New Roman"/>
                <w:szCs w:val="24"/>
              </w:rPr>
              <w:t>。</w:t>
            </w:r>
          </w:p>
          <w:p w14:paraId="4E1A7355">
            <w:pPr>
              <w:adjustRightInd w:val="0"/>
              <w:snapToGrid w:val="0"/>
              <w:ind w:firstLine="0" w:firstLineChars="0"/>
              <w:rPr>
                <w:b/>
                <w:bCs/>
              </w:rPr>
            </w:pPr>
            <w:r>
              <w:rPr>
                <w:b/>
                <w:bCs/>
              </w:rPr>
              <w:t>4.1.3施工期噪声防治措施</w:t>
            </w:r>
          </w:p>
          <w:p w14:paraId="761F8B59">
            <w:pPr>
              <w:widowControl/>
              <w:ind w:firstLine="480"/>
            </w:pPr>
            <w:r>
              <w:rPr>
                <w:rFonts w:hint="eastAsia"/>
              </w:rPr>
              <w:t>施工噪声主要是各类机械设备噪声及运输的交通噪声。施工设备主要有挖掘机、推土机、打夯机以及物料运输车辆，噪声源强在</w:t>
            </w:r>
            <w:r>
              <w:t>75</w:t>
            </w:r>
            <w:r>
              <w:rPr>
                <w:rFonts w:hint="eastAsia"/>
              </w:rPr>
              <w:t>～</w:t>
            </w:r>
            <w:r>
              <w:rPr>
                <w:rFonts w:hint="eastAsia"/>
                <w:lang w:val="en-US" w:eastAsia="zh-CN"/>
              </w:rPr>
              <w:t>100</w:t>
            </w:r>
            <w:r>
              <w:t>dB</w:t>
            </w:r>
            <w:r>
              <w:rPr>
                <w:rFonts w:hint="eastAsia"/>
              </w:rPr>
              <w:t>（</w:t>
            </w:r>
            <w:r>
              <w:t>A</w:t>
            </w:r>
            <w:r>
              <w:rPr>
                <w:rFonts w:hint="eastAsia"/>
              </w:rPr>
              <w:t>），随着施工期的结束，施工期噪声污染随之消失。</w:t>
            </w:r>
          </w:p>
          <w:p w14:paraId="51999949">
            <w:pPr>
              <w:ind w:firstLine="480"/>
              <w:rPr>
                <w:rFonts w:hint="eastAsia"/>
                <w:color w:val="000000"/>
              </w:rPr>
            </w:pPr>
            <w:r>
              <w:rPr>
                <w:rFonts w:hint="eastAsia"/>
                <w:color w:val="000000"/>
              </w:rPr>
              <w:t>各种建筑机械和运输车辆的运行噪声，其声源强度见下表。</w:t>
            </w:r>
          </w:p>
          <w:p w14:paraId="5325A87B">
            <w:pPr>
              <w:pStyle w:val="28"/>
              <w:bidi w:val="0"/>
            </w:pPr>
            <w:r>
              <w:rPr>
                <w:rFonts w:hint="eastAsia"/>
              </w:rPr>
              <w:t>表4</w:t>
            </w:r>
            <w:r>
              <w:rPr>
                <w:rFonts w:hint="eastAsia"/>
                <w:lang w:val="en-US" w:eastAsia="zh-CN"/>
              </w:rPr>
              <w:t>-</w:t>
            </w:r>
            <w:r>
              <w:t xml:space="preserve">1  </w:t>
            </w:r>
            <w:r>
              <w:rPr>
                <w:rFonts w:hint="eastAsia"/>
              </w:rPr>
              <w:t>施工期噪声源及其源强</w:t>
            </w:r>
          </w:p>
          <w:tbl>
            <w:tblPr>
              <w:tblStyle w:val="20"/>
              <w:tblW w:w="81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1981"/>
              <w:gridCol w:w="2085"/>
              <w:gridCol w:w="2424"/>
            </w:tblGrid>
            <w:tr w14:paraId="2D1F9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 w:hRule="atLeast"/>
              </w:trPr>
              <w:tc>
                <w:tcPr>
                  <w:tcW w:w="1668" w:type="dxa"/>
                  <w:vAlign w:val="center"/>
                </w:tcPr>
                <w:p w14:paraId="74829206">
                  <w:pPr>
                    <w:spacing w:line="240" w:lineRule="auto"/>
                    <w:ind w:firstLine="0" w:firstLineChars="0"/>
                    <w:contextualSpacing/>
                    <w:jc w:val="center"/>
                    <w:rPr>
                      <w:color w:val="000000"/>
                      <w:sz w:val="21"/>
                    </w:rPr>
                  </w:pPr>
                  <w:r>
                    <w:rPr>
                      <w:rFonts w:hint="eastAsia"/>
                      <w:color w:val="000000"/>
                      <w:sz w:val="21"/>
                    </w:rPr>
                    <w:t>施工阶段</w:t>
                  </w:r>
                </w:p>
              </w:tc>
              <w:tc>
                <w:tcPr>
                  <w:tcW w:w="1981" w:type="dxa"/>
                  <w:vAlign w:val="center"/>
                </w:tcPr>
                <w:p w14:paraId="1F48A6B9">
                  <w:pPr>
                    <w:spacing w:line="240" w:lineRule="auto"/>
                    <w:ind w:firstLine="0" w:firstLineChars="0"/>
                    <w:contextualSpacing/>
                    <w:jc w:val="center"/>
                    <w:rPr>
                      <w:color w:val="000000"/>
                      <w:sz w:val="21"/>
                    </w:rPr>
                  </w:pPr>
                  <w:r>
                    <w:rPr>
                      <w:rFonts w:hint="eastAsia"/>
                      <w:color w:val="000000"/>
                      <w:sz w:val="21"/>
                    </w:rPr>
                    <w:t>施工设备</w:t>
                  </w:r>
                </w:p>
              </w:tc>
              <w:tc>
                <w:tcPr>
                  <w:tcW w:w="2085" w:type="dxa"/>
                  <w:vAlign w:val="center"/>
                </w:tcPr>
                <w:p w14:paraId="4F96ABEC">
                  <w:pPr>
                    <w:spacing w:line="240" w:lineRule="auto"/>
                    <w:ind w:firstLine="0" w:firstLineChars="0"/>
                    <w:contextualSpacing/>
                    <w:jc w:val="center"/>
                    <w:rPr>
                      <w:color w:val="000000"/>
                      <w:sz w:val="21"/>
                    </w:rPr>
                  </w:pPr>
                  <w:r>
                    <w:rPr>
                      <w:rFonts w:hint="eastAsia"/>
                      <w:color w:val="000000"/>
                      <w:sz w:val="21"/>
                    </w:rPr>
                    <w:t>声源强度[d</w:t>
                  </w:r>
                  <w:r>
                    <w:rPr>
                      <w:color w:val="000000"/>
                      <w:sz w:val="21"/>
                    </w:rPr>
                    <w:t>B</w:t>
                  </w:r>
                  <w:r>
                    <w:rPr>
                      <w:rFonts w:hint="eastAsia"/>
                      <w:color w:val="000000"/>
                      <w:sz w:val="21"/>
                      <w:lang w:eastAsia="zh-CN"/>
                    </w:rPr>
                    <w:t>（</w:t>
                  </w:r>
                  <w:r>
                    <w:rPr>
                      <w:rFonts w:hint="eastAsia"/>
                      <w:color w:val="000000"/>
                      <w:sz w:val="21"/>
                    </w:rPr>
                    <w:t>A</w:t>
                  </w:r>
                  <w:r>
                    <w:rPr>
                      <w:rFonts w:hint="eastAsia"/>
                      <w:color w:val="000000"/>
                      <w:sz w:val="21"/>
                      <w:lang w:eastAsia="zh-CN"/>
                    </w:rPr>
                    <w:t>）</w:t>
                  </w:r>
                  <w:r>
                    <w:rPr>
                      <w:color w:val="000000"/>
                      <w:sz w:val="21"/>
                    </w:rPr>
                    <w:t>]</w:t>
                  </w:r>
                </w:p>
              </w:tc>
              <w:tc>
                <w:tcPr>
                  <w:tcW w:w="2424" w:type="dxa"/>
                  <w:vAlign w:val="center"/>
                </w:tcPr>
                <w:p w14:paraId="3FFEB4C4">
                  <w:pPr>
                    <w:spacing w:line="240" w:lineRule="auto"/>
                    <w:ind w:firstLine="0" w:firstLineChars="0"/>
                    <w:contextualSpacing/>
                    <w:jc w:val="center"/>
                    <w:rPr>
                      <w:color w:val="000000"/>
                      <w:sz w:val="21"/>
                    </w:rPr>
                  </w:pPr>
                  <w:r>
                    <w:rPr>
                      <w:rFonts w:hint="eastAsia"/>
                      <w:color w:val="000000"/>
                      <w:sz w:val="21"/>
                    </w:rPr>
                    <w:t>备注</w:t>
                  </w:r>
                </w:p>
              </w:tc>
            </w:tr>
            <w:tr w14:paraId="416DC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vMerge w:val="restart"/>
                  <w:vAlign w:val="center"/>
                </w:tcPr>
                <w:p w14:paraId="3AD8BDBB">
                  <w:pPr>
                    <w:spacing w:line="240" w:lineRule="auto"/>
                    <w:ind w:firstLine="0" w:firstLineChars="0"/>
                    <w:contextualSpacing/>
                    <w:jc w:val="center"/>
                    <w:rPr>
                      <w:rFonts w:hint="default" w:eastAsia="宋体"/>
                      <w:color w:val="000000"/>
                      <w:sz w:val="21"/>
                      <w:lang w:val="en-US" w:eastAsia="zh-CN"/>
                    </w:rPr>
                  </w:pPr>
                  <w:r>
                    <w:rPr>
                      <w:rFonts w:hint="eastAsia"/>
                      <w:color w:val="000000"/>
                      <w:sz w:val="21"/>
                      <w:lang w:val="en-US" w:eastAsia="zh-CN"/>
                    </w:rPr>
                    <w:t>主体工程及辅助工程</w:t>
                  </w:r>
                </w:p>
              </w:tc>
              <w:tc>
                <w:tcPr>
                  <w:tcW w:w="1981" w:type="dxa"/>
                  <w:vAlign w:val="center"/>
                </w:tcPr>
                <w:p w14:paraId="6814C594">
                  <w:pPr>
                    <w:spacing w:line="240" w:lineRule="auto"/>
                    <w:ind w:firstLine="0" w:firstLineChars="0"/>
                    <w:contextualSpacing/>
                    <w:jc w:val="center"/>
                    <w:rPr>
                      <w:rFonts w:hint="default" w:eastAsia="宋体"/>
                      <w:color w:val="000000"/>
                      <w:sz w:val="21"/>
                      <w:lang w:val="en-US" w:eastAsia="zh-CN"/>
                    </w:rPr>
                  </w:pPr>
                  <w:r>
                    <w:rPr>
                      <w:rFonts w:hint="eastAsia"/>
                      <w:color w:val="000000"/>
                      <w:sz w:val="21"/>
                      <w:lang w:val="en-US" w:eastAsia="zh-CN"/>
                    </w:rPr>
                    <w:t>挖掘机</w:t>
                  </w:r>
                </w:p>
              </w:tc>
              <w:tc>
                <w:tcPr>
                  <w:tcW w:w="2085" w:type="dxa"/>
                  <w:vAlign w:val="center"/>
                </w:tcPr>
                <w:p w14:paraId="6DC95FA8">
                  <w:pPr>
                    <w:spacing w:line="240" w:lineRule="auto"/>
                    <w:ind w:firstLine="0" w:firstLineChars="0"/>
                    <w:contextualSpacing/>
                    <w:jc w:val="center"/>
                    <w:rPr>
                      <w:rFonts w:hint="default" w:eastAsia="宋体"/>
                      <w:color w:val="000000"/>
                      <w:sz w:val="21"/>
                      <w:lang w:val="en-US" w:eastAsia="zh-CN"/>
                    </w:rPr>
                  </w:pPr>
                  <w:r>
                    <w:rPr>
                      <w:rFonts w:hint="eastAsia"/>
                      <w:color w:val="000000"/>
                      <w:sz w:val="21"/>
                    </w:rPr>
                    <w:t>8</w:t>
                  </w:r>
                  <w:r>
                    <w:rPr>
                      <w:rFonts w:hint="eastAsia"/>
                      <w:color w:val="000000"/>
                      <w:sz w:val="21"/>
                      <w:lang w:val="en-US" w:eastAsia="zh-CN"/>
                    </w:rPr>
                    <w:t>2</w:t>
                  </w:r>
                  <w:r>
                    <w:rPr>
                      <w:rFonts w:hint="eastAsia"/>
                      <w:color w:val="000000"/>
                      <w:sz w:val="21"/>
                    </w:rPr>
                    <w:t>~</w:t>
                  </w:r>
                  <w:r>
                    <w:rPr>
                      <w:rFonts w:hint="eastAsia"/>
                      <w:color w:val="000000"/>
                      <w:sz w:val="21"/>
                      <w:lang w:val="en-US" w:eastAsia="zh-CN"/>
                    </w:rPr>
                    <w:t>90</w:t>
                  </w:r>
                </w:p>
              </w:tc>
              <w:tc>
                <w:tcPr>
                  <w:tcW w:w="2424" w:type="dxa"/>
                  <w:vMerge w:val="restart"/>
                  <w:vAlign w:val="center"/>
                </w:tcPr>
                <w:p w14:paraId="3970D333">
                  <w:pPr>
                    <w:spacing w:line="240" w:lineRule="auto"/>
                    <w:ind w:firstLine="0" w:firstLineChars="0"/>
                    <w:contextualSpacing/>
                    <w:jc w:val="center"/>
                    <w:rPr>
                      <w:color w:val="000000"/>
                      <w:sz w:val="21"/>
                    </w:rPr>
                  </w:pPr>
                  <w:r>
                    <w:rPr>
                      <w:rFonts w:hint="eastAsia"/>
                      <w:color w:val="000000"/>
                      <w:sz w:val="21"/>
                    </w:rPr>
                    <w:t>设备噪声级均为距声源</w:t>
                  </w:r>
                  <w:r>
                    <w:rPr>
                      <w:rFonts w:hint="eastAsia"/>
                      <w:color w:val="000000"/>
                      <w:sz w:val="21"/>
                      <w:lang w:val="en-US" w:eastAsia="zh-CN"/>
                    </w:rPr>
                    <w:t>5</w:t>
                  </w:r>
                  <w:r>
                    <w:rPr>
                      <w:rFonts w:hint="eastAsia"/>
                      <w:color w:val="000000"/>
                      <w:sz w:val="21"/>
                    </w:rPr>
                    <w:t>m处的测量值，数据来源于同类设备监测值</w:t>
                  </w:r>
                </w:p>
              </w:tc>
            </w:tr>
            <w:tr w14:paraId="26B89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vMerge w:val="continue"/>
                  <w:vAlign w:val="center"/>
                </w:tcPr>
                <w:p w14:paraId="29F732F6">
                  <w:pPr>
                    <w:spacing w:line="240" w:lineRule="auto"/>
                    <w:ind w:firstLine="0" w:firstLineChars="0"/>
                    <w:contextualSpacing/>
                    <w:jc w:val="center"/>
                    <w:rPr>
                      <w:color w:val="000000"/>
                      <w:sz w:val="21"/>
                    </w:rPr>
                  </w:pPr>
                </w:p>
              </w:tc>
              <w:tc>
                <w:tcPr>
                  <w:tcW w:w="1981" w:type="dxa"/>
                  <w:vAlign w:val="center"/>
                </w:tcPr>
                <w:p w14:paraId="28604CA9">
                  <w:pPr>
                    <w:spacing w:line="240" w:lineRule="auto"/>
                    <w:ind w:firstLine="0" w:firstLineChars="0"/>
                    <w:contextualSpacing/>
                    <w:jc w:val="center"/>
                    <w:rPr>
                      <w:rFonts w:hint="eastAsia" w:eastAsia="宋体"/>
                      <w:color w:val="000000"/>
                      <w:sz w:val="21"/>
                      <w:lang w:eastAsia="zh-CN"/>
                    </w:rPr>
                  </w:pPr>
                  <w:r>
                    <w:rPr>
                      <w:rFonts w:hint="eastAsia"/>
                      <w:color w:val="000000"/>
                      <w:sz w:val="21"/>
                      <w:lang w:val="en-US" w:eastAsia="zh-CN"/>
                    </w:rPr>
                    <w:t>推土机</w:t>
                  </w:r>
                </w:p>
              </w:tc>
              <w:tc>
                <w:tcPr>
                  <w:tcW w:w="2085" w:type="dxa"/>
                  <w:vAlign w:val="center"/>
                </w:tcPr>
                <w:p w14:paraId="3E47FEA1">
                  <w:pPr>
                    <w:spacing w:line="240" w:lineRule="auto"/>
                    <w:ind w:firstLine="0" w:firstLineChars="0"/>
                    <w:contextualSpacing/>
                    <w:jc w:val="center"/>
                    <w:rPr>
                      <w:rFonts w:hint="default" w:eastAsia="宋体"/>
                      <w:color w:val="000000"/>
                      <w:sz w:val="21"/>
                      <w:lang w:val="en-US" w:eastAsia="zh-CN"/>
                    </w:rPr>
                  </w:pPr>
                  <w:r>
                    <w:rPr>
                      <w:rFonts w:hint="eastAsia"/>
                      <w:color w:val="000000"/>
                      <w:sz w:val="21"/>
                    </w:rPr>
                    <w:t>8</w:t>
                  </w:r>
                  <w:r>
                    <w:rPr>
                      <w:rFonts w:hint="eastAsia"/>
                      <w:color w:val="000000"/>
                      <w:sz w:val="21"/>
                      <w:lang w:val="en-US" w:eastAsia="zh-CN"/>
                    </w:rPr>
                    <w:t>3</w:t>
                  </w:r>
                  <w:r>
                    <w:rPr>
                      <w:rFonts w:hint="eastAsia"/>
                      <w:color w:val="000000"/>
                      <w:sz w:val="21"/>
                    </w:rPr>
                    <w:t>~</w:t>
                  </w:r>
                  <w:r>
                    <w:rPr>
                      <w:rFonts w:hint="eastAsia"/>
                      <w:color w:val="000000"/>
                      <w:sz w:val="21"/>
                      <w:lang w:val="en-US" w:eastAsia="zh-CN"/>
                    </w:rPr>
                    <w:t>88</w:t>
                  </w:r>
                </w:p>
              </w:tc>
              <w:tc>
                <w:tcPr>
                  <w:tcW w:w="2424" w:type="dxa"/>
                  <w:vMerge w:val="continue"/>
                  <w:vAlign w:val="center"/>
                </w:tcPr>
                <w:p w14:paraId="4D469AAA">
                  <w:pPr>
                    <w:spacing w:line="240" w:lineRule="auto"/>
                    <w:ind w:firstLine="0" w:firstLineChars="0"/>
                    <w:contextualSpacing/>
                    <w:jc w:val="center"/>
                    <w:rPr>
                      <w:color w:val="000000"/>
                      <w:sz w:val="21"/>
                    </w:rPr>
                  </w:pPr>
                </w:p>
              </w:tc>
            </w:tr>
            <w:tr w14:paraId="3228C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 w:hRule="atLeast"/>
              </w:trPr>
              <w:tc>
                <w:tcPr>
                  <w:tcW w:w="1668" w:type="dxa"/>
                  <w:vMerge w:val="continue"/>
                  <w:vAlign w:val="center"/>
                </w:tcPr>
                <w:p w14:paraId="0A0C2A28">
                  <w:pPr>
                    <w:spacing w:line="240" w:lineRule="auto"/>
                    <w:ind w:firstLine="0" w:firstLineChars="0"/>
                    <w:contextualSpacing/>
                    <w:jc w:val="center"/>
                    <w:rPr>
                      <w:color w:val="000000"/>
                      <w:sz w:val="21"/>
                    </w:rPr>
                  </w:pPr>
                </w:p>
              </w:tc>
              <w:tc>
                <w:tcPr>
                  <w:tcW w:w="1981" w:type="dxa"/>
                  <w:vAlign w:val="center"/>
                </w:tcPr>
                <w:p w14:paraId="7675F5CB">
                  <w:pPr>
                    <w:spacing w:line="240" w:lineRule="auto"/>
                    <w:ind w:firstLine="0" w:firstLineChars="0"/>
                    <w:contextualSpacing/>
                    <w:jc w:val="center"/>
                    <w:rPr>
                      <w:rFonts w:hint="eastAsia" w:eastAsia="宋体"/>
                      <w:color w:val="000000"/>
                      <w:sz w:val="21"/>
                      <w:lang w:eastAsia="zh-CN"/>
                    </w:rPr>
                  </w:pPr>
                  <w:r>
                    <w:rPr>
                      <w:rFonts w:hint="eastAsia"/>
                      <w:color w:val="000000"/>
                      <w:sz w:val="21"/>
                      <w:lang w:val="en-US" w:eastAsia="zh-CN"/>
                    </w:rPr>
                    <w:t>打夯机</w:t>
                  </w:r>
                </w:p>
              </w:tc>
              <w:tc>
                <w:tcPr>
                  <w:tcW w:w="2085" w:type="dxa"/>
                  <w:vAlign w:val="center"/>
                </w:tcPr>
                <w:p w14:paraId="3A4D0E31">
                  <w:pPr>
                    <w:spacing w:line="240" w:lineRule="auto"/>
                    <w:ind w:firstLine="0" w:firstLineChars="0"/>
                    <w:contextualSpacing/>
                    <w:jc w:val="center"/>
                    <w:rPr>
                      <w:rFonts w:hint="eastAsia" w:eastAsia="宋体"/>
                      <w:color w:val="000000"/>
                      <w:sz w:val="21"/>
                      <w:lang w:eastAsia="zh-CN"/>
                    </w:rPr>
                  </w:pPr>
                  <w:r>
                    <w:rPr>
                      <w:rFonts w:hint="eastAsia"/>
                      <w:color w:val="000000"/>
                      <w:sz w:val="21"/>
                      <w:lang w:val="en-US" w:eastAsia="zh-CN"/>
                    </w:rPr>
                    <w:t>80</w:t>
                  </w:r>
                  <w:r>
                    <w:rPr>
                      <w:rFonts w:hint="eastAsia"/>
                      <w:color w:val="000000"/>
                      <w:sz w:val="21"/>
                    </w:rPr>
                    <w:t>~</w:t>
                  </w:r>
                  <w:r>
                    <w:rPr>
                      <w:color w:val="000000"/>
                      <w:sz w:val="21"/>
                    </w:rPr>
                    <w:t>9</w:t>
                  </w:r>
                  <w:r>
                    <w:rPr>
                      <w:rFonts w:hint="eastAsia"/>
                      <w:color w:val="000000"/>
                      <w:sz w:val="21"/>
                      <w:lang w:val="en-US" w:eastAsia="zh-CN"/>
                    </w:rPr>
                    <w:t>0</w:t>
                  </w:r>
                </w:p>
              </w:tc>
              <w:tc>
                <w:tcPr>
                  <w:tcW w:w="2424" w:type="dxa"/>
                  <w:vMerge w:val="continue"/>
                  <w:vAlign w:val="center"/>
                </w:tcPr>
                <w:p w14:paraId="62E20312">
                  <w:pPr>
                    <w:spacing w:line="240" w:lineRule="auto"/>
                    <w:ind w:firstLine="0" w:firstLineChars="0"/>
                    <w:contextualSpacing/>
                    <w:jc w:val="center"/>
                    <w:rPr>
                      <w:color w:val="000000"/>
                      <w:sz w:val="21"/>
                    </w:rPr>
                  </w:pPr>
                </w:p>
              </w:tc>
            </w:tr>
            <w:tr w14:paraId="48B30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vMerge w:val="continue"/>
                  <w:vAlign w:val="center"/>
                </w:tcPr>
                <w:p w14:paraId="6CDFFA9E">
                  <w:pPr>
                    <w:spacing w:line="240" w:lineRule="auto"/>
                    <w:ind w:firstLine="0" w:firstLineChars="0"/>
                    <w:contextualSpacing/>
                    <w:jc w:val="center"/>
                    <w:rPr>
                      <w:color w:val="000000"/>
                      <w:sz w:val="21"/>
                    </w:rPr>
                  </w:pPr>
                </w:p>
              </w:tc>
              <w:tc>
                <w:tcPr>
                  <w:tcW w:w="1981" w:type="dxa"/>
                  <w:vAlign w:val="center"/>
                </w:tcPr>
                <w:p w14:paraId="0283E09D">
                  <w:pPr>
                    <w:spacing w:line="240" w:lineRule="auto"/>
                    <w:ind w:firstLine="0" w:firstLineChars="0"/>
                    <w:contextualSpacing/>
                    <w:jc w:val="center"/>
                    <w:rPr>
                      <w:rFonts w:hint="default"/>
                      <w:color w:val="000000"/>
                      <w:sz w:val="21"/>
                      <w:lang w:val="en-US" w:eastAsia="zh-CN"/>
                    </w:rPr>
                  </w:pPr>
                  <w:r>
                    <w:rPr>
                      <w:rFonts w:hint="eastAsia"/>
                      <w:color w:val="000000"/>
                      <w:sz w:val="21"/>
                      <w:lang w:val="en-US" w:eastAsia="zh-CN"/>
                    </w:rPr>
                    <w:t>运输车辆</w:t>
                  </w:r>
                </w:p>
              </w:tc>
              <w:tc>
                <w:tcPr>
                  <w:tcW w:w="2085" w:type="dxa"/>
                  <w:vAlign w:val="center"/>
                </w:tcPr>
                <w:p w14:paraId="540A6B51">
                  <w:pPr>
                    <w:spacing w:line="240" w:lineRule="auto"/>
                    <w:ind w:firstLine="0" w:firstLineChars="0"/>
                    <w:contextualSpacing/>
                    <w:jc w:val="center"/>
                    <w:rPr>
                      <w:rFonts w:hint="default" w:eastAsia="宋体"/>
                      <w:color w:val="000000"/>
                      <w:sz w:val="21"/>
                      <w:lang w:val="en-US" w:eastAsia="zh-CN"/>
                    </w:rPr>
                  </w:pPr>
                  <w:r>
                    <w:rPr>
                      <w:rFonts w:hint="eastAsia"/>
                      <w:color w:val="000000"/>
                      <w:sz w:val="21"/>
                      <w:lang w:val="en-US" w:eastAsia="zh-CN"/>
                    </w:rPr>
                    <w:t>82~90</w:t>
                  </w:r>
                </w:p>
              </w:tc>
              <w:tc>
                <w:tcPr>
                  <w:tcW w:w="2424" w:type="dxa"/>
                  <w:vMerge w:val="continue"/>
                  <w:vAlign w:val="center"/>
                </w:tcPr>
                <w:p w14:paraId="06F0E483">
                  <w:pPr>
                    <w:spacing w:line="240" w:lineRule="auto"/>
                    <w:ind w:firstLine="0" w:firstLineChars="0"/>
                    <w:contextualSpacing/>
                    <w:jc w:val="center"/>
                    <w:rPr>
                      <w:color w:val="000000"/>
                      <w:sz w:val="21"/>
                    </w:rPr>
                  </w:pPr>
                </w:p>
              </w:tc>
            </w:tr>
          </w:tbl>
          <w:p w14:paraId="7C21A5F0">
            <w:pPr>
              <w:adjustRightInd w:val="0"/>
              <w:snapToGrid w:val="0"/>
              <w:ind w:firstLine="480"/>
            </w:pPr>
            <w:r>
              <w:t>（1）合理安排施工时间，应尽可能避免大量高噪声设备同时施工，</w:t>
            </w:r>
            <w:r>
              <w:rPr>
                <w:rFonts w:hint="eastAsia"/>
                <w:lang w:val="en-US" w:eastAsia="zh-CN"/>
              </w:rPr>
              <w:t>除</w:t>
            </w:r>
            <w:r>
              <w:t>此之外，使用高噪声设备的施工阶段应尽量安排在白天，夜间</w:t>
            </w:r>
            <w:r>
              <w:rPr>
                <w:rFonts w:hint="eastAsia"/>
              </w:rPr>
              <w:t>不</w:t>
            </w:r>
            <w:r>
              <w:t>施工</w:t>
            </w:r>
            <w:r>
              <w:rPr>
                <w:rFonts w:hint="eastAsia"/>
              </w:rPr>
              <w:t>：</w:t>
            </w:r>
          </w:p>
          <w:p w14:paraId="0040A60F">
            <w:pPr>
              <w:adjustRightInd w:val="0"/>
              <w:snapToGrid w:val="0"/>
              <w:ind w:firstLine="480"/>
            </w:pPr>
            <w:r>
              <w:t>（2）合理布置施工现场，应避免在施工现场的同一地点安排大量的高噪声设备，造成局部声级过高。</w:t>
            </w:r>
          </w:p>
          <w:p w14:paraId="227E76E6">
            <w:pPr>
              <w:adjustRightInd w:val="0"/>
              <w:snapToGrid w:val="0"/>
              <w:ind w:firstLine="480"/>
            </w:pPr>
            <w:r>
              <w:t>（3）施工设备选型时尽量采用低噪声设备，如振捣器采用高频振捣器等；</w:t>
            </w:r>
          </w:p>
          <w:p w14:paraId="1265C770">
            <w:pPr>
              <w:adjustRightInd w:val="0"/>
              <w:snapToGrid w:val="0"/>
              <w:ind w:firstLine="480"/>
            </w:pPr>
            <w:r>
              <w:t>（4）对动力机械设备定期进行维修和养护，避免因松动部件振动或消声器损坏而加大设备工作时的声级；</w:t>
            </w:r>
          </w:p>
          <w:p w14:paraId="74041BF5">
            <w:pPr>
              <w:adjustRightInd w:val="0"/>
              <w:snapToGrid w:val="0"/>
              <w:ind w:firstLine="480"/>
            </w:pPr>
            <w:r>
              <w:t>（5）模板、支架拆卸过程中，遵守作业规定，减少碰撞噪音；尽量少用哨子、喇叭、笛等指挥作业，减少人为噪声；</w:t>
            </w:r>
          </w:p>
          <w:p w14:paraId="4D6D99A0">
            <w:pPr>
              <w:ind w:firstLine="480"/>
              <w:textAlignment w:val="center"/>
            </w:pPr>
            <w:r>
              <w:t>（6）尽量减少运输车辆夜间的运输量，运输车辆在进入施工区附近区域后，要适当降低车速，避免或杜绝鸣笛。</w:t>
            </w:r>
          </w:p>
          <w:p w14:paraId="5AB7E1E0">
            <w:pPr>
              <w:adjustRightInd w:val="0"/>
              <w:snapToGrid w:val="0"/>
              <w:ind w:firstLine="0" w:firstLineChars="0"/>
              <w:rPr>
                <w:b/>
                <w:bCs/>
              </w:rPr>
            </w:pPr>
            <w:r>
              <w:rPr>
                <w:b/>
                <w:bCs/>
              </w:rPr>
              <w:t>4.1.4施工期固废污染防治措施</w:t>
            </w:r>
          </w:p>
          <w:p w14:paraId="70E2DD50">
            <w:pPr>
              <w:ind w:firstLine="480"/>
              <w:textAlignment w:val="auto"/>
              <w:rPr>
                <w:rFonts w:cs="Times New Roman"/>
                <w:szCs w:val="24"/>
              </w:rPr>
            </w:pPr>
            <w:r>
              <w:rPr>
                <w:rFonts w:cs="Times New Roman"/>
                <w:szCs w:val="24"/>
              </w:rPr>
              <w:t>项目在工程施工过程中产生的固体废物主要是施工建筑垃圾以及施工人员的生活垃圾。</w:t>
            </w:r>
          </w:p>
          <w:p w14:paraId="4A0BC1E7">
            <w:pPr>
              <w:ind w:firstLine="480"/>
              <w:textAlignment w:val="auto"/>
              <w:rPr>
                <w:rFonts w:cs="Times New Roman"/>
                <w:szCs w:val="24"/>
              </w:rPr>
            </w:pPr>
            <w:r>
              <w:rPr>
                <w:rFonts w:cs="Times New Roman"/>
                <w:szCs w:val="24"/>
              </w:rPr>
              <w:t>（1）施工建筑垃圾</w:t>
            </w:r>
          </w:p>
          <w:p w14:paraId="557BBE7C">
            <w:pPr>
              <w:ind w:firstLine="480"/>
              <w:textAlignment w:val="auto"/>
              <w:rPr>
                <w:rFonts w:cs="Times New Roman"/>
                <w:szCs w:val="24"/>
              </w:rPr>
            </w:pPr>
            <w:r>
              <w:rPr>
                <w:rFonts w:cs="Times New Roman"/>
                <w:szCs w:val="24"/>
              </w:rPr>
              <w:t>施工</w:t>
            </w:r>
            <w:r>
              <w:rPr>
                <w:rFonts w:hint="eastAsia" w:cs="Times New Roman"/>
                <w:szCs w:val="24"/>
                <w:lang w:val="en-US" w:eastAsia="zh-CN"/>
              </w:rPr>
              <w:t>期</w:t>
            </w:r>
            <w:r>
              <w:rPr>
                <w:rFonts w:cs="Times New Roman"/>
                <w:szCs w:val="24"/>
              </w:rPr>
              <w:t>的建筑垃圾主要是碎砖块、灰浆、废材料等，应由各施工队妥善处理，及时清运到环卫部门指定的地方处置。同时，为防止土方堆存过程中对环境空气产生的二次扬尘污染，雨季的水土流失，环评要求在施工场地内设</w:t>
            </w:r>
            <w:r>
              <w:rPr>
                <w:rFonts w:hint="eastAsia" w:cs="Times New Roman"/>
                <w:szCs w:val="24"/>
                <w:lang w:val="en-US" w:eastAsia="zh-CN"/>
              </w:rPr>
              <w:t>置</w:t>
            </w:r>
            <w:r>
              <w:rPr>
                <w:rFonts w:cs="Times New Roman"/>
                <w:szCs w:val="24"/>
              </w:rPr>
              <w:t>集中的土方临时堆存场，并设防尘网或遮盖布遮盖，并对场地道路进行定时洒水。</w:t>
            </w:r>
            <w:r>
              <w:t>施工期产生的土方主要用作后期工程的回填材料，具体去向包括场地平整、基础回填以及道路或绿化区域的高程调整等</w:t>
            </w:r>
            <w:r>
              <w:rPr>
                <w:rFonts w:hint="eastAsia"/>
              </w:rPr>
              <w:t>。</w:t>
            </w:r>
          </w:p>
          <w:p w14:paraId="570ADF23">
            <w:pPr>
              <w:ind w:firstLine="480"/>
              <w:textAlignment w:val="auto"/>
              <w:rPr>
                <w:rFonts w:cs="Times New Roman"/>
                <w:szCs w:val="24"/>
              </w:rPr>
            </w:pPr>
            <w:r>
              <w:rPr>
                <w:rFonts w:hint="eastAsia" w:cs="Times New Roman"/>
                <w:szCs w:val="24"/>
                <w:lang w:eastAsia="zh-CN"/>
              </w:rPr>
              <w:t>（</w:t>
            </w:r>
            <w:r>
              <w:rPr>
                <w:rFonts w:cs="Times New Roman"/>
                <w:szCs w:val="24"/>
              </w:rPr>
              <w:t>2）施工人员生活垃圾</w:t>
            </w:r>
          </w:p>
          <w:p w14:paraId="47C9D96C">
            <w:pPr>
              <w:ind w:firstLine="480"/>
              <w:textAlignment w:val="center"/>
            </w:pPr>
            <w:r>
              <w:rPr>
                <w:rFonts w:cs="Times New Roman"/>
                <w:szCs w:val="24"/>
              </w:rPr>
              <w:t>本</w:t>
            </w:r>
            <w:r>
              <w:rPr>
                <w:rFonts w:hint="eastAsia" w:cs="Times New Roman"/>
                <w:szCs w:val="24"/>
                <w:lang w:val="en-US" w:eastAsia="zh-CN"/>
              </w:rPr>
              <w:t>项目</w:t>
            </w:r>
            <w:r>
              <w:rPr>
                <w:rFonts w:cs="Times New Roman"/>
                <w:szCs w:val="24"/>
              </w:rPr>
              <w:t>施工人员高峰</w:t>
            </w:r>
            <w:r>
              <w:rPr>
                <w:rFonts w:hint="eastAsia" w:cs="Times New Roman"/>
                <w:szCs w:val="24"/>
                <w:lang w:val="en-US" w:eastAsia="zh-CN"/>
              </w:rPr>
              <w:t>期</w:t>
            </w:r>
            <w:r>
              <w:rPr>
                <w:rFonts w:cs="Times New Roman"/>
                <w:szCs w:val="24"/>
              </w:rPr>
              <w:t>约有20人，生活垃圾</w:t>
            </w:r>
            <w:r>
              <w:rPr>
                <w:rFonts w:hint="eastAsia" w:cs="Times New Roman"/>
                <w:szCs w:val="24"/>
                <w:lang w:val="en-US" w:eastAsia="zh-CN"/>
              </w:rPr>
              <w:t>产生量按</w:t>
            </w:r>
            <w:r>
              <w:rPr>
                <w:rFonts w:cs="Times New Roman"/>
                <w:szCs w:val="24"/>
              </w:rPr>
              <w:t>0.5kg</w:t>
            </w:r>
            <w:r>
              <w:rPr>
                <w:rFonts w:hint="eastAsia" w:cs="Times New Roman"/>
                <w:szCs w:val="24"/>
                <w:lang w:val="en-US" w:eastAsia="zh-CN"/>
              </w:rPr>
              <w:t>/d·人计</w:t>
            </w:r>
            <w:r>
              <w:rPr>
                <w:rFonts w:cs="Times New Roman"/>
                <w:szCs w:val="24"/>
              </w:rPr>
              <w:t>，工程施工高峰生活垃圾产生量约0.01t</w:t>
            </w:r>
            <w:r>
              <w:rPr>
                <w:rFonts w:hint="eastAsia" w:cs="Times New Roman"/>
                <w:szCs w:val="24"/>
                <w:lang w:val="en-US" w:eastAsia="zh-CN"/>
              </w:rPr>
              <w:t>/d</w:t>
            </w:r>
            <w:r>
              <w:rPr>
                <w:rFonts w:cs="Times New Roman"/>
                <w:szCs w:val="24"/>
              </w:rPr>
              <w:t>，整个施工期间（按</w:t>
            </w:r>
            <w:r>
              <w:rPr>
                <w:rFonts w:hint="eastAsia" w:cs="Times New Roman"/>
                <w:szCs w:val="24"/>
                <w:lang w:val="en-US" w:eastAsia="zh-CN"/>
              </w:rPr>
              <w:t>8</w:t>
            </w:r>
            <w:r>
              <w:rPr>
                <w:rFonts w:cs="Times New Roman"/>
                <w:szCs w:val="24"/>
              </w:rPr>
              <w:t>个月施工期计）生活垃圾产生量为</w:t>
            </w:r>
            <w:r>
              <w:rPr>
                <w:rFonts w:hint="eastAsia" w:cs="Times New Roman"/>
                <w:szCs w:val="24"/>
                <w:lang w:val="en-US" w:eastAsia="zh-CN"/>
              </w:rPr>
              <w:t>2.4</w:t>
            </w:r>
            <w:r>
              <w:rPr>
                <w:rFonts w:cs="Times New Roman"/>
                <w:szCs w:val="24"/>
              </w:rPr>
              <w:t>t。施工单位设置生活垃圾收集箱，将生活垃圾集中收集后，及时清运至当地环卫部门指定地点处理</w:t>
            </w:r>
            <w:r>
              <w:rPr>
                <w:rFonts w:hint="eastAsia" w:cs="Times New Roman"/>
                <w:szCs w:val="24"/>
                <w:lang w:eastAsia="zh-CN"/>
              </w:rPr>
              <w:t>。</w:t>
            </w:r>
          </w:p>
        </w:tc>
      </w:tr>
      <w:tr w14:paraId="2AF6A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8" w:hRule="atLeast"/>
        </w:trPr>
        <w:tc>
          <w:tcPr>
            <w:tcW w:w="746" w:type="dxa"/>
            <w:tcMar>
              <w:left w:w="28" w:type="dxa"/>
              <w:right w:w="28" w:type="dxa"/>
            </w:tcMar>
            <w:vAlign w:val="center"/>
          </w:tcPr>
          <w:p w14:paraId="2B9B1BFA">
            <w:pPr>
              <w:adjustRightInd w:val="0"/>
              <w:snapToGrid w:val="0"/>
              <w:ind w:firstLine="0" w:firstLineChars="0"/>
              <w:jc w:val="both"/>
              <w:rPr>
                <w:rFonts w:ascii="宋体" w:hAnsi="宋体" w:cs="宋体"/>
                <w:bCs/>
                <w:szCs w:val="21"/>
              </w:rPr>
            </w:pPr>
            <w:r>
              <w:rPr>
                <w:rFonts w:hint="eastAsia" w:ascii="宋体" w:hAnsi="宋体" w:cs="宋体"/>
                <w:bCs/>
                <w:szCs w:val="21"/>
              </w:rPr>
              <w:t>运营</w:t>
            </w:r>
          </w:p>
          <w:p w14:paraId="20E7D443">
            <w:pPr>
              <w:adjustRightInd w:val="0"/>
              <w:snapToGrid w:val="0"/>
              <w:ind w:firstLine="0" w:firstLineChars="0"/>
              <w:jc w:val="both"/>
              <w:rPr>
                <w:rFonts w:ascii="宋体" w:hAnsi="宋体" w:cs="宋体"/>
                <w:bCs/>
                <w:szCs w:val="21"/>
              </w:rPr>
            </w:pPr>
            <w:r>
              <w:rPr>
                <w:rFonts w:hint="eastAsia" w:ascii="宋体" w:hAnsi="宋体" w:cs="宋体"/>
                <w:bCs/>
                <w:szCs w:val="21"/>
              </w:rPr>
              <w:t>期环</w:t>
            </w:r>
          </w:p>
          <w:p w14:paraId="0AD16C23">
            <w:pPr>
              <w:adjustRightInd w:val="0"/>
              <w:snapToGrid w:val="0"/>
              <w:ind w:firstLine="0" w:firstLineChars="0"/>
              <w:jc w:val="both"/>
              <w:rPr>
                <w:rFonts w:ascii="宋体" w:hAnsi="宋体" w:cs="宋体"/>
                <w:bCs/>
                <w:szCs w:val="21"/>
              </w:rPr>
            </w:pPr>
            <w:r>
              <w:rPr>
                <w:rFonts w:hint="eastAsia" w:ascii="宋体" w:hAnsi="宋体" w:cs="宋体"/>
                <w:bCs/>
                <w:szCs w:val="21"/>
              </w:rPr>
              <w:t>境影</w:t>
            </w:r>
          </w:p>
          <w:p w14:paraId="64EA808C">
            <w:pPr>
              <w:adjustRightInd w:val="0"/>
              <w:snapToGrid w:val="0"/>
              <w:ind w:firstLine="0" w:firstLineChars="0"/>
              <w:jc w:val="both"/>
              <w:rPr>
                <w:rFonts w:ascii="宋体" w:hAnsi="宋体" w:cs="宋体"/>
                <w:bCs/>
                <w:szCs w:val="21"/>
              </w:rPr>
            </w:pPr>
            <w:r>
              <w:rPr>
                <w:rFonts w:hint="eastAsia" w:ascii="宋体" w:hAnsi="宋体" w:cs="宋体"/>
                <w:bCs/>
                <w:szCs w:val="21"/>
              </w:rPr>
              <w:t>响和</w:t>
            </w:r>
          </w:p>
          <w:p w14:paraId="2E932C02">
            <w:pPr>
              <w:adjustRightInd w:val="0"/>
              <w:snapToGrid w:val="0"/>
              <w:ind w:firstLine="0" w:firstLineChars="0"/>
              <w:jc w:val="both"/>
              <w:rPr>
                <w:rFonts w:ascii="宋体" w:hAnsi="宋体" w:cs="宋体"/>
                <w:bCs/>
                <w:szCs w:val="21"/>
              </w:rPr>
            </w:pPr>
            <w:r>
              <w:rPr>
                <w:rFonts w:hint="eastAsia" w:ascii="宋体" w:hAnsi="宋体" w:cs="宋体"/>
                <w:bCs/>
                <w:szCs w:val="21"/>
              </w:rPr>
              <w:t>保护</w:t>
            </w:r>
          </w:p>
          <w:p w14:paraId="7FB03A6F">
            <w:pPr>
              <w:adjustRightInd w:val="0"/>
              <w:snapToGrid w:val="0"/>
              <w:ind w:firstLine="0" w:firstLineChars="0"/>
              <w:jc w:val="both"/>
              <w:rPr>
                <w:rFonts w:ascii="宋体" w:hAnsi="宋体" w:cs="宋体"/>
                <w:bCs/>
                <w:szCs w:val="21"/>
              </w:rPr>
            </w:pPr>
            <w:r>
              <w:rPr>
                <w:rFonts w:hint="eastAsia" w:ascii="宋体" w:hAnsi="宋体" w:cs="宋体"/>
                <w:bCs/>
                <w:szCs w:val="21"/>
              </w:rPr>
              <w:t>措施</w:t>
            </w:r>
          </w:p>
        </w:tc>
        <w:tc>
          <w:tcPr>
            <w:tcW w:w="8570" w:type="dxa"/>
            <w:vAlign w:val="center"/>
          </w:tcPr>
          <w:p w14:paraId="7A036AFC">
            <w:pPr>
              <w:keepNext/>
              <w:keepLines/>
              <w:ind w:firstLine="0" w:firstLineChars="0"/>
              <w:textAlignment w:val="center"/>
              <w:outlineLvl w:val="1"/>
              <w:rPr>
                <w:b/>
                <w:bCs/>
                <w:szCs w:val="32"/>
              </w:rPr>
            </w:pPr>
            <w:r>
              <w:rPr>
                <w:b/>
                <w:bCs/>
                <w:szCs w:val="32"/>
              </w:rPr>
              <w:t>4.2运营期环境影响和保护措施：</w:t>
            </w:r>
          </w:p>
          <w:p w14:paraId="138908A0">
            <w:pPr>
              <w:keepNext/>
              <w:keepLines/>
              <w:ind w:firstLine="0" w:firstLineChars="0"/>
              <w:textAlignment w:val="center"/>
              <w:outlineLvl w:val="2"/>
              <w:rPr>
                <w:b/>
                <w:bCs/>
                <w:szCs w:val="32"/>
              </w:rPr>
            </w:pPr>
            <w:r>
              <w:rPr>
                <w:b/>
                <w:bCs/>
                <w:szCs w:val="32"/>
              </w:rPr>
              <w:t>4.2.1废气</w:t>
            </w:r>
            <w:r>
              <w:rPr>
                <w:rFonts w:hint="eastAsia"/>
                <w:b/>
                <w:bCs/>
                <w:highlight w:val="none"/>
                <w:lang w:val="en-US" w:eastAsia="zh-CN"/>
              </w:rPr>
              <w:t>环</w:t>
            </w:r>
            <w:r>
              <w:rPr>
                <w:rFonts w:hint="eastAsia"/>
                <w:b/>
                <w:bCs/>
                <w:highlight w:val="none"/>
              </w:rPr>
              <w:t>境影响与评价</w:t>
            </w:r>
          </w:p>
          <w:p w14:paraId="0904A9A3">
            <w:pPr>
              <w:ind w:firstLine="480"/>
            </w:pPr>
            <w:bookmarkStart w:id="13" w:name="_Toc360717116"/>
            <w:r>
              <w:rPr>
                <w:rFonts w:hint="eastAsia" w:cs="Times New Roman"/>
                <w:szCs w:val="24"/>
              </w:rPr>
              <w:t>本项目运营期产生的废气主要为卸油、储油、加油过程中挥发的油气（以非甲烷总烃计）和车辆进出加油站产生的汽车尾气。</w:t>
            </w:r>
          </w:p>
          <w:bookmarkEnd w:id="13"/>
          <w:p w14:paraId="1572024A">
            <w:pPr>
              <w:ind w:left="0" w:leftChars="0" w:firstLine="480" w:firstLineChars="200"/>
            </w:pPr>
            <w:r>
              <w:rPr>
                <w:rFonts w:hint="eastAsia"/>
              </w:rPr>
              <w:t>（1）</w:t>
            </w:r>
            <w:r>
              <w:rPr>
                <w:rFonts w:hint="eastAsia" w:cs="Times New Roman"/>
                <w:szCs w:val="24"/>
              </w:rPr>
              <w:t>油气</w:t>
            </w:r>
            <w:r>
              <w:rPr>
                <w:rFonts w:hint="eastAsia"/>
              </w:rPr>
              <w:t>（非甲烷总烃）</w:t>
            </w:r>
          </w:p>
          <w:p w14:paraId="11E3410D">
            <w:pPr>
              <w:ind w:firstLine="480"/>
              <w:textAlignment w:val="auto"/>
              <w:rPr>
                <w:rFonts w:cs="Times New Roman"/>
                <w:szCs w:val="24"/>
              </w:rPr>
            </w:pPr>
            <w:r>
              <w:rPr>
                <w:rFonts w:hint="eastAsia" w:cs="Times New Roman"/>
                <w:szCs w:val="24"/>
              </w:rPr>
              <w:t>①卸油油气（大呼吸）储罐大呼吸损失是指油罐进油时所呼出的油蒸汽而造成的油品蒸发损失。油罐进油时，由于油面逐渐升高，气体空间逐渐减小，罐内压力增大，当压力超过呼吸阀控制压力时，一定浓度的油蒸汽开始从呼吸阀呼出，直到油罐停止放油。本项目采用卸油油气回收系统将油罐车内的油气导入罐车内，可减少油罐收油时的大呼吸损失。</w:t>
            </w:r>
          </w:p>
          <w:p w14:paraId="679A9629">
            <w:pPr>
              <w:ind w:firstLine="480"/>
              <w:textAlignment w:val="auto"/>
              <w:rPr>
                <w:rFonts w:cs="Times New Roman"/>
                <w:szCs w:val="24"/>
              </w:rPr>
            </w:pPr>
            <w:r>
              <w:rPr>
                <w:rFonts w:hint="eastAsia" w:cs="Times New Roman"/>
                <w:szCs w:val="24"/>
              </w:rPr>
              <w:t>②储油油气（小呼吸）油罐在没有收发油作业的情况下，随着外界气温、压力在一天内的升降周期变化，罐内气体空间温度、油品蒸发速度、油气浓度和蒸汽压力也随之变化。这种排出油蒸汽和吸入空气的过程造成的油气损失，叫小呼吸损失。</w:t>
            </w:r>
          </w:p>
          <w:p w14:paraId="17E26D7B">
            <w:pPr>
              <w:ind w:firstLine="480"/>
              <w:textAlignment w:val="auto"/>
              <w:rPr>
                <w:rFonts w:cs="Times New Roman"/>
                <w:szCs w:val="24"/>
              </w:rPr>
            </w:pPr>
            <w:r>
              <w:rPr>
                <w:rFonts w:hint="eastAsia" w:cs="Times New Roman"/>
                <w:szCs w:val="24"/>
              </w:rPr>
              <w:t>③加油油气加油作业损失主要指为车辆加油时，油品进入汽车油箱，油箱内的烃类气体被油品置换排入大气。本项目采用加油油气回收系统，经真空泵将汽车油箱内的烃类气体吸入储油罐内，管路直接通过油罐底部，可使一部分油气转化为油，减少加油作业损失。根据《中国加油站VOC排放污染现状及控制》</w:t>
            </w:r>
            <w:r>
              <w:rPr>
                <w:rFonts w:hint="eastAsia" w:cs="Times New Roman"/>
                <w:szCs w:val="24"/>
                <w:lang w:eastAsia="zh-CN"/>
              </w:rPr>
              <w:t>（</w:t>
            </w:r>
            <w:r>
              <w:rPr>
                <w:rFonts w:hint="eastAsia" w:cs="Times New Roman"/>
                <w:szCs w:val="24"/>
              </w:rPr>
              <w:t>沈旻嘉，2006年8月</w:t>
            </w:r>
            <w:r>
              <w:rPr>
                <w:rFonts w:hint="eastAsia" w:cs="Times New Roman"/>
                <w:szCs w:val="24"/>
                <w:lang w:eastAsia="zh-CN"/>
              </w:rPr>
              <w:t>）</w:t>
            </w:r>
            <w:r>
              <w:rPr>
                <w:rFonts w:hint="eastAsia" w:cs="Times New Roman"/>
                <w:szCs w:val="24"/>
              </w:rPr>
              <w:t>中的数据，本项目具体各排放环节的排放因子见表4-</w:t>
            </w:r>
            <w:r>
              <w:rPr>
                <w:rFonts w:hint="eastAsia" w:cs="Times New Roman"/>
                <w:szCs w:val="24"/>
                <w:lang w:val="en-US" w:eastAsia="zh-CN"/>
              </w:rPr>
              <w:t>2</w:t>
            </w:r>
            <w:r>
              <w:rPr>
                <w:rFonts w:cs="Times New Roman"/>
                <w:szCs w:val="24"/>
              </w:rPr>
              <w:t>。</w:t>
            </w:r>
          </w:p>
          <w:p w14:paraId="41B60759">
            <w:pPr>
              <w:keepNext/>
              <w:spacing w:before="120" w:beforeLines="50" w:line="240" w:lineRule="auto"/>
              <w:ind w:firstLine="422"/>
              <w:jc w:val="center"/>
              <w:rPr>
                <w:rFonts w:cs="Times New Roman"/>
                <w:b/>
                <w:snapToGrid w:val="0"/>
                <w:kern w:val="0"/>
                <w:sz w:val="21"/>
              </w:rPr>
            </w:pPr>
            <w:r>
              <w:rPr>
                <w:rFonts w:hint="eastAsia" w:cs="Times New Roman"/>
                <w:b/>
                <w:snapToGrid w:val="0"/>
                <w:kern w:val="0"/>
                <w:sz w:val="21"/>
              </w:rPr>
              <w:t>表4</w:t>
            </w:r>
            <w:r>
              <w:rPr>
                <w:rFonts w:cs="Times New Roman"/>
                <w:b/>
                <w:snapToGrid w:val="0"/>
                <w:kern w:val="0"/>
                <w:sz w:val="21"/>
              </w:rPr>
              <w:t>-</w:t>
            </w:r>
            <w:r>
              <w:rPr>
                <w:rFonts w:hint="eastAsia" w:cs="Times New Roman"/>
                <w:b/>
                <w:snapToGrid w:val="0"/>
                <w:kern w:val="0"/>
                <w:sz w:val="21"/>
                <w:lang w:val="en-US" w:eastAsia="zh-CN"/>
              </w:rPr>
              <w:t>2</w:t>
            </w:r>
            <w:r>
              <w:rPr>
                <w:rFonts w:hint="eastAsia" w:cs="Times New Roman"/>
                <w:b/>
                <w:snapToGrid w:val="0"/>
                <w:kern w:val="0"/>
                <w:sz w:val="21"/>
              </w:rPr>
              <w:t xml:space="preserve"> </w:t>
            </w:r>
            <w:r>
              <w:rPr>
                <w:rFonts w:cs="Times New Roman"/>
                <w:b/>
                <w:snapToGrid w:val="0"/>
                <w:kern w:val="0"/>
                <w:sz w:val="21"/>
              </w:rPr>
              <w:t xml:space="preserve"> </w:t>
            </w:r>
            <w:r>
              <w:rPr>
                <w:rFonts w:hint="eastAsia" w:cs="Times New Roman"/>
                <w:b/>
                <w:snapToGrid w:val="0"/>
                <w:kern w:val="0"/>
                <w:sz w:val="21"/>
              </w:rPr>
              <w:t>加油作业非甲烷总烃排放系数（单位：kg/t）</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3789"/>
              <w:gridCol w:w="2953"/>
            </w:tblGrid>
            <w:tr w14:paraId="3AC94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0" w:type="pct"/>
                  <w:shd w:val="clear" w:color="auto" w:fill="auto"/>
                  <w:vAlign w:val="center"/>
                </w:tcPr>
                <w:p w14:paraId="0CA354C1">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项目</w:t>
                  </w:r>
                </w:p>
              </w:tc>
              <w:tc>
                <w:tcPr>
                  <w:tcW w:w="2275" w:type="pct"/>
                  <w:shd w:val="clear" w:color="auto" w:fill="auto"/>
                  <w:vAlign w:val="center"/>
                </w:tcPr>
                <w:p w14:paraId="6C740DB8">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活动过程</w:t>
                  </w:r>
                </w:p>
              </w:tc>
              <w:tc>
                <w:tcPr>
                  <w:tcW w:w="1774" w:type="pct"/>
                  <w:shd w:val="clear" w:color="auto" w:fill="auto"/>
                  <w:vAlign w:val="center"/>
                </w:tcPr>
                <w:p w14:paraId="68AC462E">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排放系数</w:t>
                  </w:r>
                </w:p>
              </w:tc>
            </w:tr>
            <w:tr w14:paraId="4659F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0" w:type="pct"/>
                  <w:vMerge w:val="restart"/>
                  <w:shd w:val="clear" w:color="auto" w:fill="auto"/>
                  <w:vAlign w:val="center"/>
                </w:tcPr>
                <w:p w14:paraId="5D521A1F">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汽油</w:t>
                  </w:r>
                </w:p>
              </w:tc>
              <w:tc>
                <w:tcPr>
                  <w:tcW w:w="2275" w:type="pct"/>
                  <w:shd w:val="clear" w:color="auto" w:fill="auto"/>
                  <w:vAlign w:val="center"/>
                </w:tcPr>
                <w:p w14:paraId="02B53232">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加油过程挥发排放</w:t>
                  </w:r>
                </w:p>
              </w:tc>
              <w:tc>
                <w:tcPr>
                  <w:tcW w:w="1774" w:type="pct"/>
                  <w:shd w:val="clear" w:color="auto" w:fill="auto"/>
                  <w:vAlign w:val="center"/>
                </w:tcPr>
                <w:p w14:paraId="448DACBF">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2.49</w:t>
                  </w:r>
                </w:p>
              </w:tc>
            </w:tr>
            <w:tr w14:paraId="68E7B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0" w:type="pct"/>
                  <w:vMerge w:val="continue"/>
                  <w:shd w:val="clear" w:color="auto" w:fill="auto"/>
                  <w:vAlign w:val="center"/>
                </w:tcPr>
                <w:p w14:paraId="6321A428">
                  <w:pPr>
                    <w:spacing w:line="240" w:lineRule="auto"/>
                    <w:ind w:firstLine="0" w:firstLineChars="0"/>
                    <w:jc w:val="center"/>
                    <w:textAlignment w:val="auto"/>
                    <w:rPr>
                      <w:rFonts w:cs="Times New Roman"/>
                      <w:snapToGrid w:val="0"/>
                      <w:kern w:val="0"/>
                      <w:sz w:val="21"/>
                      <w:szCs w:val="24"/>
                    </w:rPr>
                  </w:pPr>
                </w:p>
              </w:tc>
              <w:tc>
                <w:tcPr>
                  <w:tcW w:w="2275" w:type="pct"/>
                  <w:shd w:val="clear" w:color="auto" w:fill="auto"/>
                  <w:vAlign w:val="center"/>
                </w:tcPr>
                <w:p w14:paraId="6C097C13">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储油罐（小）呼吸损失</w:t>
                  </w:r>
                </w:p>
              </w:tc>
              <w:tc>
                <w:tcPr>
                  <w:tcW w:w="1774" w:type="pct"/>
                  <w:shd w:val="clear" w:color="auto" w:fill="auto"/>
                  <w:vAlign w:val="center"/>
                </w:tcPr>
                <w:p w14:paraId="6631A27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0</w:t>
                  </w:r>
                  <w:r>
                    <w:rPr>
                      <w:rFonts w:cs="Times New Roman"/>
                      <w:snapToGrid w:val="0"/>
                      <w:kern w:val="0"/>
                      <w:sz w:val="21"/>
                      <w:szCs w:val="24"/>
                    </w:rPr>
                    <w:t>.16</w:t>
                  </w:r>
                </w:p>
              </w:tc>
            </w:tr>
            <w:tr w14:paraId="2029B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0" w:type="pct"/>
                  <w:vMerge w:val="continue"/>
                  <w:shd w:val="clear" w:color="auto" w:fill="auto"/>
                  <w:vAlign w:val="center"/>
                </w:tcPr>
                <w:p w14:paraId="754D57CD">
                  <w:pPr>
                    <w:spacing w:line="240" w:lineRule="auto"/>
                    <w:ind w:firstLine="0" w:firstLineChars="0"/>
                    <w:jc w:val="center"/>
                    <w:textAlignment w:val="auto"/>
                    <w:rPr>
                      <w:rFonts w:cs="Times New Roman"/>
                      <w:snapToGrid w:val="0"/>
                      <w:kern w:val="0"/>
                      <w:sz w:val="21"/>
                      <w:szCs w:val="24"/>
                    </w:rPr>
                  </w:pPr>
                </w:p>
              </w:tc>
              <w:tc>
                <w:tcPr>
                  <w:tcW w:w="2275" w:type="pct"/>
                  <w:shd w:val="clear" w:color="auto" w:fill="auto"/>
                  <w:vAlign w:val="center"/>
                </w:tcPr>
                <w:p w14:paraId="0A76275B">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卸油过程损失（大呼吸损失）</w:t>
                  </w:r>
                </w:p>
              </w:tc>
              <w:tc>
                <w:tcPr>
                  <w:tcW w:w="1774" w:type="pct"/>
                  <w:shd w:val="clear" w:color="auto" w:fill="auto"/>
                  <w:vAlign w:val="center"/>
                </w:tcPr>
                <w:p w14:paraId="05F971C0">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2</w:t>
                  </w:r>
                  <w:r>
                    <w:rPr>
                      <w:rFonts w:cs="Times New Roman"/>
                      <w:snapToGrid w:val="0"/>
                      <w:kern w:val="0"/>
                      <w:sz w:val="21"/>
                      <w:szCs w:val="24"/>
                    </w:rPr>
                    <w:t>.3</w:t>
                  </w:r>
                </w:p>
              </w:tc>
            </w:tr>
            <w:tr w14:paraId="03138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0" w:type="pct"/>
                  <w:vMerge w:val="continue"/>
                  <w:shd w:val="clear" w:color="auto" w:fill="auto"/>
                  <w:vAlign w:val="center"/>
                </w:tcPr>
                <w:p w14:paraId="5CEAA4AB">
                  <w:pPr>
                    <w:spacing w:line="240" w:lineRule="auto"/>
                    <w:ind w:firstLine="0" w:firstLineChars="0"/>
                    <w:jc w:val="center"/>
                    <w:textAlignment w:val="auto"/>
                    <w:rPr>
                      <w:rFonts w:cs="Times New Roman"/>
                      <w:snapToGrid w:val="0"/>
                      <w:kern w:val="0"/>
                      <w:sz w:val="21"/>
                      <w:szCs w:val="24"/>
                    </w:rPr>
                  </w:pPr>
                </w:p>
              </w:tc>
              <w:tc>
                <w:tcPr>
                  <w:tcW w:w="2275" w:type="pct"/>
                  <w:shd w:val="clear" w:color="auto" w:fill="auto"/>
                  <w:vAlign w:val="center"/>
                </w:tcPr>
                <w:p w14:paraId="3E8E8921">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总计</w:t>
                  </w:r>
                </w:p>
              </w:tc>
              <w:tc>
                <w:tcPr>
                  <w:tcW w:w="1774" w:type="pct"/>
                  <w:shd w:val="clear" w:color="auto" w:fill="auto"/>
                  <w:vAlign w:val="center"/>
                </w:tcPr>
                <w:p w14:paraId="32E323B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4</w:t>
                  </w:r>
                  <w:r>
                    <w:rPr>
                      <w:rFonts w:cs="Times New Roman"/>
                      <w:snapToGrid w:val="0"/>
                      <w:kern w:val="0"/>
                      <w:sz w:val="21"/>
                      <w:szCs w:val="24"/>
                    </w:rPr>
                    <w:t>.95</w:t>
                  </w:r>
                </w:p>
              </w:tc>
            </w:tr>
            <w:tr w14:paraId="7F169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0" w:type="pct"/>
                  <w:vMerge w:val="restart"/>
                  <w:shd w:val="clear" w:color="auto" w:fill="auto"/>
                  <w:vAlign w:val="center"/>
                </w:tcPr>
                <w:p w14:paraId="03783C6C">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柴油</w:t>
                  </w:r>
                </w:p>
              </w:tc>
              <w:tc>
                <w:tcPr>
                  <w:tcW w:w="2275" w:type="pct"/>
                  <w:shd w:val="clear" w:color="auto" w:fill="auto"/>
                  <w:vAlign w:val="center"/>
                </w:tcPr>
                <w:p w14:paraId="5D7301B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加油过程挥发排放</w:t>
                  </w:r>
                </w:p>
              </w:tc>
              <w:tc>
                <w:tcPr>
                  <w:tcW w:w="1774" w:type="pct"/>
                  <w:shd w:val="clear" w:color="auto" w:fill="auto"/>
                  <w:vAlign w:val="center"/>
                </w:tcPr>
                <w:p w14:paraId="793C5903">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0</w:t>
                  </w:r>
                  <w:r>
                    <w:rPr>
                      <w:rFonts w:cs="Times New Roman"/>
                      <w:snapToGrid w:val="0"/>
                      <w:kern w:val="0"/>
                      <w:sz w:val="21"/>
                      <w:szCs w:val="24"/>
                    </w:rPr>
                    <w:t>.048</w:t>
                  </w:r>
                </w:p>
              </w:tc>
            </w:tr>
            <w:tr w14:paraId="3CC4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0" w:type="pct"/>
                  <w:vMerge w:val="continue"/>
                  <w:shd w:val="clear" w:color="auto" w:fill="auto"/>
                  <w:vAlign w:val="center"/>
                </w:tcPr>
                <w:p w14:paraId="05F594EF">
                  <w:pPr>
                    <w:spacing w:line="240" w:lineRule="auto"/>
                    <w:ind w:firstLine="0" w:firstLineChars="0"/>
                    <w:jc w:val="center"/>
                    <w:textAlignment w:val="auto"/>
                    <w:rPr>
                      <w:rFonts w:cs="Times New Roman"/>
                      <w:snapToGrid w:val="0"/>
                      <w:kern w:val="0"/>
                      <w:sz w:val="21"/>
                      <w:szCs w:val="24"/>
                    </w:rPr>
                  </w:pPr>
                </w:p>
              </w:tc>
              <w:tc>
                <w:tcPr>
                  <w:tcW w:w="2275" w:type="pct"/>
                  <w:shd w:val="clear" w:color="auto" w:fill="auto"/>
                  <w:vAlign w:val="center"/>
                </w:tcPr>
                <w:p w14:paraId="6E399189">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储油罐（小）呼吸损失</w:t>
                  </w:r>
                </w:p>
              </w:tc>
              <w:tc>
                <w:tcPr>
                  <w:tcW w:w="1774" w:type="pct"/>
                  <w:shd w:val="clear" w:color="auto" w:fill="auto"/>
                  <w:vAlign w:val="center"/>
                </w:tcPr>
                <w:p w14:paraId="335F08D7">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r>
            <w:tr w14:paraId="5B9BE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0" w:type="pct"/>
                  <w:vMerge w:val="continue"/>
                  <w:shd w:val="clear" w:color="auto" w:fill="auto"/>
                  <w:vAlign w:val="center"/>
                </w:tcPr>
                <w:p w14:paraId="0687F4F8">
                  <w:pPr>
                    <w:spacing w:line="240" w:lineRule="auto"/>
                    <w:ind w:firstLine="0" w:firstLineChars="0"/>
                    <w:jc w:val="center"/>
                    <w:textAlignment w:val="auto"/>
                    <w:rPr>
                      <w:rFonts w:cs="Times New Roman"/>
                      <w:snapToGrid w:val="0"/>
                      <w:kern w:val="0"/>
                      <w:sz w:val="21"/>
                      <w:szCs w:val="24"/>
                    </w:rPr>
                  </w:pPr>
                </w:p>
              </w:tc>
              <w:tc>
                <w:tcPr>
                  <w:tcW w:w="2275" w:type="pct"/>
                  <w:shd w:val="clear" w:color="auto" w:fill="auto"/>
                  <w:vAlign w:val="center"/>
                </w:tcPr>
                <w:p w14:paraId="3F0DB6EC">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卸油过程损失（大呼吸损失）</w:t>
                  </w:r>
                </w:p>
              </w:tc>
              <w:tc>
                <w:tcPr>
                  <w:tcW w:w="1774" w:type="pct"/>
                  <w:shd w:val="clear" w:color="auto" w:fill="auto"/>
                  <w:vAlign w:val="center"/>
                </w:tcPr>
                <w:p w14:paraId="2DDC257D">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0</w:t>
                  </w:r>
                  <w:r>
                    <w:rPr>
                      <w:rFonts w:cs="Times New Roman"/>
                      <w:snapToGrid w:val="0"/>
                      <w:kern w:val="0"/>
                      <w:sz w:val="21"/>
                      <w:szCs w:val="24"/>
                    </w:rPr>
                    <w:t>.027</w:t>
                  </w:r>
                </w:p>
              </w:tc>
            </w:tr>
            <w:tr w14:paraId="6B888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0" w:type="pct"/>
                  <w:vMerge w:val="continue"/>
                  <w:shd w:val="clear" w:color="auto" w:fill="auto"/>
                  <w:vAlign w:val="center"/>
                </w:tcPr>
                <w:p w14:paraId="10ED00BD">
                  <w:pPr>
                    <w:spacing w:line="240" w:lineRule="auto"/>
                    <w:ind w:firstLine="0" w:firstLineChars="0"/>
                    <w:jc w:val="center"/>
                    <w:textAlignment w:val="auto"/>
                    <w:rPr>
                      <w:rFonts w:cs="Times New Roman"/>
                      <w:snapToGrid w:val="0"/>
                      <w:kern w:val="0"/>
                      <w:sz w:val="21"/>
                      <w:szCs w:val="24"/>
                    </w:rPr>
                  </w:pPr>
                </w:p>
              </w:tc>
              <w:tc>
                <w:tcPr>
                  <w:tcW w:w="2275" w:type="pct"/>
                  <w:shd w:val="clear" w:color="auto" w:fill="auto"/>
                  <w:vAlign w:val="center"/>
                </w:tcPr>
                <w:p w14:paraId="02CE13AA">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总计</w:t>
                  </w:r>
                </w:p>
              </w:tc>
              <w:tc>
                <w:tcPr>
                  <w:tcW w:w="1774" w:type="pct"/>
                  <w:shd w:val="clear" w:color="auto" w:fill="auto"/>
                  <w:vAlign w:val="center"/>
                </w:tcPr>
                <w:p w14:paraId="0068CD4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0</w:t>
                  </w:r>
                  <w:r>
                    <w:rPr>
                      <w:rFonts w:cs="Times New Roman"/>
                      <w:snapToGrid w:val="0"/>
                      <w:kern w:val="0"/>
                      <w:sz w:val="21"/>
                      <w:szCs w:val="24"/>
                    </w:rPr>
                    <w:t>.075</w:t>
                  </w:r>
                </w:p>
              </w:tc>
            </w:tr>
          </w:tbl>
          <w:p w14:paraId="745F8113">
            <w:pPr>
              <w:adjustRightInd w:val="0"/>
              <w:snapToGrid w:val="0"/>
              <w:ind w:firstLine="480"/>
              <w:textAlignment w:val="auto"/>
              <w:rPr>
                <w:rFonts w:cs="Times New Roman"/>
                <w:szCs w:val="24"/>
              </w:rPr>
            </w:pPr>
            <w:r>
              <w:rPr>
                <w:rFonts w:hint="eastAsia" w:cs="Times New Roman"/>
                <w:szCs w:val="24"/>
              </w:rPr>
              <w:t>本项目预计汽油年销售量为</w:t>
            </w:r>
            <w:r>
              <w:rPr>
                <w:rFonts w:hint="eastAsia" w:cs="Times New Roman"/>
                <w:szCs w:val="24"/>
                <w:lang w:val="en-US" w:eastAsia="zh-CN"/>
              </w:rPr>
              <w:t>36</w:t>
            </w:r>
            <w:r>
              <w:rPr>
                <w:rFonts w:hint="eastAsia" w:cs="Times New Roman"/>
                <w:szCs w:val="24"/>
              </w:rPr>
              <w:t>00t，柴油年销售量为</w:t>
            </w:r>
            <w:r>
              <w:rPr>
                <w:rFonts w:hint="eastAsia" w:cs="Times New Roman"/>
                <w:szCs w:val="24"/>
                <w:lang w:val="en-US" w:eastAsia="zh-CN"/>
              </w:rPr>
              <w:t>7200</w:t>
            </w:r>
            <w:r>
              <w:rPr>
                <w:rFonts w:hint="eastAsia" w:cs="Times New Roman"/>
                <w:szCs w:val="24"/>
              </w:rPr>
              <w:t>t，根据上表中的排放系数，可计算出本项目油气（以非甲烷总烃计）产生量，如表4-</w:t>
            </w:r>
            <w:r>
              <w:rPr>
                <w:rFonts w:hint="eastAsia" w:cs="Times New Roman"/>
                <w:szCs w:val="24"/>
                <w:lang w:val="en-US" w:eastAsia="zh-CN"/>
              </w:rPr>
              <w:t>3</w:t>
            </w:r>
            <w:r>
              <w:rPr>
                <w:rFonts w:hint="eastAsia" w:cs="Times New Roman"/>
                <w:szCs w:val="24"/>
              </w:rPr>
              <w:t>所示。</w:t>
            </w:r>
          </w:p>
          <w:p w14:paraId="1D6B7511">
            <w:pPr>
              <w:keepNext/>
              <w:spacing w:before="120" w:beforeLines="50" w:line="240" w:lineRule="auto"/>
              <w:ind w:left="0" w:leftChars="0" w:firstLine="0" w:firstLineChars="0"/>
              <w:jc w:val="center"/>
              <w:rPr>
                <w:rFonts w:cs="Times New Roman"/>
                <w:b/>
                <w:snapToGrid w:val="0"/>
                <w:kern w:val="0"/>
                <w:sz w:val="21"/>
              </w:rPr>
            </w:pPr>
            <w:r>
              <w:rPr>
                <w:rFonts w:hint="eastAsia" w:cs="Times New Roman"/>
                <w:b/>
                <w:snapToGrid w:val="0"/>
                <w:kern w:val="0"/>
                <w:sz w:val="21"/>
              </w:rPr>
              <w:t>表4-</w:t>
            </w:r>
            <w:r>
              <w:rPr>
                <w:rFonts w:hint="eastAsia" w:cs="Times New Roman"/>
                <w:b/>
                <w:snapToGrid w:val="0"/>
                <w:kern w:val="0"/>
                <w:sz w:val="21"/>
                <w:lang w:val="en-US" w:eastAsia="zh-CN"/>
              </w:rPr>
              <w:t>3</w:t>
            </w:r>
            <w:r>
              <w:rPr>
                <w:rFonts w:hint="eastAsia" w:cs="Times New Roman"/>
                <w:b/>
                <w:snapToGrid w:val="0"/>
                <w:kern w:val="0"/>
                <w:sz w:val="21"/>
              </w:rPr>
              <w:t xml:space="preserve"> </w:t>
            </w:r>
            <w:r>
              <w:rPr>
                <w:rFonts w:cs="Times New Roman"/>
                <w:b/>
                <w:snapToGrid w:val="0"/>
                <w:kern w:val="0"/>
                <w:sz w:val="21"/>
              </w:rPr>
              <w:t xml:space="preserve"> </w:t>
            </w:r>
            <w:r>
              <w:rPr>
                <w:rFonts w:hint="eastAsia" w:cs="Times New Roman"/>
                <w:b/>
                <w:snapToGrid w:val="0"/>
                <w:kern w:val="0"/>
                <w:sz w:val="21"/>
              </w:rPr>
              <w:t>非甲烷总烃产、排一览表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50"/>
              <w:gridCol w:w="1286"/>
              <w:gridCol w:w="1181"/>
              <w:gridCol w:w="960"/>
              <w:gridCol w:w="1006"/>
              <w:gridCol w:w="993"/>
              <w:gridCol w:w="1289"/>
            </w:tblGrid>
            <w:tr w14:paraId="51831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96" w:type="pct"/>
                  <w:shd w:val="clear" w:color="auto" w:fill="auto"/>
                  <w:vAlign w:val="center"/>
                </w:tcPr>
                <w:p w14:paraId="5E3E764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油品</w:t>
                  </w:r>
                </w:p>
              </w:tc>
              <w:tc>
                <w:tcPr>
                  <w:tcW w:w="570" w:type="pct"/>
                  <w:shd w:val="clear" w:color="auto" w:fill="auto"/>
                  <w:vAlign w:val="center"/>
                </w:tcPr>
                <w:p w14:paraId="0493DAE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污染源名称</w:t>
                  </w:r>
                </w:p>
              </w:tc>
              <w:tc>
                <w:tcPr>
                  <w:tcW w:w="772" w:type="pct"/>
                  <w:shd w:val="clear" w:color="auto" w:fill="auto"/>
                  <w:vAlign w:val="center"/>
                </w:tcPr>
                <w:p w14:paraId="44E4403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项目</w:t>
                  </w:r>
                </w:p>
              </w:tc>
              <w:tc>
                <w:tcPr>
                  <w:tcW w:w="709" w:type="pct"/>
                  <w:shd w:val="clear" w:color="auto" w:fill="auto"/>
                  <w:vAlign w:val="center"/>
                </w:tcPr>
                <w:p w14:paraId="473D4646">
                  <w:pPr>
                    <w:spacing w:line="240" w:lineRule="auto"/>
                    <w:ind w:firstLine="0" w:firstLineChars="0"/>
                    <w:jc w:val="center"/>
                    <w:textAlignment w:val="auto"/>
                    <w:rPr>
                      <w:rFonts w:hint="eastAsia" w:cs="Times New Roman"/>
                      <w:snapToGrid w:val="0"/>
                      <w:kern w:val="0"/>
                      <w:sz w:val="21"/>
                      <w:szCs w:val="24"/>
                      <w:lang w:val="en-US" w:eastAsia="zh-CN"/>
                    </w:rPr>
                  </w:pPr>
                  <w:r>
                    <w:rPr>
                      <w:rFonts w:hint="eastAsia" w:cs="Times New Roman"/>
                      <w:snapToGrid w:val="0"/>
                      <w:kern w:val="0"/>
                      <w:sz w:val="21"/>
                      <w:szCs w:val="24"/>
                      <w:lang w:val="en-US" w:eastAsia="zh-CN"/>
                    </w:rPr>
                    <w:t>排放系数kg/t</w:t>
                  </w:r>
                </w:p>
              </w:tc>
              <w:tc>
                <w:tcPr>
                  <w:tcW w:w="576" w:type="pct"/>
                  <w:shd w:val="clear" w:color="auto" w:fill="auto"/>
                  <w:vAlign w:val="center"/>
                </w:tcPr>
                <w:p w14:paraId="3E24EDA8">
                  <w:pPr>
                    <w:spacing w:line="240" w:lineRule="auto"/>
                    <w:ind w:firstLine="0" w:firstLineChars="0"/>
                    <w:jc w:val="center"/>
                    <w:textAlignment w:val="auto"/>
                    <w:rPr>
                      <w:rFonts w:hint="eastAsia" w:cs="Times New Roman"/>
                      <w:snapToGrid w:val="0"/>
                      <w:kern w:val="0"/>
                      <w:sz w:val="21"/>
                      <w:szCs w:val="24"/>
                      <w:lang w:val="en-US" w:eastAsia="zh-CN"/>
                    </w:rPr>
                  </w:pPr>
                  <w:r>
                    <w:rPr>
                      <w:rFonts w:hint="eastAsia" w:cs="Times New Roman"/>
                      <w:snapToGrid w:val="0"/>
                      <w:kern w:val="0"/>
                      <w:sz w:val="21"/>
                      <w:szCs w:val="24"/>
                      <w:lang w:val="en-US" w:eastAsia="zh-CN"/>
                    </w:rPr>
                    <w:t>年销售量（t）</w:t>
                  </w:r>
                </w:p>
              </w:tc>
              <w:tc>
                <w:tcPr>
                  <w:tcW w:w="604" w:type="pct"/>
                  <w:shd w:val="clear" w:color="auto" w:fill="auto"/>
                  <w:vAlign w:val="center"/>
                </w:tcPr>
                <w:p w14:paraId="20C7D52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产生量（t/a）</w:t>
                  </w:r>
                </w:p>
              </w:tc>
              <w:tc>
                <w:tcPr>
                  <w:tcW w:w="596" w:type="pct"/>
                  <w:shd w:val="clear" w:color="auto" w:fill="auto"/>
                  <w:vAlign w:val="center"/>
                </w:tcPr>
                <w:p w14:paraId="0DEE5F0F">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油气回收装置效率</w:t>
                  </w:r>
                </w:p>
              </w:tc>
              <w:tc>
                <w:tcPr>
                  <w:tcW w:w="773" w:type="pct"/>
                  <w:shd w:val="clear" w:color="auto" w:fill="auto"/>
                  <w:vAlign w:val="center"/>
                </w:tcPr>
                <w:p w14:paraId="45E1913B">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排放量（</w:t>
                  </w:r>
                  <w:r>
                    <w:rPr>
                      <w:rFonts w:cs="Times New Roman"/>
                      <w:snapToGrid w:val="0"/>
                      <w:kern w:val="0"/>
                      <w:sz w:val="21"/>
                      <w:szCs w:val="24"/>
                    </w:rPr>
                    <w:t>t</w:t>
                  </w:r>
                  <w:r>
                    <w:rPr>
                      <w:rFonts w:hint="eastAsia" w:cs="Times New Roman"/>
                      <w:snapToGrid w:val="0"/>
                      <w:kern w:val="0"/>
                      <w:sz w:val="21"/>
                      <w:szCs w:val="24"/>
                    </w:rPr>
                    <w:t>/a）</w:t>
                  </w:r>
                </w:p>
              </w:tc>
            </w:tr>
            <w:tr w14:paraId="5F36B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restart"/>
                  <w:shd w:val="clear" w:color="auto" w:fill="auto"/>
                  <w:vAlign w:val="center"/>
                </w:tcPr>
                <w:p w14:paraId="421197C2">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汽油</w:t>
                  </w:r>
                </w:p>
              </w:tc>
              <w:tc>
                <w:tcPr>
                  <w:tcW w:w="570" w:type="pct"/>
                  <w:vMerge w:val="restart"/>
                  <w:shd w:val="clear" w:color="auto" w:fill="auto"/>
                  <w:vAlign w:val="center"/>
                </w:tcPr>
                <w:p w14:paraId="684DF84E">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w:t>
                  </w:r>
                </w:p>
              </w:tc>
              <w:tc>
                <w:tcPr>
                  <w:tcW w:w="772" w:type="pct"/>
                  <w:shd w:val="clear" w:color="auto" w:fill="auto"/>
                  <w:vAlign w:val="center"/>
                </w:tcPr>
                <w:p w14:paraId="46C09E8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卸油过程损失（大呼吸损失）</w:t>
                  </w:r>
                </w:p>
              </w:tc>
              <w:tc>
                <w:tcPr>
                  <w:tcW w:w="709" w:type="pct"/>
                  <w:shd w:val="clear" w:color="auto" w:fill="auto"/>
                  <w:vAlign w:val="center"/>
                </w:tcPr>
                <w:p w14:paraId="4DFFDE2C">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2.3</w:t>
                  </w:r>
                </w:p>
              </w:tc>
              <w:tc>
                <w:tcPr>
                  <w:tcW w:w="576" w:type="pct"/>
                  <w:vMerge w:val="restart"/>
                  <w:shd w:val="clear" w:color="auto" w:fill="auto"/>
                  <w:vAlign w:val="center"/>
                </w:tcPr>
                <w:p w14:paraId="7536D23D">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3600</w:t>
                  </w:r>
                </w:p>
              </w:tc>
              <w:tc>
                <w:tcPr>
                  <w:tcW w:w="604" w:type="pct"/>
                  <w:shd w:val="clear" w:color="auto" w:fill="auto"/>
                  <w:vAlign w:val="center"/>
                </w:tcPr>
                <w:p w14:paraId="13BA1654">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8.28</w:t>
                  </w:r>
                </w:p>
              </w:tc>
              <w:tc>
                <w:tcPr>
                  <w:tcW w:w="596" w:type="pct"/>
                  <w:vMerge w:val="restart"/>
                  <w:shd w:val="clear" w:color="auto" w:fill="auto"/>
                  <w:vAlign w:val="center"/>
                </w:tcPr>
                <w:p w14:paraId="482E3DB5">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9</w:t>
                  </w:r>
                  <w:r>
                    <w:rPr>
                      <w:rFonts w:cs="Times New Roman"/>
                      <w:snapToGrid w:val="0"/>
                      <w:kern w:val="0"/>
                      <w:sz w:val="21"/>
                      <w:szCs w:val="24"/>
                    </w:rPr>
                    <w:t>5</w:t>
                  </w:r>
                  <w:r>
                    <w:rPr>
                      <w:rFonts w:hint="eastAsia" w:cs="Times New Roman"/>
                      <w:snapToGrid w:val="0"/>
                      <w:kern w:val="0"/>
                      <w:sz w:val="21"/>
                      <w:szCs w:val="24"/>
                    </w:rPr>
                    <w:t>%</w:t>
                  </w:r>
                </w:p>
              </w:tc>
              <w:tc>
                <w:tcPr>
                  <w:tcW w:w="773" w:type="pct"/>
                  <w:shd w:val="clear" w:color="auto" w:fill="auto"/>
                  <w:vAlign w:val="center"/>
                </w:tcPr>
                <w:p w14:paraId="74951C78">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0.414</w:t>
                  </w:r>
                </w:p>
              </w:tc>
            </w:tr>
            <w:tr w14:paraId="2952F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96" w:type="pct"/>
                  <w:vMerge w:val="continue"/>
                  <w:shd w:val="clear" w:color="auto" w:fill="auto"/>
                  <w:vAlign w:val="center"/>
                </w:tcPr>
                <w:p w14:paraId="122382EA">
                  <w:pPr>
                    <w:spacing w:line="240" w:lineRule="auto"/>
                    <w:ind w:firstLine="0" w:firstLineChars="0"/>
                    <w:jc w:val="center"/>
                    <w:textAlignment w:val="auto"/>
                    <w:rPr>
                      <w:rFonts w:cs="Times New Roman"/>
                      <w:snapToGrid w:val="0"/>
                      <w:kern w:val="0"/>
                      <w:sz w:val="21"/>
                      <w:szCs w:val="24"/>
                    </w:rPr>
                  </w:pPr>
                </w:p>
              </w:tc>
              <w:tc>
                <w:tcPr>
                  <w:tcW w:w="570" w:type="pct"/>
                  <w:vMerge w:val="continue"/>
                  <w:shd w:val="clear" w:color="auto" w:fill="auto"/>
                  <w:vAlign w:val="center"/>
                </w:tcPr>
                <w:p w14:paraId="1521A4E7">
                  <w:pPr>
                    <w:spacing w:line="240" w:lineRule="auto"/>
                    <w:ind w:firstLine="0" w:firstLineChars="0"/>
                    <w:jc w:val="center"/>
                    <w:textAlignment w:val="auto"/>
                    <w:rPr>
                      <w:rFonts w:cs="Times New Roman"/>
                      <w:snapToGrid w:val="0"/>
                      <w:kern w:val="0"/>
                      <w:sz w:val="21"/>
                      <w:szCs w:val="24"/>
                    </w:rPr>
                  </w:pPr>
                </w:p>
              </w:tc>
              <w:tc>
                <w:tcPr>
                  <w:tcW w:w="772" w:type="pct"/>
                  <w:shd w:val="clear" w:color="auto" w:fill="auto"/>
                  <w:vAlign w:val="center"/>
                </w:tcPr>
                <w:p w14:paraId="12319708">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储油罐（小呼吸损失）</w:t>
                  </w:r>
                </w:p>
              </w:tc>
              <w:tc>
                <w:tcPr>
                  <w:tcW w:w="709" w:type="pct"/>
                  <w:shd w:val="clear" w:color="auto" w:fill="auto"/>
                  <w:vAlign w:val="center"/>
                </w:tcPr>
                <w:p w14:paraId="6EC345C4">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0.16</w:t>
                  </w:r>
                </w:p>
              </w:tc>
              <w:tc>
                <w:tcPr>
                  <w:tcW w:w="576" w:type="pct"/>
                  <w:vMerge w:val="continue"/>
                  <w:shd w:val="clear" w:color="auto" w:fill="auto"/>
                  <w:vAlign w:val="center"/>
                </w:tcPr>
                <w:p w14:paraId="64738E86">
                  <w:pPr>
                    <w:spacing w:line="240" w:lineRule="auto"/>
                    <w:ind w:firstLine="0" w:firstLineChars="0"/>
                    <w:jc w:val="center"/>
                    <w:textAlignment w:val="auto"/>
                    <w:rPr>
                      <w:rFonts w:cs="Times New Roman"/>
                      <w:snapToGrid w:val="0"/>
                      <w:kern w:val="0"/>
                      <w:sz w:val="21"/>
                      <w:szCs w:val="24"/>
                    </w:rPr>
                  </w:pPr>
                </w:p>
              </w:tc>
              <w:tc>
                <w:tcPr>
                  <w:tcW w:w="604" w:type="pct"/>
                  <w:shd w:val="clear" w:color="auto" w:fill="auto"/>
                  <w:vAlign w:val="center"/>
                </w:tcPr>
                <w:p w14:paraId="600BDB02">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0.576</w:t>
                  </w:r>
                </w:p>
              </w:tc>
              <w:tc>
                <w:tcPr>
                  <w:tcW w:w="596" w:type="pct"/>
                  <w:vMerge w:val="continue"/>
                  <w:shd w:val="clear" w:color="auto" w:fill="auto"/>
                  <w:vAlign w:val="center"/>
                </w:tcPr>
                <w:p w14:paraId="293C1BEE">
                  <w:pPr>
                    <w:spacing w:line="240" w:lineRule="auto"/>
                    <w:ind w:firstLine="0" w:firstLineChars="0"/>
                    <w:jc w:val="center"/>
                    <w:textAlignment w:val="auto"/>
                    <w:rPr>
                      <w:rFonts w:cs="Times New Roman"/>
                      <w:snapToGrid w:val="0"/>
                      <w:kern w:val="0"/>
                      <w:sz w:val="21"/>
                      <w:szCs w:val="24"/>
                    </w:rPr>
                  </w:pPr>
                </w:p>
              </w:tc>
              <w:tc>
                <w:tcPr>
                  <w:tcW w:w="773" w:type="pct"/>
                  <w:shd w:val="clear" w:color="auto" w:fill="auto"/>
                  <w:vAlign w:val="center"/>
                </w:tcPr>
                <w:p w14:paraId="012D2C15">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0.0288</w:t>
                  </w:r>
                </w:p>
              </w:tc>
            </w:tr>
            <w:tr w14:paraId="72FFC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6" w:type="pct"/>
                  <w:vMerge w:val="continue"/>
                  <w:shd w:val="clear" w:color="auto" w:fill="auto"/>
                  <w:vAlign w:val="center"/>
                </w:tcPr>
                <w:p w14:paraId="487C3631">
                  <w:pPr>
                    <w:spacing w:line="240" w:lineRule="auto"/>
                    <w:ind w:firstLine="0" w:firstLineChars="0"/>
                    <w:jc w:val="center"/>
                    <w:textAlignment w:val="auto"/>
                    <w:rPr>
                      <w:rFonts w:cs="Times New Roman"/>
                      <w:snapToGrid w:val="0"/>
                      <w:kern w:val="0"/>
                      <w:sz w:val="21"/>
                      <w:szCs w:val="24"/>
                    </w:rPr>
                  </w:pPr>
                </w:p>
              </w:tc>
              <w:tc>
                <w:tcPr>
                  <w:tcW w:w="570" w:type="pct"/>
                  <w:shd w:val="clear" w:color="auto" w:fill="auto"/>
                  <w:vAlign w:val="center"/>
                </w:tcPr>
                <w:p w14:paraId="102A5CD7">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加油枪</w:t>
                  </w:r>
                </w:p>
              </w:tc>
              <w:tc>
                <w:tcPr>
                  <w:tcW w:w="772" w:type="pct"/>
                  <w:shd w:val="clear" w:color="auto" w:fill="auto"/>
                  <w:vAlign w:val="center"/>
                </w:tcPr>
                <w:p w14:paraId="33592B8C">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加油作业</w:t>
                  </w:r>
                </w:p>
              </w:tc>
              <w:tc>
                <w:tcPr>
                  <w:tcW w:w="709" w:type="pct"/>
                  <w:shd w:val="clear" w:color="auto" w:fill="auto"/>
                  <w:vAlign w:val="center"/>
                </w:tcPr>
                <w:p w14:paraId="60691176">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2.49</w:t>
                  </w:r>
                </w:p>
              </w:tc>
              <w:tc>
                <w:tcPr>
                  <w:tcW w:w="576" w:type="pct"/>
                  <w:vMerge w:val="continue"/>
                  <w:shd w:val="clear" w:color="auto" w:fill="auto"/>
                  <w:vAlign w:val="center"/>
                </w:tcPr>
                <w:p w14:paraId="147B0C76">
                  <w:pPr>
                    <w:spacing w:line="240" w:lineRule="auto"/>
                    <w:ind w:firstLine="0" w:firstLineChars="0"/>
                    <w:jc w:val="center"/>
                    <w:textAlignment w:val="auto"/>
                    <w:rPr>
                      <w:rFonts w:cs="Times New Roman"/>
                      <w:snapToGrid w:val="0"/>
                      <w:kern w:val="0"/>
                      <w:sz w:val="21"/>
                      <w:szCs w:val="24"/>
                    </w:rPr>
                  </w:pPr>
                </w:p>
              </w:tc>
              <w:tc>
                <w:tcPr>
                  <w:tcW w:w="604" w:type="pct"/>
                  <w:shd w:val="clear" w:color="auto" w:fill="auto"/>
                  <w:vAlign w:val="center"/>
                </w:tcPr>
                <w:p w14:paraId="16C0CBAE">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8.964</w:t>
                  </w:r>
                </w:p>
              </w:tc>
              <w:tc>
                <w:tcPr>
                  <w:tcW w:w="596" w:type="pct"/>
                  <w:vMerge w:val="continue"/>
                  <w:shd w:val="clear" w:color="auto" w:fill="auto"/>
                  <w:vAlign w:val="center"/>
                </w:tcPr>
                <w:p w14:paraId="57967AC2">
                  <w:pPr>
                    <w:spacing w:line="240" w:lineRule="auto"/>
                    <w:ind w:firstLine="0" w:firstLineChars="0"/>
                    <w:jc w:val="center"/>
                    <w:textAlignment w:val="auto"/>
                    <w:rPr>
                      <w:rFonts w:cs="Times New Roman"/>
                      <w:snapToGrid w:val="0"/>
                      <w:kern w:val="0"/>
                      <w:sz w:val="21"/>
                      <w:szCs w:val="24"/>
                    </w:rPr>
                  </w:pPr>
                </w:p>
              </w:tc>
              <w:tc>
                <w:tcPr>
                  <w:tcW w:w="773" w:type="pct"/>
                  <w:shd w:val="clear" w:color="auto" w:fill="auto"/>
                  <w:vAlign w:val="center"/>
                </w:tcPr>
                <w:p w14:paraId="709AE988">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0.4482</w:t>
                  </w:r>
                </w:p>
              </w:tc>
            </w:tr>
            <w:tr w14:paraId="3CD5D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48" w:type="pct"/>
                  <w:gridSpan w:val="4"/>
                  <w:shd w:val="clear" w:color="auto" w:fill="auto"/>
                  <w:vAlign w:val="center"/>
                </w:tcPr>
                <w:p w14:paraId="6F279AC7">
                  <w:pPr>
                    <w:spacing w:line="240" w:lineRule="auto"/>
                    <w:ind w:firstLine="0" w:firstLineChars="0"/>
                    <w:jc w:val="center"/>
                    <w:textAlignment w:val="auto"/>
                    <w:rPr>
                      <w:rFonts w:hint="eastAsia" w:cs="Times New Roman"/>
                      <w:snapToGrid w:val="0"/>
                      <w:kern w:val="0"/>
                      <w:sz w:val="21"/>
                      <w:szCs w:val="24"/>
                      <w:lang w:val="en-US" w:eastAsia="zh-CN"/>
                    </w:rPr>
                  </w:pPr>
                  <w:r>
                    <w:rPr>
                      <w:rFonts w:hint="eastAsia" w:cs="Times New Roman"/>
                      <w:snapToGrid w:val="0"/>
                      <w:kern w:val="0"/>
                      <w:sz w:val="21"/>
                      <w:szCs w:val="24"/>
                      <w:lang w:val="en-US" w:eastAsia="zh-CN"/>
                    </w:rPr>
                    <w:t>汽油小计</w:t>
                  </w:r>
                </w:p>
              </w:tc>
              <w:tc>
                <w:tcPr>
                  <w:tcW w:w="576" w:type="pct"/>
                  <w:shd w:val="clear" w:color="auto" w:fill="auto"/>
                  <w:vAlign w:val="center"/>
                </w:tcPr>
                <w:p w14:paraId="2BFAF8C2">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3600</w:t>
                  </w:r>
                </w:p>
              </w:tc>
              <w:tc>
                <w:tcPr>
                  <w:tcW w:w="604" w:type="pct"/>
                  <w:shd w:val="clear" w:color="auto" w:fill="auto"/>
                  <w:vAlign w:val="center"/>
                </w:tcPr>
                <w:p w14:paraId="6B507099">
                  <w:pPr>
                    <w:spacing w:line="240" w:lineRule="auto"/>
                    <w:ind w:firstLine="0" w:firstLineChars="0"/>
                    <w:jc w:val="center"/>
                    <w:textAlignment w:val="auto"/>
                    <w:rPr>
                      <w:rFonts w:hint="default" w:cs="Times New Roman"/>
                      <w:snapToGrid w:val="0"/>
                      <w:kern w:val="0"/>
                      <w:sz w:val="21"/>
                      <w:szCs w:val="24"/>
                      <w:lang w:val="en-US" w:eastAsia="zh-CN"/>
                    </w:rPr>
                  </w:pPr>
                  <w:r>
                    <w:rPr>
                      <w:rFonts w:hint="eastAsia" w:cs="Times New Roman"/>
                      <w:snapToGrid w:val="0"/>
                      <w:kern w:val="0"/>
                      <w:sz w:val="21"/>
                      <w:szCs w:val="24"/>
                      <w:lang w:val="en-US" w:eastAsia="zh-CN"/>
                    </w:rPr>
                    <w:t>17.82</w:t>
                  </w:r>
                </w:p>
              </w:tc>
              <w:tc>
                <w:tcPr>
                  <w:tcW w:w="596" w:type="pct"/>
                  <w:shd w:val="clear" w:color="auto" w:fill="auto"/>
                  <w:vAlign w:val="center"/>
                </w:tcPr>
                <w:p w14:paraId="016B11B1">
                  <w:pPr>
                    <w:spacing w:line="240" w:lineRule="auto"/>
                    <w:ind w:firstLine="0" w:firstLineChars="0"/>
                    <w:jc w:val="center"/>
                    <w:textAlignment w:val="auto"/>
                    <w:rPr>
                      <w:rFonts w:hint="eastAsia" w:eastAsia="宋体" w:cs="Times New Roman"/>
                      <w:snapToGrid w:val="0"/>
                      <w:kern w:val="0"/>
                      <w:sz w:val="21"/>
                      <w:szCs w:val="24"/>
                      <w:lang w:val="en-US" w:eastAsia="zh-CN"/>
                    </w:rPr>
                  </w:pPr>
                  <w:r>
                    <w:rPr>
                      <w:rFonts w:hint="eastAsia" w:cs="Times New Roman"/>
                      <w:snapToGrid w:val="0"/>
                      <w:kern w:val="0"/>
                      <w:sz w:val="21"/>
                      <w:szCs w:val="24"/>
                      <w:lang w:val="en-US" w:eastAsia="zh-CN"/>
                    </w:rPr>
                    <w:t>/</w:t>
                  </w:r>
                </w:p>
              </w:tc>
              <w:tc>
                <w:tcPr>
                  <w:tcW w:w="773" w:type="pct"/>
                  <w:shd w:val="clear" w:color="auto" w:fill="auto"/>
                  <w:vAlign w:val="center"/>
                </w:tcPr>
                <w:p w14:paraId="590097B3">
                  <w:pPr>
                    <w:spacing w:line="240" w:lineRule="auto"/>
                    <w:ind w:firstLine="0" w:firstLineChars="0"/>
                    <w:jc w:val="center"/>
                    <w:textAlignment w:val="auto"/>
                    <w:rPr>
                      <w:rFonts w:hint="default" w:cs="Times New Roman"/>
                      <w:snapToGrid w:val="0"/>
                      <w:kern w:val="0"/>
                      <w:sz w:val="21"/>
                      <w:szCs w:val="24"/>
                      <w:lang w:val="en-US" w:eastAsia="zh-CN"/>
                    </w:rPr>
                  </w:pPr>
                  <w:r>
                    <w:rPr>
                      <w:rFonts w:hint="eastAsia" w:cs="Times New Roman"/>
                      <w:snapToGrid w:val="0"/>
                      <w:kern w:val="0"/>
                      <w:sz w:val="21"/>
                      <w:szCs w:val="24"/>
                      <w:lang w:val="en-US" w:eastAsia="zh-CN"/>
                    </w:rPr>
                    <w:t>0.891</w:t>
                  </w:r>
                </w:p>
              </w:tc>
            </w:tr>
            <w:tr w14:paraId="40C88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96" w:type="pct"/>
                  <w:vMerge w:val="restart"/>
                  <w:shd w:val="clear" w:color="auto" w:fill="auto"/>
                  <w:vAlign w:val="center"/>
                </w:tcPr>
                <w:p w14:paraId="20C34B6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柴油</w:t>
                  </w:r>
                </w:p>
              </w:tc>
              <w:tc>
                <w:tcPr>
                  <w:tcW w:w="570" w:type="pct"/>
                  <w:vMerge w:val="restart"/>
                  <w:shd w:val="clear" w:color="auto" w:fill="auto"/>
                  <w:vAlign w:val="center"/>
                </w:tcPr>
                <w:p w14:paraId="057CAE93">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w:t>
                  </w:r>
                </w:p>
              </w:tc>
              <w:tc>
                <w:tcPr>
                  <w:tcW w:w="772" w:type="pct"/>
                  <w:shd w:val="clear" w:color="auto" w:fill="auto"/>
                  <w:vAlign w:val="center"/>
                </w:tcPr>
                <w:p w14:paraId="324A95E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卸油过程损失（大呼吸损失）</w:t>
                  </w:r>
                </w:p>
              </w:tc>
              <w:tc>
                <w:tcPr>
                  <w:tcW w:w="709" w:type="pct"/>
                  <w:shd w:val="clear" w:color="auto" w:fill="auto"/>
                  <w:vAlign w:val="center"/>
                </w:tcPr>
                <w:p w14:paraId="601C0DAF">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0.027</w:t>
                  </w:r>
                </w:p>
              </w:tc>
              <w:tc>
                <w:tcPr>
                  <w:tcW w:w="576" w:type="pct"/>
                  <w:vMerge w:val="restart"/>
                  <w:shd w:val="clear" w:color="auto" w:fill="auto"/>
                  <w:vAlign w:val="center"/>
                </w:tcPr>
                <w:p w14:paraId="370935D6">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7200</w:t>
                  </w:r>
                </w:p>
              </w:tc>
              <w:tc>
                <w:tcPr>
                  <w:tcW w:w="604" w:type="pct"/>
                  <w:shd w:val="clear" w:color="auto" w:fill="auto"/>
                  <w:vAlign w:val="center"/>
                </w:tcPr>
                <w:p w14:paraId="415A18C9">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0.1944</w:t>
                  </w:r>
                </w:p>
              </w:tc>
              <w:tc>
                <w:tcPr>
                  <w:tcW w:w="596" w:type="pct"/>
                  <w:vMerge w:val="restart"/>
                  <w:shd w:val="clear" w:color="auto" w:fill="auto"/>
                  <w:vAlign w:val="center"/>
                </w:tcPr>
                <w:p w14:paraId="2355C9B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c>
                <w:tcPr>
                  <w:tcW w:w="773" w:type="pct"/>
                  <w:shd w:val="clear" w:color="auto" w:fill="auto"/>
                  <w:vAlign w:val="center"/>
                </w:tcPr>
                <w:p w14:paraId="2FF2752D">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0.1944</w:t>
                  </w:r>
                </w:p>
              </w:tc>
            </w:tr>
            <w:tr w14:paraId="173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6" w:type="pct"/>
                  <w:vMerge w:val="continue"/>
                  <w:shd w:val="clear" w:color="auto" w:fill="auto"/>
                  <w:vAlign w:val="center"/>
                </w:tcPr>
                <w:p w14:paraId="6A936E01">
                  <w:pPr>
                    <w:spacing w:line="240" w:lineRule="auto"/>
                    <w:ind w:firstLine="0" w:firstLineChars="0"/>
                    <w:jc w:val="center"/>
                    <w:textAlignment w:val="auto"/>
                    <w:rPr>
                      <w:rFonts w:cs="Times New Roman"/>
                      <w:snapToGrid w:val="0"/>
                      <w:kern w:val="0"/>
                      <w:sz w:val="21"/>
                      <w:szCs w:val="24"/>
                    </w:rPr>
                  </w:pPr>
                </w:p>
              </w:tc>
              <w:tc>
                <w:tcPr>
                  <w:tcW w:w="570" w:type="pct"/>
                  <w:vMerge w:val="continue"/>
                  <w:shd w:val="clear" w:color="auto" w:fill="auto"/>
                  <w:vAlign w:val="center"/>
                </w:tcPr>
                <w:p w14:paraId="387EBF5A">
                  <w:pPr>
                    <w:spacing w:line="240" w:lineRule="auto"/>
                    <w:ind w:firstLine="0" w:firstLineChars="0"/>
                    <w:jc w:val="center"/>
                    <w:textAlignment w:val="auto"/>
                    <w:rPr>
                      <w:rFonts w:cs="Times New Roman"/>
                      <w:snapToGrid w:val="0"/>
                      <w:kern w:val="0"/>
                      <w:sz w:val="21"/>
                      <w:szCs w:val="24"/>
                    </w:rPr>
                  </w:pPr>
                </w:p>
              </w:tc>
              <w:tc>
                <w:tcPr>
                  <w:tcW w:w="772" w:type="pct"/>
                  <w:shd w:val="clear" w:color="auto" w:fill="auto"/>
                  <w:vAlign w:val="center"/>
                </w:tcPr>
                <w:p w14:paraId="363B6D41">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储油罐（小呼吸损失）</w:t>
                  </w:r>
                </w:p>
              </w:tc>
              <w:tc>
                <w:tcPr>
                  <w:tcW w:w="709" w:type="pct"/>
                  <w:shd w:val="clear" w:color="auto" w:fill="auto"/>
                  <w:vAlign w:val="center"/>
                </w:tcPr>
                <w:p w14:paraId="0E9BB250">
                  <w:pPr>
                    <w:spacing w:line="240" w:lineRule="auto"/>
                    <w:ind w:firstLine="0" w:firstLineChars="0"/>
                    <w:jc w:val="center"/>
                    <w:textAlignment w:val="auto"/>
                    <w:rPr>
                      <w:rFonts w:hint="eastAsia" w:eastAsia="宋体" w:cs="Times New Roman"/>
                      <w:snapToGrid w:val="0"/>
                      <w:kern w:val="0"/>
                      <w:sz w:val="21"/>
                      <w:szCs w:val="24"/>
                      <w:lang w:val="en-US" w:eastAsia="zh-CN"/>
                    </w:rPr>
                  </w:pPr>
                  <w:r>
                    <w:rPr>
                      <w:rFonts w:hint="eastAsia" w:cs="Times New Roman"/>
                      <w:snapToGrid w:val="0"/>
                      <w:kern w:val="0"/>
                      <w:sz w:val="21"/>
                      <w:szCs w:val="24"/>
                      <w:lang w:val="en-US" w:eastAsia="zh-CN"/>
                    </w:rPr>
                    <w:t>/</w:t>
                  </w:r>
                </w:p>
              </w:tc>
              <w:tc>
                <w:tcPr>
                  <w:tcW w:w="576" w:type="pct"/>
                  <w:vMerge w:val="continue"/>
                  <w:shd w:val="clear" w:color="auto" w:fill="auto"/>
                  <w:vAlign w:val="center"/>
                </w:tcPr>
                <w:p w14:paraId="0633ADFD">
                  <w:pPr>
                    <w:spacing w:line="240" w:lineRule="auto"/>
                    <w:ind w:firstLine="0" w:firstLineChars="0"/>
                    <w:jc w:val="center"/>
                    <w:textAlignment w:val="auto"/>
                    <w:rPr>
                      <w:rFonts w:cs="Times New Roman"/>
                      <w:snapToGrid w:val="0"/>
                      <w:kern w:val="0"/>
                      <w:sz w:val="21"/>
                      <w:szCs w:val="24"/>
                    </w:rPr>
                  </w:pPr>
                </w:p>
              </w:tc>
              <w:tc>
                <w:tcPr>
                  <w:tcW w:w="604" w:type="pct"/>
                  <w:shd w:val="clear" w:color="auto" w:fill="auto"/>
                  <w:vAlign w:val="center"/>
                </w:tcPr>
                <w:p w14:paraId="738E1CEB">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c>
                <w:tcPr>
                  <w:tcW w:w="596" w:type="pct"/>
                  <w:vMerge w:val="continue"/>
                  <w:shd w:val="clear" w:color="auto" w:fill="auto"/>
                  <w:vAlign w:val="center"/>
                </w:tcPr>
                <w:p w14:paraId="6DEB1189">
                  <w:pPr>
                    <w:spacing w:line="240" w:lineRule="auto"/>
                    <w:ind w:firstLine="0" w:firstLineChars="0"/>
                    <w:jc w:val="center"/>
                    <w:textAlignment w:val="auto"/>
                    <w:rPr>
                      <w:rFonts w:cs="Times New Roman"/>
                      <w:snapToGrid w:val="0"/>
                      <w:kern w:val="0"/>
                      <w:sz w:val="21"/>
                      <w:szCs w:val="24"/>
                    </w:rPr>
                  </w:pPr>
                </w:p>
              </w:tc>
              <w:tc>
                <w:tcPr>
                  <w:tcW w:w="773" w:type="pct"/>
                  <w:shd w:val="clear" w:color="auto" w:fill="auto"/>
                  <w:vAlign w:val="center"/>
                </w:tcPr>
                <w:p w14:paraId="39FDA9D3">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r>
            <w:tr w14:paraId="1189C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6" w:type="pct"/>
                  <w:vMerge w:val="continue"/>
                  <w:shd w:val="clear" w:color="auto" w:fill="auto"/>
                  <w:vAlign w:val="center"/>
                </w:tcPr>
                <w:p w14:paraId="6E117FB6">
                  <w:pPr>
                    <w:spacing w:line="240" w:lineRule="auto"/>
                    <w:ind w:firstLine="0" w:firstLineChars="0"/>
                    <w:jc w:val="center"/>
                    <w:textAlignment w:val="auto"/>
                    <w:rPr>
                      <w:rFonts w:cs="Times New Roman"/>
                      <w:snapToGrid w:val="0"/>
                      <w:kern w:val="0"/>
                      <w:sz w:val="21"/>
                      <w:szCs w:val="24"/>
                    </w:rPr>
                  </w:pPr>
                </w:p>
              </w:tc>
              <w:tc>
                <w:tcPr>
                  <w:tcW w:w="570" w:type="pct"/>
                  <w:shd w:val="clear" w:color="auto" w:fill="auto"/>
                  <w:vAlign w:val="center"/>
                </w:tcPr>
                <w:p w14:paraId="1189FF4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加油枪</w:t>
                  </w:r>
                </w:p>
              </w:tc>
              <w:tc>
                <w:tcPr>
                  <w:tcW w:w="772" w:type="pct"/>
                  <w:shd w:val="clear" w:color="auto" w:fill="auto"/>
                  <w:vAlign w:val="center"/>
                </w:tcPr>
                <w:p w14:paraId="06381E08">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加油作业</w:t>
                  </w:r>
                </w:p>
              </w:tc>
              <w:tc>
                <w:tcPr>
                  <w:tcW w:w="709" w:type="pct"/>
                  <w:shd w:val="clear" w:color="auto" w:fill="auto"/>
                  <w:vAlign w:val="center"/>
                </w:tcPr>
                <w:p w14:paraId="7DB6253D">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0.048</w:t>
                  </w:r>
                </w:p>
              </w:tc>
              <w:tc>
                <w:tcPr>
                  <w:tcW w:w="576" w:type="pct"/>
                  <w:vMerge w:val="continue"/>
                  <w:shd w:val="clear" w:color="auto" w:fill="auto"/>
                  <w:vAlign w:val="center"/>
                </w:tcPr>
                <w:p w14:paraId="5546FD3B">
                  <w:pPr>
                    <w:spacing w:line="240" w:lineRule="auto"/>
                    <w:ind w:firstLine="0" w:firstLineChars="0"/>
                    <w:jc w:val="center"/>
                    <w:textAlignment w:val="auto"/>
                    <w:rPr>
                      <w:rFonts w:cs="Times New Roman"/>
                      <w:snapToGrid w:val="0"/>
                      <w:kern w:val="0"/>
                      <w:sz w:val="21"/>
                      <w:szCs w:val="24"/>
                    </w:rPr>
                  </w:pPr>
                </w:p>
              </w:tc>
              <w:tc>
                <w:tcPr>
                  <w:tcW w:w="604" w:type="pct"/>
                  <w:shd w:val="clear" w:color="auto" w:fill="auto"/>
                  <w:vAlign w:val="center"/>
                </w:tcPr>
                <w:p w14:paraId="4B6B54B2">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0.3456</w:t>
                  </w:r>
                </w:p>
              </w:tc>
              <w:tc>
                <w:tcPr>
                  <w:tcW w:w="596" w:type="pct"/>
                  <w:vMerge w:val="continue"/>
                  <w:shd w:val="clear" w:color="auto" w:fill="auto"/>
                  <w:vAlign w:val="center"/>
                </w:tcPr>
                <w:p w14:paraId="5278DA3F">
                  <w:pPr>
                    <w:spacing w:line="240" w:lineRule="auto"/>
                    <w:ind w:firstLine="0" w:firstLineChars="0"/>
                    <w:jc w:val="center"/>
                    <w:textAlignment w:val="auto"/>
                    <w:rPr>
                      <w:rFonts w:cs="Times New Roman"/>
                      <w:snapToGrid w:val="0"/>
                      <w:kern w:val="0"/>
                      <w:sz w:val="21"/>
                      <w:szCs w:val="24"/>
                    </w:rPr>
                  </w:pPr>
                </w:p>
              </w:tc>
              <w:tc>
                <w:tcPr>
                  <w:tcW w:w="773" w:type="pct"/>
                  <w:shd w:val="clear" w:color="auto" w:fill="auto"/>
                  <w:vAlign w:val="center"/>
                </w:tcPr>
                <w:p w14:paraId="1EE5ABD0">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0.3456</w:t>
                  </w:r>
                </w:p>
              </w:tc>
            </w:tr>
            <w:tr w14:paraId="5BEB0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48" w:type="pct"/>
                  <w:gridSpan w:val="4"/>
                  <w:shd w:val="clear" w:color="auto" w:fill="auto"/>
                  <w:vAlign w:val="center"/>
                </w:tcPr>
                <w:p w14:paraId="27D0AE59">
                  <w:pPr>
                    <w:spacing w:line="240" w:lineRule="auto"/>
                    <w:ind w:firstLine="0" w:firstLineChars="0"/>
                    <w:jc w:val="center"/>
                    <w:textAlignment w:val="auto"/>
                    <w:rPr>
                      <w:rFonts w:hint="default" w:cs="Times New Roman"/>
                      <w:snapToGrid w:val="0"/>
                      <w:kern w:val="0"/>
                      <w:sz w:val="21"/>
                      <w:szCs w:val="24"/>
                      <w:lang w:val="en-US" w:eastAsia="zh-CN"/>
                    </w:rPr>
                  </w:pPr>
                  <w:r>
                    <w:rPr>
                      <w:rFonts w:hint="eastAsia" w:cs="Times New Roman"/>
                      <w:snapToGrid w:val="0"/>
                      <w:kern w:val="0"/>
                      <w:sz w:val="21"/>
                      <w:szCs w:val="24"/>
                      <w:lang w:val="en-US" w:eastAsia="zh-CN"/>
                    </w:rPr>
                    <w:t>柴油小计</w:t>
                  </w:r>
                </w:p>
              </w:tc>
              <w:tc>
                <w:tcPr>
                  <w:tcW w:w="576" w:type="pct"/>
                  <w:shd w:val="clear" w:color="auto" w:fill="auto"/>
                  <w:vAlign w:val="center"/>
                </w:tcPr>
                <w:p w14:paraId="77195049">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7200</w:t>
                  </w:r>
                </w:p>
              </w:tc>
              <w:tc>
                <w:tcPr>
                  <w:tcW w:w="604" w:type="pct"/>
                  <w:shd w:val="clear" w:color="auto" w:fill="auto"/>
                  <w:vAlign w:val="center"/>
                </w:tcPr>
                <w:p w14:paraId="6C67E414">
                  <w:pPr>
                    <w:spacing w:line="240" w:lineRule="auto"/>
                    <w:ind w:firstLine="0" w:firstLineChars="0"/>
                    <w:jc w:val="center"/>
                    <w:textAlignment w:val="auto"/>
                    <w:rPr>
                      <w:rFonts w:hint="default" w:cs="Times New Roman"/>
                      <w:snapToGrid w:val="0"/>
                      <w:kern w:val="0"/>
                      <w:sz w:val="21"/>
                      <w:szCs w:val="24"/>
                      <w:lang w:val="en-US" w:eastAsia="zh-CN"/>
                    </w:rPr>
                  </w:pPr>
                  <w:r>
                    <w:rPr>
                      <w:rFonts w:hint="eastAsia" w:cs="Times New Roman"/>
                      <w:snapToGrid w:val="0"/>
                      <w:kern w:val="0"/>
                      <w:sz w:val="21"/>
                      <w:szCs w:val="24"/>
                      <w:lang w:val="en-US" w:eastAsia="zh-CN"/>
                    </w:rPr>
                    <w:t>0.54</w:t>
                  </w:r>
                </w:p>
              </w:tc>
              <w:tc>
                <w:tcPr>
                  <w:tcW w:w="596" w:type="pct"/>
                  <w:shd w:val="clear" w:color="auto" w:fill="auto"/>
                  <w:vAlign w:val="center"/>
                </w:tcPr>
                <w:p w14:paraId="492F2E8C">
                  <w:pPr>
                    <w:spacing w:line="240" w:lineRule="auto"/>
                    <w:ind w:firstLine="0" w:firstLineChars="0"/>
                    <w:jc w:val="center"/>
                    <w:textAlignment w:val="auto"/>
                    <w:rPr>
                      <w:rFonts w:hint="eastAsia" w:eastAsia="宋体" w:cs="Times New Roman"/>
                      <w:snapToGrid w:val="0"/>
                      <w:kern w:val="0"/>
                      <w:sz w:val="21"/>
                      <w:szCs w:val="24"/>
                      <w:lang w:val="en-US" w:eastAsia="zh-CN"/>
                    </w:rPr>
                  </w:pPr>
                  <w:r>
                    <w:rPr>
                      <w:rFonts w:hint="eastAsia" w:cs="Times New Roman"/>
                      <w:snapToGrid w:val="0"/>
                      <w:kern w:val="0"/>
                      <w:sz w:val="21"/>
                      <w:szCs w:val="24"/>
                      <w:lang w:val="en-US" w:eastAsia="zh-CN"/>
                    </w:rPr>
                    <w:t>/</w:t>
                  </w:r>
                </w:p>
              </w:tc>
              <w:tc>
                <w:tcPr>
                  <w:tcW w:w="773" w:type="pct"/>
                  <w:shd w:val="clear" w:color="auto" w:fill="auto"/>
                  <w:vAlign w:val="center"/>
                </w:tcPr>
                <w:p w14:paraId="1A7E38EF">
                  <w:pPr>
                    <w:spacing w:line="240" w:lineRule="auto"/>
                    <w:ind w:firstLine="0" w:firstLineChars="0"/>
                    <w:jc w:val="center"/>
                    <w:textAlignment w:val="auto"/>
                    <w:rPr>
                      <w:rFonts w:hint="default" w:cs="Times New Roman"/>
                      <w:snapToGrid w:val="0"/>
                      <w:kern w:val="0"/>
                      <w:sz w:val="21"/>
                      <w:szCs w:val="24"/>
                      <w:lang w:val="en-US" w:eastAsia="zh-CN"/>
                    </w:rPr>
                  </w:pPr>
                  <w:r>
                    <w:rPr>
                      <w:rFonts w:hint="eastAsia" w:cs="Times New Roman"/>
                      <w:snapToGrid w:val="0"/>
                      <w:kern w:val="0"/>
                      <w:sz w:val="21"/>
                      <w:szCs w:val="24"/>
                      <w:lang w:val="en-US" w:eastAsia="zh-CN"/>
                    </w:rPr>
                    <w:t>0.54</w:t>
                  </w:r>
                </w:p>
              </w:tc>
            </w:tr>
            <w:tr w14:paraId="10878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48" w:type="pct"/>
                  <w:gridSpan w:val="4"/>
                  <w:shd w:val="clear" w:color="auto" w:fill="auto"/>
                  <w:vAlign w:val="center"/>
                </w:tcPr>
                <w:p w14:paraId="399C7AF5">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总计</w:t>
                  </w:r>
                </w:p>
              </w:tc>
              <w:tc>
                <w:tcPr>
                  <w:tcW w:w="576" w:type="pct"/>
                  <w:shd w:val="clear" w:color="auto" w:fill="auto"/>
                  <w:vAlign w:val="center"/>
                </w:tcPr>
                <w:p w14:paraId="7D5BB4CE">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10800</w:t>
                  </w:r>
                </w:p>
              </w:tc>
              <w:tc>
                <w:tcPr>
                  <w:tcW w:w="604" w:type="pct"/>
                  <w:shd w:val="clear" w:color="auto" w:fill="auto"/>
                  <w:vAlign w:val="center"/>
                </w:tcPr>
                <w:p w14:paraId="10412A21">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18.36</w:t>
                  </w:r>
                </w:p>
              </w:tc>
              <w:tc>
                <w:tcPr>
                  <w:tcW w:w="596" w:type="pct"/>
                  <w:shd w:val="clear" w:color="auto" w:fill="auto"/>
                  <w:vAlign w:val="center"/>
                </w:tcPr>
                <w:p w14:paraId="23E7F81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c>
                <w:tcPr>
                  <w:tcW w:w="773" w:type="pct"/>
                  <w:shd w:val="clear" w:color="auto" w:fill="auto"/>
                  <w:vAlign w:val="center"/>
                </w:tcPr>
                <w:p w14:paraId="515464F6">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1.431</w:t>
                  </w:r>
                </w:p>
              </w:tc>
            </w:tr>
          </w:tbl>
          <w:p w14:paraId="468C1440">
            <w:pPr>
              <w:ind w:firstLine="480"/>
              <w:textAlignment w:val="auto"/>
              <w:rPr>
                <w:rFonts w:cs="Times New Roman"/>
                <w:szCs w:val="24"/>
              </w:rPr>
            </w:pPr>
            <w:r>
              <w:rPr>
                <w:rFonts w:hint="eastAsia" w:cs="Times New Roman"/>
                <w:snapToGrid w:val="0"/>
                <w:color w:val="000000"/>
                <w:kern w:val="0"/>
                <w:szCs w:val="24"/>
              </w:rPr>
              <w:t>（</w:t>
            </w:r>
            <w:r>
              <w:rPr>
                <w:rFonts w:cs="Times New Roman"/>
                <w:snapToGrid w:val="0"/>
                <w:color w:val="000000"/>
                <w:kern w:val="0"/>
                <w:szCs w:val="24"/>
              </w:rPr>
              <w:t>2</w:t>
            </w:r>
            <w:r>
              <w:rPr>
                <w:rFonts w:hint="eastAsia" w:cs="Times New Roman"/>
                <w:szCs w:val="24"/>
              </w:rPr>
              <w:t>）机动车尾气</w:t>
            </w:r>
          </w:p>
          <w:p w14:paraId="60843AFC">
            <w:pPr>
              <w:ind w:firstLine="480"/>
              <w:textAlignment w:val="auto"/>
              <w:rPr>
                <w:rFonts w:cs="Times New Roman"/>
                <w:snapToGrid w:val="0"/>
                <w:color w:val="000000"/>
                <w:kern w:val="0"/>
                <w:szCs w:val="24"/>
              </w:rPr>
            </w:pPr>
            <w:r>
              <w:rPr>
                <w:rFonts w:hint="eastAsia" w:cs="Times New Roman"/>
                <w:szCs w:val="24"/>
              </w:rPr>
              <w:t>项目经</w:t>
            </w:r>
            <w:r>
              <w:rPr>
                <w:rFonts w:hint="eastAsia" w:cs="Times New Roman"/>
                <w:snapToGrid w:val="0"/>
                <w:color w:val="000000"/>
                <w:kern w:val="0"/>
                <w:szCs w:val="24"/>
              </w:rPr>
              <w:t>营过程中，由于车辆的来往和停泊，将产生一定量的无组织排放废气，其主要污染因子主要有NO</w:t>
            </w:r>
            <w:r>
              <w:rPr>
                <w:rFonts w:hint="eastAsia" w:cs="Times New Roman"/>
                <w:snapToGrid w:val="0"/>
                <w:color w:val="000000"/>
                <w:kern w:val="0"/>
                <w:szCs w:val="24"/>
                <w:vertAlign w:val="subscript"/>
              </w:rPr>
              <w:t>2</w:t>
            </w:r>
            <w:r>
              <w:rPr>
                <w:rFonts w:hint="eastAsia" w:cs="Times New Roman"/>
                <w:snapToGrid w:val="0"/>
                <w:color w:val="000000"/>
                <w:kern w:val="0"/>
                <w:szCs w:val="24"/>
              </w:rPr>
              <w:t>、CO、THC、TSP。因进入该区的车流量小、行驶距离很短、速度慢，故排放量小，对周围环境产生的污染极小。只需加强管理，控制行车路线，尽量减少机动车辆启动次数及</w:t>
            </w:r>
            <w:r>
              <w:rPr>
                <w:rFonts w:hint="eastAsia" w:cs="Times New Roman"/>
                <w:snapToGrid w:val="0"/>
                <w:color w:val="000000"/>
                <w:kern w:val="0"/>
                <w:szCs w:val="24"/>
                <w:lang w:val="en-US" w:eastAsia="zh-CN"/>
              </w:rPr>
              <w:t>减</w:t>
            </w:r>
            <w:r>
              <w:rPr>
                <w:rFonts w:hint="eastAsia" w:cs="Times New Roman"/>
                <w:snapToGrid w:val="0"/>
                <w:color w:val="000000"/>
                <w:kern w:val="0"/>
                <w:szCs w:val="24"/>
              </w:rPr>
              <w:t>速行驶，以减少机动车尾气排放，保护该区内的环境空气质量。</w:t>
            </w:r>
          </w:p>
          <w:p w14:paraId="11DDCE6F">
            <w:pPr>
              <w:spacing w:line="240" w:lineRule="auto"/>
              <w:ind w:firstLine="422"/>
              <w:jc w:val="center"/>
              <w:textAlignment w:val="auto"/>
              <w:rPr>
                <w:rFonts w:cs="Times New Roman"/>
                <w:szCs w:val="24"/>
              </w:rPr>
            </w:pPr>
            <w:r>
              <w:rPr>
                <w:rFonts w:cs="Times New Roman"/>
                <w:b/>
                <w:snapToGrid w:val="0"/>
                <w:kern w:val="0"/>
                <w:sz w:val="21"/>
              </w:rPr>
              <w:t>表</w:t>
            </w:r>
            <w:r>
              <w:rPr>
                <w:rFonts w:hint="eastAsia" w:cs="Times New Roman"/>
                <w:b/>
                <w:snapToGrid w:val="0"/>
                <w:kern w:val="0"/>
                <w:sz w:val="21"/>
              </w:rPr>
              <w:t>4</w:t>
            </w:r>
            <w:r>
              <w:rPr>
                <w:rFonts w:cs="Times New Roman"/>
                <w:b/>
                <w:snapToGrid w:val="0"/>
                <w:kern w:val="0"/>
                <w:sz w:val="21"/>
              </w:rPr>
              <w:t>-</w:t>
            </w:r>
            <w:r>
              <w:rPr>
                <w:rFonts w:hint="eastAsia" w:cs="Times New Roman"/>
                <w:b/>
                <w:snapToGrid w:val="0"/>
                <w:kern w:val="0"/>
                <w:sz w:val="21"/>
                <w:lang w:val="en-US" w:eastAsia="zh-CN"/>
              </w:rPr>
              <w:t>4</w:t>
            </w:r>
            <w:r>
              <w:rPr>
                <w:rFonts w:cs="Times New Roman"/>
                <w:b/>
                <w:snapToGrid w:val="0"/>
                <w:kern w:val="0"/>
                <w:sz w:val="21"/>
              </w:rPr>
              <w:t xml:space="preserve">  项目废气产生及排放情况表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4"/>
              <w:gridCol w:w="1297"/>
              <w:gridCol w:w="1062"/>
              <w:gridCol w:w="770"/>
              <w:gridCol w:w="724"/>
              <w:gridCol w:w="1309"/>
              <w:gridCol w:w="708"/>
              <w:gridCol w:w="901"/>
              <w:gridCol w:w="1128"/>
            </w:tblGrid>
            <w:tr w14:paraId="21B7D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54" w:type="pct"/>
                  <w:vAlign w:val="center"/>
                </w:tcPr>
                <w:p w14:paraId="38D45D72">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生产设施</w:t>
                  </w:r>
                </w:p>
              </w:tc>
              <w:tc>
                <w:tcPr>
                  <w:tcW w:w="778" w:type="pct"/>
                  <w:vAlign w:val="center"/>
                </w:tcPr>
                <w:p w14:paraId="04E165A7">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产污环节</w:t>
                  </w:r>
                </w:p>
              </w:tc>
              <w:tc>
                <w:tcPr>
                  <w:tcW w:w="638" w:type="pct"/>
                  <w:vAlign w:val="center"/>
                </w:tcPr>
                <w:p w14:paraId="2355E89F">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污染物</w:t>
                  </w:r>
                </w:p>
              </w:tc>
              <w:tc>
                <w:tcPr>
                  <w:tcW w:w="462" w:type="pct"/>
                  <w:vAlign w:val="center"/>
                </w:tcPr>
                <w:p w14:paraId="71B45E1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污染物产生量</w:t>
                  </w:r>
                  <w:r>
                    <w:rPr>
                      <w:rFonts w:hint="eastAsia" w:cs="Times New Roman"/>
                      <w:snapToGrid w:val="0"/>
                      <w:kern w:val="0"/>
                      <w:sz w:val="21"/>
                      <w:szCs w:val="24"/>
                    </w:rPr>
                    <w:t>（t/a）</w:t>
                  </w:r>
                </w:p>
              </w:tc>
              <w:tc>
                <w:tcPr>
                  <w:tcW w:w="434" w:type="pct"/>
                  <w:vAlign w:val="center"/>
                </w:tcPr>
                <w:p w14:paraId="7437C482">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排放形式</w:t>
                  </w:r>
                </w:p>
              </w:tc>
              <w:tc>
                <w:tcPr>
                  <w:tcW w:w="786" w:type="pct"/>
                  <w:vAlign w:val="center"/>
                </w:tcPr>
                <w:p w14:paraId="23CD5D99">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污染治理设施</w:t>
                  </w:r>
                </w:p>
              </w:tc>
              <w:tc>
                <w:tcPr>
                  <w:tcW w:w="425" w:type="pct"/>
                  <w:vAlign w:val="center"/>
                </w:tcPr>
                <w:p w14:paraId="0CDDB867">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是否为可行技术</w:t>
                  </w:r>
                </w:p>
              </w:tc>
              <w:tc>
                <w:tcPr>
                  <w:tcW w:w="541" w:type="pct"/>
                  <w:vAlign w:val="center"/>
                </w:tcPr>
                <w:p w14:paraId="520B997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污染物排放量</w:t>
                  </w:r>
                </w:p>
              </w:tc>
              <w:tc>
                <w:tcPr>
                  <w:tcW w:w="677" w:type="pct"/>
                  <w:vAlign w:val="center"/>
                </w:tcPr>
                <w:p w14:paraId="3949D8C0">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执行标准</w:t>
                  </w:r>
                </w:p>
              </w:tc>
            </w:tr>
            <w:tr w14:paraId="52271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254" w:type="pct"/>
                  <w:vMerge w:val="restart"/>
                  <w:vAlign w:val="center"/>
                </w:tcPr>
                <w:p w14:paraId="52F7943C">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汽油</w:t>
                  </w:r>
                </w:p>
                <w:p w14:paraId="5FA6C315">
                  <w:pPr>
                    <w:spacing w:line="240" w:lineRule="auto"/>
                    <w:ind w:firstLine="0" w:firstLineChars="0"/>
                    <w:jc w:val="center"/>
                    <w:textAlignment w:val="auto"/>
                  </w:pPr>
                  <w:r>
                    <w:rPr>
                      <w:rFonts w:hint="eastAsia" w:cs="Times New Roman"/>
                      <w:snapToGrid w:val="0"/>
                      <w:kern w:val="0"/>
                      <w:sz w:val="21"/>
                      <w:szCs w:val="24"/>
                    </w:rPr>
                    <w:t>储罐</w:t>
                  </w:r>
                </w:p>
              </w:tc>
              <w:tc>
                <w:tcPr>
                  <w:tcW w:w="778" w:type="pct"/>
                  <w:vAlign w:val="center"/>
                </w:tcPr>
                <w:p w14:paraId="10661C2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卸油过程损失（大呼吸损失）</w:t>
                  </w:r>
                </w:p>
              </w:tc>
              <w:tc>
                <w:tcPr>
                  <w:tcW w:w="638" w:type="pct"/>
                  <w:vMerge w:val="restart"/>
                  <w:vAlign w:val="center"/>
                </w:tcPr>
                <w:p w14:paraId="2D60CC32">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挥发性有机物（非甲烷总烃）</w:t>
                  </w:r>
                </w:p>
              </w:tc>
              <w:tc>
                <w:tcPr>
                  <w:tcW w:w="750" w:type="dxa"/>
                  <w:vAlign w:val="center"/>
                </w:tcPr>
                <w:p w14:paraId="0F4CE9D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8.28</w:t>
                  </w:r>
                </w:p>
              </w:tc>
              <w:tc>
                <w:tcPr>
                  <w:tcW w:w="434" w:type="pct"/>
                  <w:vMerge w:val="restart"/>
                  <w:vAlign w:val="center"/>
                </w:tcPr>
                <w:p w14:paraId="6B513393">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无组织</w:t>
                  </w:r>
                </w:p>
              </w:tc>
              <w:tc>
                <w:tcPr>
                  <w:tcW w:w="786" w:type="pct"/>
                  <w:vMerge w:val="restart"/>
                  <w:vAlign w:val="center"/>
                </w:tcPr>
                <w:p w14:paraId="454CEC59">
                  <w:pPr>
                    <w:spacing w:line="240" w:lineRule="auto"/>
                    <w:ind w:firstLine="0" w:firstLineChars="0"/>
                    <w:textAlignment w:val="auto"/>
                    <w:rPr>
                      <w:rFonts w:cs="Times New Roman"/>
                      <w:snapToGrid w:val="0"/>
                      <w:kern w:val="0"/>
                      <w:sz w:val="21"/>
                      <w:szCs w:val="24"/>
                    </w:rPr>
                  </w:pPr>
                  <w:r>
                    <w:rPr>
                      <w:rFonts w:cs="Times New Roman"/>
                      <w:snapToGrid w:val="0"/>
                      <w:kern w:val="0"/>
                      <w:sz w:val="21"/>
                      <w:szCs w:val="24"/>
                    </w:rPr>
                    <w:t>采用地埋式</w:t>
                  </w:r>
                  <w:r>
                    <w:rPr>
                      <w:rFonts w:hint="eastAsia" w:cs="Times New Roman"/>
                      <w:snapToGrid w:val="0"/>
                      <w:kern w:val="0"/>
                      <w:sz w:val="21"/>
                      <w:szCs w:val="24"/>
                      <w:lang w:val="en-US" w:eastAsia="zh-CN"/>
                    </w:rPr>
                    <w:t>储罐</w:t>
                  </w:r>
                  <w:r>
                    <w:rPr>
                      <w:rFonts w:cs="Times New Roman"/>
                      <w:snapToGrid w:val="0"/>
                      <w:kern w:val="0"/>
                      <w:sz w:val="21"/>
                      <w:szCs w:val="24"/>
                    </w:rPr>
                    <w:t>工艺，</w:t>
                  </w:r>
                  <w:r>
                    <w:rPr>
                      <w:rFonts w:hint="eastAsia" w:cs="Times New Roman"/>
                      <w:snapToGrid w:val="0"/>
                      <w:kern w:val="0"/>
                      <w:sz w:val="21"/>
                      <w:szCs w:val="24"/>
                      <w:lang w:val="en-US" w:eastAsia="zh-CN"/>
                    </w:rPr>
                    <w:t>二次</w:t>
                  </w:r>
                  <w:r>
                    <w:rPr>
                      <w:rFonts w:hint="eastAsia" w:cs="Times New Roman"/>
                      <w:snapToGrid w:val="0"/>
                      <w:kern w:val="0"/>
                      <w:sz w:val="21"/>
                      <w:szCs w:val="24"/>
                    </w:rPr>
                    <w:t>油气回收装置处理</w:t>
                  </w:r>
                  <w:r>
                    <w:rPr>
                      <w:rFonts w:cs="Times New Roman"/>
                      <w:snapToGrid w:val="0"/>
                      <w:kern w:val="0"/>
                      <w:sz w:val="21"/>
                      <w:szCs w:val="24"/>
                    </w:rPr>
                    <w:t>/回收效率可以达到95%</w:t>
                  </w:r>
                </w:p>
              </w:tc>
              <w:tc>
                <w:tcPr>
                  <w:tcW w:w="425" w:type="pct"/>
                  <w:vMerge w:val="restart"/>
                  <w:vAlign w:val="center"/>
                </w:tcPr>
                <w:p w14:paraId="5D63CE27">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是</w:t>
                  </w:r>
                </w:p>
              </w:tc>
              <w:tc>
                <w:tcPr>
                  <w:tcW w:w="878" w:type="dxa"/>
                  <w:vAlign w:val="center"/>
                </w:tcPr>
                <w:p w14:paraId="452D058E">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0.414</w:t>
                  </w:r>
                </w:p>
              </w:tc>
              <w:tc>
                <w:tcPr>
                  <w:tcW w:w="677" w:type="pct"/>
                  <w:vMerge w:val="restart"/>
                  <w:vAlign w:val="center"/>
                </w:tcPr>
                <w:p w14:paraId="27C4466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《加油站大气污染物排放标准》GB20952-2020</w:t>
                  </w:r>
                </w:p>
              </w:tc>
            </w:tr>
            <w:tr w14:paraId="53A29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254" w:type="pct"/>
                  <w:vMerge w:val="continue"/>
                  <w:vAlign w:val="center"/>
                </w:tcPr>
                <w:p w14:paraId="67F42F05">
                  <w:pPr>
                    <w:spacing w:line="240" w:lineRule="auto"/>
                    <w:ind w:firstLine="0" w:firstLineChars="0"/>
                    <w:jc w:val="center"/>
                    <w:textAlignment w:val="auto"/>
                    <w:rPr>
                      <w:rFonts w:cs="Times New Roman"/>
                      <w:snapToGrid w:val="0"/>
                      <w:kern w:val="0"/>
                      <w:sz w:val="21"/>
                      <w:szCs w:val="24"/>
                    </w:rPr>
                  </w:pPr>
                </w:p>
              </w:tc>
              <w:tc>
                <w:tcPr>
                  <w:tcW w:w="778" w:type="pct"/>
                  <w:vAlign w:val="center"/>
                </w:tcPr>
                <w:p w14:paraId="20A70CB3">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储油罐（小呼吸损失）</w:t>
                  </w:r>
                </w:p>
              </w:tc>
              <w:tc>
                <w:tcPr>
                  <w:tcW w:w="638" w:type="pct"/>
                  <w:vMerge w:val="continue"/>
                  <w:vAlign w:val="center"/>
                </w:tcPr>
                <w:p w14:paraId="3A8B42AE">
                  <w:pPr>
                    <w:spacing w:line="240" w:lineRule="auto"/>
                    <w:ind w:firstLine="0" w:firstLineChars="0"/>
                    <w:jc w:val="center"/>
                    <w:textAlignment w:val="auto"/>
                    <w:rPr>
                      <w:rFonts w:cs="Times New Roman"/>
                      <w:snapToGrid w:val="0"/>
                      <w:kern w:val="0"/>
                      <w:sz w:val="21"/>
                      <w:szCs w:val="24"/>
                    </w:rPr>
                  </w:pPr>
                </w:p>
              </w:tc>
              <w:tc>
                <w:tcPr>
                  <w:tcW w:w="750" w:type="dxa"/>
                  <w:vAlign w:val="center"/>
                </w:tcPr>
                <w:p w14:paraId="021D5DF1">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0.576</w:t>
                  </w:r>
                </w:p>
              </w:tc>
              <w:tc>
                <w:tcPr>
                  <w:tcW w:w="434" w:type="pct"/>
                  <w:vMerge w:val="continue"/>
                  <w:vAlign w:val="center"/>
                </w:tcPr>
                <w:p w14:paraId="54143A0B">
                  <w:pPr>
                    <w:spacing w:line="240" w:lineRule="auto"/>
                    <w:ind w:firstLine="0" w:firstLineChars="0"/>
                    <w:jc w:val="center"/>
                    <w:textAlignment w:val="auto"/>
                    <w:rPr>
                      <w:rFonts w:cs="Times New Roman"/>
                      <w:snapToGrid w:val="0"/>
                      <w:kern w:val="0"/>
                      <w:sz w:val="21"/>
                      <w:szCs w:val="24"/>
                    </w:rPr>
                  </w:pPr>
                </w:p>
              </w:tc>
              <w:tc>
                <w:tcPr>
                  <w:tcW w:w="786" w:type="pct"/>
                  <w:vMerge w:val="continue"/>
                  <w:vAlign w:val="center"/>
                </w:tcPr>
                <w:p w14:paraId="336B9417">
                  <w:pPr>
                    <w:spacing w:line="240" w:lineRule="auto"/>
                    <w:ind w:firstLine="0" w:firstLineChars="0"/>
                    <w:jc w:val="center"/>
                    <w:textAlignment w:val="auto"/>
                    <w:rPr>
                      <w:rFonts w:cs="Times New Roman"/>
                      <w:snapToGrid w:val="0"/>
                      <w:kern w:val="0"/>
                      <w:sz w:val="21"/>
                      <w:szCs w:val="24"/>
                    </w:rPr>
                  </w:pPr>
                </w:p>
              </w:tc>
              <w:tc>
                <w:tcPr>
                  <w:tcW w:w="425" w:type="pct"/>
                  <w:vMerge w:val="continue"/>
                  <w:vAlign w:val="center"/>
                </w:tcPr>
                <w:p w14:paraId="0468529A">
                  <w:pPr>
                    <w:spacing w:line="240" w:lineRule="auto"/>
                    <w:ind w:firstLine="0" w:firstLineChars="0"/>
                    <w:jc w:val="center"/>
                    <w:textAlignment w:val="auto"/>
                    <w:rPr>
                      <w:rFonts w:cs="Times New Roman"/>
                      <w:snapToGrid w:val="0"/>
                      <w:kern w:val="0"/>
                      <w:sz w:val="21"/>
                      <w:szCs w:val="24"/>
                    </w:rPr>
                  </w:pPr>
                </w:p>
              </w:tc>
              <w:tc>
                <w:tcPr>
                  <w:tcW w:w="878" w:type="dxa"/>
                  <w:vAlign w:val="center"/>
                </w:tcPr>
                <w:p w14:paraId="2220C428">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0.0288</w:t>
                  </w:r>
                </w:p>
              </w:tc>
              <w:tc>
                <w:tcPr>
                  <w:tcW w:w="677" w:type="pct"/>
                  <w:vMerge w:val="continue"/>
                  <w:vAlign w:val="center"/>
                </w:tcPr>
                <w:p w14:paraId="6FB03726">
                  <w:pPr>
                    <w:spacing w:line="240" w:lineRule="auto"/>
                    <w:ind w:firstLine="0" w:firstLineChars="0"/>
                    <w:jc w:val="center"/>
                    <w:textAlignment w:val="auto"/>
                    <w:rPr>
                      <w:rFonts w:cs="Times New Roman"/>
                      <w:snapToGrid w:val="0"/>
                      <w:kern w:val="0"/>
                      <w:sz w:val="21"/>
                      <w:szCs w:val="24"/>
                    </w:rPr>
                  </w:pPr>
                </w:p>
              </w:tc>
            </w:tr>
            <w:tr w14:paraId="4C0F4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254" w:type="pct"/>
                  <w:vAlign w:val="center"/>
                </w:tcPr>
                <w:p w14:paraId="4C00E2FC">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汽油加油枪</w:t>
                  </w:r>
                </w:p>
              </w:tc>
              <w:tc>
                <w:tcPr>
                  <w:tcW w:w="778" w:type="pct"/>
                  <w:vAlign w:val="center"/>
                </w:tcPr>
                <w:p w14:paraId="24FABE8D">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加油作业</w:t>
                  </w:r>
                </w:p>
              </w:tc>
              <w:tc>
                <w:tcPr>
                  <w:tcW w:w="638" w:type="pct"/>
                  <w:vMerge w:val="continue"/>
                  <w:vAlign w:val="center"/>
                </w:tcPr>
                <w:p w14:paraId="17C757C1">
                  <w:pPr>
                    <w:spacing w:line="240" w:lineRule="auto"/>
                    <w:ind w:firstLine="0" w:firstLineChars="0"/>
                    <w:jc w:val="center"/>
                    <w:textAlignment w:val="auto"/>
                    <w:rPr>
                      <w:rFonts w:cs="Times New Roman"/>
                      <w:snapToGrid w:val="0"/>
                      <w:kern w:val="0"/>
                      <w:sz w:val="21"/>
                      <w:szCs w:val="24"/>
                    </w:rPr>
                  </w:pPr>
                </w:p>
              </w:tc>
              <w:tc>
                <w:tcPr>
                  <w:tcW w:w="750" w:type="dxa"/>
                  <w:vAlign w:val="center"/>
                </w:tcPr>
                <w:p w14:paraId="7C4D23E0">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8.964</w:t>
                  </w:r>
                </w:p>
              </w:tc>
              <w:tc>
                <w:tcPr>
                  <w:tcW w:w="434" w:type="pct"/>
                  <w:vMerge w:val="continue"/>
                  <w:vAlign w:val="center"/>
                </w:tcPr>
                <w:p w14:paraId="03D2ECBD">
                  <w:pPr>
                    <w:spacing w:line="240" w:lineRule="auto"/>
                    <w:ind w:firstLine="0" w:firstLineChars="0"/>
                    <w:jc w:val="center"/>
                    <w:textAlignment w:val="auto"/>
                    <w:rPr>
                      <w:rFonts w:cs="Times New Roman"/>
                      <w:snapToGrid w:val="0"/>
                      <w:kern w:val="0"/>
                      <w:sz w:val="21"/>
                      <w:szCs w:val="24"/>
                    </w:rPr>
                  </w:pPr>
                </w:p>
              </w:tc>
              <w:tc>
                <w:tcPr>
                  <w:tcW w:w="786" w:type="pct"/>
                  <w:vMerge w:val="continue"/>
                  <w:vAlign w:val="center"/>
                </w:tcPr>
                <w:p w14:paraId="3580DFEF">
                  <w:pPr>
                    <w:spacing w:line="240" w:lineRule="auto"/>
                    <w:ind w:firstLine="0" w:firstLineChars="0"/>
                    <w:jc w:val="center"/>
                    <w:textAlignment w:val="auto"/>
                    <w:rPr>
                      <w:rFonts w:cs="Times New Roman"/>
                      <w:snapToGrid w:val="0"/>
                      <w:kern w:val="0"/>
                      <w:sz w:val="21"/>
                      <w:szCs w:val="24"/>
                    </w:rPr>
                  </w:pPr>
                </w:p>
              </w:tc>
              <w:tc>
                <w:tcPr>
                  <w:tcW w:w="425" w:type="pct"/>
                  <w:vMerge w:val="continue"/>
                  <w:vAlign w:val="center"/>
                </w:tcPr>
                <w:p w14:paraId="425C406C">
                  <w:pPr>
                    <w:spacing w:line="240" w:lineRule="auto"/>
                    <w:ind w:firstLine="0" w:firstLineChars="0"/>
                    <w:jc w:val="center"/>
                    <w:textAlignment w:val="auto"/>
                    <w:rPr>
                      <w:rFonts w:cs="Times New Roman"/>
                      <w:snapToGrid w:val="0"/>
                      <w:kern w:val="0"/>
                      <w:sz w:val="21"/>
                      <w:szCs w:val="24"/>
                    </w:rPr>
                  </w:pPr>
                </w:p>
              </w:tc>
              <w:tc>
                <w:tcPr>
                  <w:tcW w:w="878" w:type="dxa"/>
                  <w:vAlign w:val="center"/>
                </w:tcPr>
                <w:p w14:paraId="1E26293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0.4482</w:t>
                  </w:r>
                </w:p>
              </w:tc>
              <w:tc>
                <w:tcPr>
                  <w:tcW w:w="677" w:type="pct"/>
                  <w:vMerge w:val="continue"/>
                  <w:vAlign w:val="center"/>
                </w:tcPr>
                <w:p w14:paraId="74E6F0A9">
                  <w:pPr>
                    <w:spacing w:line="240" w:lineRule="auto"/>
                    <w:ind w:firstLine="0" w:firstLineChars="0"/>
                    <w:jc w:val="center"/>
                    <w:textAlignment w:val="auto"/>
                    <w:rPr>
                      <w:rFonts w:cs="Times New Roman"/>
                      <w:snapToGrid w:val="0"/>
                      <w:kern w:val="0"/>
                      <w:sz w:val="21"/>
                      <w:szCs w:val="24"/>
                    </w:rPr>
                  </w:pPr>
                </w:p>
              </w:tc>
            </w:tr>
            <w:tr w14:paraId="446A9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jc w:val="center"/>
              </w:trPr>
              <w:tc>
                <w:tcPr>
                  <w:tcW w:w="254" w:type="pct"/>
                  <w:vMerge w:val="restart"/>
                  <w:vAlign w:val="center"/>
                </w:tcPr>
                <w:p w14:paraId="4247DFA7">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柴油储罐</w:t>
                  </w:r>
                </w:p>
              </w:tc>
              <w:tc>
                <w:tcPr>
                  <w:tcW w:w="778" w:type="pct"/>
                  <w:vAlign w:val="center"/>
                </w:tcPr>
                <w:p w14:paraId="2F303C1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卸油过程损失（大呼吸损失）</w:t>
                  </w:r>
                </w:p>
              </w:tc>
              <w:tc>
                <w:tcPr>
                  <w:tcW w:w="638" w:type="pct"/>
                  <w:vMerge w:val="continue"/>
                  <w:vAlign w:val="center"/>
                </w:tcPr>
                <w:p w14:paraId="7E8DF18C">
                  <w:pPr>
                    <w:spacing w:line="240" w:lineRule="auto"/>
                    <w:ind w:firstLine="0" w:firstLineChars="0"/>
                    <w:jc w:val="center"/>
                    <w:textAlignment w:val="auto"/>
                    <w:rPr>
                      <w:rFonts w:cs="Times New Roman"/>
                      <w:snapToGrid w:val="0"/>
                      <w:kern w:val="0"/>
                      <w:sz w:val="21"/>
                      <w:szCs w:val="24"/>
                    </w:rPr>
                  </w:pPr>
                </w:p>
              </w:tc>
              <w:tc>
                <w:tcPr>
                  <w:tcW w:w="750" w:type="dxa"/>
                  <w:vAlign w:val="center"/>
                </w:tcPr>
                <w:p w14:paraId="7A34408E">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0.1944</w:t>
                  </w:r>
                </w:p>
              </w:tc>
              <w:tc>
                <w:tcPr>
                  <w:tcW w:w="434" w:type="pct"/>
                  <w:vMerge w:val="continue"/>
                  <w:vAlign w:val="center"/>
                </w:tcPr>
                <w:p w14:paraId="1F312573">
                  <w:pPr>
                    <w:spacing w:line="240" w:lineRule="auto"/>
                    <w:ind w:firstLine="0" w:firstLineChars="0"/>
                    <w:jc w:val="center"/>
                    <w:textAlignment w:val="auto"/>
                    <w:rPr>
                      <w:rFonts w:cs="Times New Roman"/>
                      <w:snapToGrid w:val="0"/>
                      <w:kern w:val="0"/>
                      <w:sz w:val="21"/>
                      <w:szCs w:val="24"/>
                    </w:rPr>
                  </w:pPr>
                </w:p>
              </w:tc>
              <w:tc>
                <w:tcPr>
                  <w:tcW w:w="786" w:type="pct"/>
                  <w:vMerge w:val="restart"/>
                  <w:vAlign w:val="center"/>
                </w:tcPr>
                <w:p w14:paraId="51F08FA7">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c>
                <w:tcPr>
                  <w:tcW w:w="425" w:type="pct"/>
                  <w:vMerge w:val="continue"/>
                  <w:vAlign w:val="center"/>
                </w:tcPr>
                <w:p w14:paraId="24A961CA">
                  <w:pPr>
                    <w:spacing w:line="240" w:lineRule="auto"/>
                    <w:ind w:firstLine="0" w:firstLineChars="0"/>
                    <w:jc w:val="center"/>
                    <w:textAlignment w:val="auto"/>
                    <w:rPr>
                      <w:rFonts w:cs="Times New Roman"/>
                      <w:snapToGrid w:val="0"/>
                      <w:kern w:val="0"/>
                      <w:sz w:val="21"/>
                      <w:szCs w:val="24"/>
                    </w:rPr>
                  </w:pPr>
                </w:p>
              </w:tc>
              <w:tc>
                <w:tcPr>
                  <w:tcW w:w="878" w:type="dxa"/>
                  <w:vAlign w:val="center"/>
                </w:tcPr>
                <w:p w14:paraId="79F69143">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0.1944</w:t>
                  </w:r>
                </w:p>
              </w:tc>
              <w:tc>
                <w:tcPr>
                  <w:tcW w:w="677" w:type="pct"/>
                  <w:vMerge w:val="continue"/>
                  <w:vAlign w:val="center"/>
                </w:tcPr>
                <w:p w14:paraId="0925FC20">
                  <w:pPr>
                    <w:spacing w:line="240" w:lineRule="auto"/>
                    <w:ind w:firstLine="0" w:firstLineChars="0"/>
                    <w:jc w:val="center"/>
                    <w:textAlignment w:val="auto"/>
                    <w:rPr>
                      <w:rFonts w:cs="Times New Roman"/>
                      <w:snapToGrid w:val="0"/>
                      <w:kern w:val="0"/>
                      <w:sz w:val="21"/>
                      <w:szCs w:val="24"/>
                    </w:rPr>
                  </w:pPr>
                </w:p>
              </w:tc>
            </w:tr>
            <w:tr w14:paraId="72FC4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54" w:type="pct"/>
                  <w:vMerge w:val="continue"/>
                  <w:vAlign w:val="center"/>
                </w:tcPr>
                <w:p w14:paraId="58E9E0AE">
                  <w:pPr>
                    <w:spacing w:line="240" w:lineRule="auto"/>
                    <w:ind w:firstLine="0" w:firstLineChars="0"/>
                    <w:jc w:val="center"/>
                    <w:textAlignment w:val="auto"/>
                    <w:rPr>
                      <w:rFonts w:cs="Times New Roman"/>
                      <w:snapToGrid w:val="0"/>
                      <w:kern w:val="0"/>
                      <w:sz w:val="21"/>
                      <w:szCs w:val="24"/>
                    </w:rPr>
                  </w:pPr>
                </w:p>
              </w:tc>
              <w:tc>
                <w:tcPr>
                  <w:tcW w:w="778" w:type="pct"/>
                  <w:vAlign w:val="center"/>
                </w:tcPr>
                <w:p w14:paraId="77B29BA3">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储油罐（小呼吸损失）</w:t>
                  </w:r>
                </w:p>
              </w:tc>
              <w:tc>
                <w:tcPr>
                  <w:tcW w:w="638" w:type="pct"/>
                  <w:vMerge w:val="continue"/>
                  <w:vAlign w:val="center"/>
                </w:tcPr>
                <w:p w14:paraId="3F9EF756">
                  <w:pPr>
                    <w:spacing w:line="240" w:lineRule="auto"/>
                    <w:ind w:firstLine="0" w:firstLineChars="0"/>
                    <w:jc w:val="center"/>
                    <w:textAlignment w:val="auto"/>
                    <w:rPr>
                      <w:rFonts w:cs="Times New Roman"/>
                      <w:snapToGrid w:val="0"/>
                      <w:kern w:val="0"/>
                      <w:sz w:val="21"/>
                      <w:szCs w:val="24"/>
                    </w:rPr>
                  </w:pPr>
                </w:p>
              </w:tc>
              <w:tc>
                <w:tcPr>
                  <w:tcW w:w="750" w:type="dxa"/>
                  <w:vAlign w:val="center"/>
                </w:tcPr>
                <w:p w14:paraId="307B05EF">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c>
                <w:tcPr>
                  <w:tcW w:w="434" w:type="pct"/>
                  <w:vMerge w:val="continue"/>
                  <w:vAlign w:val="center"/>
                </w:tcPr>
                <w:p w14:paraId="2BBF2CCA">
                  <w:pPr>
                    <w:spacing w:line="240" w:lineRule="auto"/>
                    <w:ind w:firstLine="0" w:firstLineChars="0"/>
                    <w:jc w:val="center"/>
                    <w:textAlignment w:val="auto"/>
                    <w:rPr>
                      <w:rFonts w:cs="Times New Roman"/>
                      <w:snapToGrid w:val="0"/>
                      <w:kern w:val="0"/>
                      <w:sz w:val="21"/>
                      <w:szCs w:val="24"/>
                    </w:rPr>
                  </w:pPr>
                </w:p>
              </w:tc>
              <w:tc>
                <w:tcPr>
                  <w:tcW w:w="786" w:type="pct"/>
                  <w:vMerge w:val="continue"/>
                  <w:vAlign w:val="center"/>
                </w:tcPr>
                <w:p w14:paraId="59AC2B93">
                  <w:pPr>
                    <w:spacing w:line="240" w:lineRule="auto"/>
                    <w:ind w:firstLine="0" w:firstLineChars="0"/>
                    <w:jc w:val="center"/>
                    <w:textAlignment w:val="auto"/>
                    <w:rPr>
                      <w:rFonts w:cs="Times New Roman"/>
                      <w:snapToGrid w:val="0"/>
                      <w:kern w:val="0"/>
                      <w:sz w:val="21"/>
                      <w:szCs w:val="24"/>
                    </w:rPr>
                  </w:pPr>
                </w:p>
              </w:tc>
              <w:tc>
                <w:tcPr>
                  <w:tcW w:w="425" w:type="pct"/>
                  <w:vMerge w:val="continue"/>
                  <w:vAlign w:val="center"/>
                </w:tcPr>
                <w:p w14:paraId="1B4FBD7F">
                  <w:pPr>
                    <w:spacing w:line="240" w:lineRule="auto"/>
                    <w:ind w:firstLine="0" w:firstLineChars="0"/>
                    <w:jc w:val="center"/>
                    <w:textAlignment w:val="auto"/>
                    <w:rPr>
                      <w:rFonts w:cs="Times New Roman"/>
                      <w:snapToGrid w:val="0"/>
                      <w:kern w:val="0"/>
                      <w:sz w:val="21"/>
                      <w:szCs w:val="24"/>
                    </w:rPr>
                  </w:pPr>
                </w:p>
              </w:tc>
              <w:tc>
                <w:tcPr>
                  <w:tcW w:w="878" w:type="dxa"/>
                  <w:vAlign w:val="center"/>
                </w:tcPr>
                <w:p w14:paraId="1AA90A28">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c>
                <w:tcPr>
                  <w:tcW w:w="677" w:type="pct"/>
                  <w:vMerge w:val="continue"/>
                  <w:vAlign w:val="center"/>
                </w:tcPr>
                <w:p w14:paraId="2D85E5CF">
                  <w:pPr>
                    <w:spacing w:line="240" w:lineRule="auto"/>
                    <w:ind w:firstLine="0" w:firstLineChars="0"/>
                    <w:jc w:val="center"/>
                    <w:textAlignment w:val="auto"/>
                    <w:rPr>
                      <w:rFonts w:cs="Times New Roman"/>
                      <w:snapToGrid w:val="0"/>
                      <w:kern w:val="0"/>
                      <w:sz w:val="21"/>
                      <w:szCs w:val="24"/>
                    </w:rPr>
                  </w:pPr>
                </w:p>
              </w:tc>
            </w:tr>
            <w:tr w14:paraId="45316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54" w:type="pct"/>
                  <w:vAlign w:val="center"/>
                </w:tcPr>
                <w:p w14:paraId="740740DD">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柴油加油枪</w:t>
                  </w:r>
                </w:p>
              </w:tc>
              <w:tc>
                <w:tcPr>
                  <w:tcW w:w="778" w:type="pct"/>
                  <w:vAlign w:val="center"/>
                </w:tcPr>
                <w:p w14:paraId="00174D01">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加油作业</w:t>
                  </w:r>
                </w:p>
              </w:tc>
              <w:tc>
                <w:tcPr>
                  <w:tcW w:w="638" w:type="pct"/>
                  <w:vMerge w:val="continue"/>
                  <w:vAlign w:val="center"/>
                </w:tcPr>
                <w:p w14:paraId="458403CE">
                  <w:pPr>
                    <w:spacing w:line="240" w:lineRule="auto"/>
                    <w:ind w:firstLine="0" w:firstLineChars="0"/>
                    <w:jc w:val="center"/>
                    <w:textAlignment w:val="auto"/>
                    <w:rPr>
                      <w:rFonts w:cs="Times New Roman"/>
                      <w:snapToGrid w:val="0"/>
                      <w:kern w:val="0"/>
                      <w:sz w:val="21"/>
                      <w:szCs w:val="24"/>
                    </w:rPr>
                  </w:pPr>
                </w:p>
              </w:tc>
              <w:tc>
                <w:tcPr>
                  <w:tcW w:w="750" w:type="dxa"/>
                  <w:vAlign w:val="center"/>
                </w:tcPr>
                <w:p w14:paraId="7F34B000">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0.3456</w:t>
                  </w:r>
                </w:p>
              </w:tc>
              <w:tc>
                <w:tcPr>
                  <w:tcW w:w="434" w:type="pct"/>
                  <w:vMerge w:val="continue"/>
                  <w:vAlign w:val="center"/>
                </w:tcPr>
                <w:p w14:paraId="60999E75">
                  <w:pPr>
                    <w:spacing w:line="240" w:lineRule="auto"/>
                    <w:ind w:firstLine="0" w:firstLineChars="0"/>
                    <w:jc w:val="center"/>
                    <w:textAlignment w:val="auto"/>
                    <w:rPr>
                      <w:rFonts w:cs="Times New Roman"/>
                      <w:snapToGrid w:val="0"/>
                      <w:kern w:val="0"/>
                      <w:sz w:val="21"/>
                      <w:szCs w:val="24"/>
                    </w:rPr>
                  </w:pPr>
                </w:p>
              </w:tc>
              <w:tc>
                <w:tcPr>
                  <w:tcW w:w="786" w:type="pct"/>
                  <w:vMerge w:val="continue"/>
                  <w:vAlign w:val="center"/>
                </w:tcPr>
                <w:p w14:paraId="7618F31B">
                  <w:pPr>
                    <w:spacing w:line="240" w:lineRule="auto"/>
                    <w:ind w:firstLine="0" w:firstLineChars="0"/>
                    <w:jc w:val="center"/>
                    <w:textAlignment w:val="auto"/>
                    <w:rPr>
                      <w:rFonts w:cs="Times New Roman"/>
                      <w:snapToGrid w:val="0"/>
                      <w:kern w:val="0"/>
                      <w:sz w:val="21"/>
                      <w:szCs w:val="24"/>
                    </w:rPr>
                  </w:pPr>
                </w:p>
              </w:tc>
              <w:tc>
                <w:tcPr>
                  <w:tcW w:w="425" w:type="pct"/>
                  <w:vMerge w:val="continue"/>
                  <w:vAlign w:val="center"/>
                </w:tcPr>
                <w:p w14:paraId="2DCBA637">
                  <w:pPr>
                    <w:spacing w:line="240" w:lineRule="auto"/>
                    <w:ind w:firstLine="0" w:firstLineChars="0"/>
                    <w:jc w:val="center"/>
                    <w:textAlignment w:val="auto"/>
                    <w:rPr>
                      <w:rFonts w:cs="Times New Roman"/>
                      <w:snapToGrid w:val="0"/>
                      <w:kern w:val="0"/>
                      <w:sz w:val="21"/>
                      <w:szCs w:val="24"/>
                    </w:rPr>
                  </w:pPr>
                </w:p>
              </w:tc>
              <w:tc>
                <w:tcPr>
                  <w:tcW w:w="878" w:type="dxa"/>
                  <w:vAlign w:val="center"/>
                </w:tcPr>
                <w:p w14:paraId="2E43BAE8">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val="en-US" w:eastAsia="zh-CN"/>
                    </w:rPr>
                    <w:t>0.3456</w:t>
                  </w:r>
                </w:p>
              </w:tc>
              <w:tc>
                <w:tcPr>
                  <w:tcW w:w="677" w:type="pct"/>
                  <w:vMerge w:val="continue"/>
                  <w:vAlign w:val="center"/>
                </w:tcPr>
                <w:p w14:paraId="424A1824">
                  <w:pPr>
                    <w:spacing w:line="240" w:lineRule="auto"/>
                    <w:ind w:firstLine="0" w:firstLineChars="0"/>
                    <w:jc w:val="center"/>
                    <w:textAlignment w:val="auto"/>
                    <w:rPr>
                      <w:rFonts w:cs="Times New Roman"/>
                      <w:snapToGrid w:val="0"/>
                      <w:kern w:val="0"/>
                      <w:sz w:val="21"/>
                      <w:szCs w:val="24"/>
                    </w:rPr>
                  </w:pPr>
                </w:p>
              </w:tc>
            </w:tr>
            <w:tr w14:paraId="5A1AA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254" w:type="pct"/>
                  <w:vAlign w:val="center"/>
                </w:tcPr>
                <w:p w14:paraId="3122E1D9">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机动车</w:t>
                  </w:r>
                </w:p>
              </w:tc>
              <w:tc>
                <w:tcPr>
                  <w:tcW w:w="778" w:type="pct"/>
                  <w:vAlign w:val="center"/>
                </w:tcPr>
                <w:p w14:paraId="1E4D179D">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机动车尾气</w:t>
                  </w:r>
                </w:p>
              </w:tc>
              <w:tc>
                <w:tcPr>
                  <w:tcW w:w="638" w:type="pct"/>
                  <w:vAlign w:val="center"/>
                </w:tcPr>
                <w:p w14:paraId="5BA941B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NO</w:t>
                  </w:r>
                  <w:r>
                    <w:rPr>
                      <w:rFonts w:hint="eastAsia" w:cs="Times New Roman"/>
                      <w:snapToGrid w:val="0"/>
                      <w:kern w:val="0"/>
                      <w:sz w:val="21"/>
                      <w:szCs w:val="24"/>
                      <w:vertAlign w:val="subscript"/>
                    </w:rPr>
                    <w:t>2</w:t>
                  </w:r>
                  <w:r>
                    <w:rPr>
                      <w:rFonts w:hint="eastAsia" w:cs="Times New Roman"/>
                      <w:snapToGrid w:val="0"/>
                      <w:kern w:val="0"/>
                      <w:sz w:val="21"/>
                      <w:szCs w:val="24"/>
                    </w:rPr>
                    <w:t>、CO、THC、TSP</w:t>
                  </w:r>
                </w:p>
              </w:tc>
              <w:tc>
                <w:tcPr>
                  <w:tcW w:w="462" w:type="pct"/>
                  <w:vAlign w:val="center"/>
                </w:tcPr>
                <w:p w14:paraId="4BD8EE37">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少量</w:t>
                  </w:r>
                </w:p>
              </w:tc>
              <w:tc>
                <w:tcPr>
                  <w:tcW w:w="434" w:type="pct"/>
                  <w:vAlign w:val="center"/>
                </w:tcPr>
                <w:p w14:paraId="32474B50">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无组织</w:t>
                  </w:r>
                </w:p>
              </w:tc>
              <w:tc>
                <w:tcPr>
                  <w:tcW w:w="786" w:type="pct"/>
                  <w:vAlign w:val="center"/>
                </w:tcPr>
                <w:p w14:paraId="78C5208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减少机动车辆启动次数及</w:t>
                  </w:r>
                  <w:r>
                    <w:rPr>
                      <w:rFonts w:hint="eastAsia" w:cs="Times New Roman"/>
                      <w:snapToGrid w:val="0"/>
                      <w:kern w:val="0"/>
                      <w:sz w:val="21"/>
                      <w:szCs w:val="24"/>
                      <w:lang w:val="en-US" w:eastAsia="zh-CN"/>
                    </w:rPr>
                    <w:t>减</w:t>
                  </w:r>
                  <w:r>
                    <w:rPr>
                      <w:rFonts w:hint="eastAsia" w:cs="Times New Roman"/>
                      <w:snapToGrid w:val="0"/>
                      <w:kern w:val="0"/>
                      <w:sz w:val="21"/>
                      <w:szCs w:val="24"/>
                    </w:rPr>
                    <w:t>速行驶</w:t>
                  </w:r>
                </w:p>
              </w:tc>
              <w:tc>
                <w:tcPr>
                  <w:tcW w:w="425" w:type="pct"/>
                  <w:vAlign w:val="center"/>
                </w:tcPr>
                <w:p w14:paraId="4067416D">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是</w:t>
                  </w:r>
                </w:p>
              </w:tc>
              <w:tc>
                <w:tcPr>
                  <w:tcW w:w="541" w:type="pct"/>
                  <w:vAlign w:val="center"/>
                </w:tcPr>
                <w:p w14:paraId="60101745">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少量</w:t>
                  </w:r>
                </w:p>
              </w:tc>
              <w:tc>
                <w:tcPr>
                  <w:tcW w:w="677" w:type="pct"/>
                  <w:vAlign w:val="center"/>
                </w:tcPr>
                <w:p w14:paraId="6A20AA95">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r>
          </w:tbl>
          <w:p w14:paraId="231B1805">
            <w:pPr>
              <w:ind w:firstLine="0" w:firstLineChars="0"/>
              <w:rPr>
                <w:b/>
              </w:rPr>
            </w:pPr>
            <w:r>
              <w:rPr>
                <w:rFonts w:hint="eastAsia"/>
                <w:b/>
              </w:rPr>
              <w:t>4.2.1.1废气治理措施</w:t>
            </w:r>
            <w:r>
              <w:rPr>
                <w:rFonts w:hint="eastAsia" w:ascii="宋体" w:hAnsi="宋体" w:cs="宋体"/>
                <w:b/>
                <w:color w:val="000000"/>
              </w:rPr>
              <w:t>可行性分析</w:t>
            </w:r>
          </w:p>
          <w:p w14:paraId="16AC5E69">
            <w:pPr>
              <w:ind w:firstLine="480"/>
              <w:rPr>
                <w:b/>
              </w:rPr>
            </w:pPr>
            <w:r>
              <w:rPr>
                <w:rFonts w:hint="eastAsia"/>
              </w:rPr>
              <w:t>根据</w:t>
            </w:r>
            <w:r>
              <w:t>《排污许可证申请与核发技术规范储油库、加油站》（HJ1118-2020）</w:t>
            </w:r>
            <w:r>
              <w:rPr>
                <w:rFonts w:hint="eastAsia"/>
              </w:rPr>
              <w:t>中表F.1加油站排污单位废气治理可行技术参照表，项目废气治理设施（</w:t>
            </w:r>
            <w:r>
              <w:t>油气回收</w:t>
            </w:r>
            <w:r>
              <w:rPr>
                <w:rFonts w:hint="eastAsia"/>
              </w:rPr>
              <w:t>系统）符合规范中可行技术，</w:t>
            </w:r>
            <w:r>
              <w:rPr>
                <w:rFonts w:cs="Times New Roman"/>
                <w:snapToGrid w:val="0"/>
                <w:kern w:val="0"/>
                <w:szCs w:val="24"/>
              </w:rPr>
              <w:t>其油气回收效率可以达到95%以上，</w:t>
            </w:r>
            <w:r>
              <w:rPr>
                <w:rFonts w:hint="eastAsia" w:cs="Times New Roman"/>
                <w:snapToGrid w:val="0"/>
                <w:kern w:val="0"/>
                <w:szCs w:val="24"/>
              </w:rPr>
              <w:t>本项目厂界无组织</w:t>
            </w:r>
            <w:r>
              <w:rPr>
                <w:rFonts w:cs="Times New Roman"/>
                <w:snapToGrid w:val="0"/>
                <w:kern w:val="0"/>
                <w:szCs w:val="24"/>
              </w:rPr>
              <w:t>非甲烷总烃执行《加油站大气污染物排放标准》（GB20952-2020）</w:t>
            </w:r>
            <w:r>
              <w:rPr>
                <w:rFonts w:hint="eastAsia" w:cs="Times New Roman"/>
                <w:snapToGrid w:val="0"/>
                <w:kern w:val="0"/>
                <w:szCs w:val="24"/>
              </w:rPr>
              <w:t>表3油气浓度无组织排放限值（4</w:t>
            </w:r>
            <w:r>
              <w:rPr>
                <w:rFonts w:cs="Times New Roman"/>
                <w:snapToGrid w:val="0"/>
                <w:kern w:val="0"/>
                <w:szCs w:val="24"/>
              </w:rPr>
              <w:t>.0mg/m</w:t>
            </w:r>
            <w:r>
              <w:rPr>
                <w:rFonts w:cs="Times New Roman"/>
                <w:snapToGrid w:val="0"/>
                <w:kern w:val="0"/>
                <w:szCs w:val="24"/>
                <w:vertAlign w:val="superscript"/>
              </w:rPr>
              <w:t>3</w:t>
            </w:r>
            <w:r>
              <w:rPr>
                <w:rFonts w:hint="eastAsia" w:cs="Times New Roman"/>
                <w:snapToGrid w:val="0"/>
                <w:kern w:val="0"/>
                <w:szCs w:val="24"/>
              </w:rPr>
              <w:t>）</w:t>
            </w:r>
            <w:r>
              <w:rPr>
                <w:rFonts w:hint="eastAsia" w:cs="Times New Roman"/>
                <w:snapToGrid w:val="0"/>
                <w:kern w:val="0"/>
                <w:szCs w:val="24"/>
                <w:lang w:eastAsia="zh-CN"/>
              </w:rPr>
              <w:t>，</w:t>
            </w:r>
            <w:r>
              <w:rPr>
                <w:rFonts w:hint="eastAsia"/>
                <w:lang w:val="en-US" w:eastAsia="zh-CN"/>
              </w:rPr>
              <w:t>因此</w:t>
            </w:r>
            <w:r>
              <w:rPr>
                <w:rFonts w:hint="eastAsia"/>
              </w:rPr>
              <w:t>废气治理措施可行。</w:t>
            </w:r>
          </w:p>
          <w:p w14:paraId="7F608FE1">
            <w:pPr>
              <w:bidi w:val="0"/>
              <w:ind w:left="0" w:leftChars="0" w:firstLine="0" w:firstLineChars="0"/>
              <w:rPr>
                <w:b/>
                <w:bCs/>
              </w:rPr>
            </w:pPr>
            <w:r>
              <w:rPr>
                <w:rFonts w:hint="eastAsia"/>
                <w:b/>
                <w:bCs/>
              </w:rPr>
              <w:t>4.2.1.2废气影响分析</w:t>
            </w:r>
          </w:p>
          <w:p w14:paraId="268109F5">
            <w:pPr>
              <w:ind w:firstLine="480"/>
              <w:rPr>
                <w:bCs/>
                <w:color w:val="000000"/>
                <w:szCs w:val="20"/>
              </w:rPr>
            </w:pPr>
            <w:r>
              <w:rPr>
                <w:rFonts w:hint="eastAsia"/>
                <w:bCs/>
                <w:color w:val="000000"/>
                <w:szCs w:val="20"/>
              </w:rPr>
              <w:t>根据前文分析，项目所在区域属于不达标区，项目厂界周边500m范围内</w:t>
            </w:r>
            <w:r>
              <w:rPr>
                <w:rFonts w:hint="eastAsia"/>
                <w:bCs/>
                <w:color w:val="000000"/>
                <w:szCs w:val="20"/>
                <w:lang w:val="en-US" w:eastAsia="zh-CN"/>
              </w:rPr>
              <w:t>不</w:t>
            </w:r>
            <w:r>
              <w:rPr>
                <w:rFonts w:hint="eastAsia"/>
                <w:bCs/>
                <w:color w:val="000000"/>
                <w:szCs w:val="20"/>
              </w:rPr>
              <w:t>存在敏感目标，项目采取的废气治理措施可行，正常生产时污染物可稳定达标排放，大气环境影响可接受。</w:t>
            </w:r>
          </w:p>
          <w:p w14:paraId="058DE4F5">
            <w:pPr>
              <w:ind w:firstLine="0" w:firstLineChars="0"/>
              <w:rPr>
                <w:b/>
                <w:color w:val="000000"/>
                <w:szCs w:val="20"/>
              </w:rPr>
            </w:pPr>
            <w:bookmarkStart w:id="14" w:name="_Hlk107400647"/>
            <w:r>
              <w:rPr>
                <w:b/>
                <w:color w:val="000000"/>
                <w:szCs w:val="20"/>
              </w:rPr>
              <w:t>4.2.2废水</w:t>
            </w:r>
            <w:bookmarkEnd w:id="14"/>
            <w:r>
              <w:rPr>
                <w:rFonts w:hint="eastAsia"/>
                <w:b/>
                <w:bCs/>
                <w:highlight w:val="none"/>
                <w:lang w:val="en-US" w:eastAsia="zh-CN"/>
              </w:rPr>
              <w:t>环</w:t>
            </w:r>
            <w:r>
              <w:rPr>
                <w:rFonts w:hint="eastAsia"/>
                <w:b/>
                <w:bCs/>
                <w:highlight w:val="none"/>
              </w:rPr>
              <w:t>境影响与评价</w:t>
            </w:r>
          </w:p>
          <w:p w14:paraId="00B15255">
            <w:pPr>
              <w:ind w:firstLine="480"/>
            </w:pPr>
            <w:r>
              <w:rPr>
                <w:rFonts w:hint="eastAsia"/>
                <w:lang w:val="en-US" w:eastAsia="zh-CN"/>
              </w:rPr>
              <w:t>本</w:t>
            </w:r>
            <w:r>
              <w:rPr>
                <w:rFonts w:hint="eastAsia"/>
              </w:rPr>
              <w:t>项目运营期主要废水为生活污水和清洗油罐废水。</w:t>
            </w:r>
          </w:p>
          <w:p w14:paraId="630F6590">
            <w:pPr>
              <w:ind w:firstLine="480"/>
            </w:pPr>
            <w:r>
              <w:rPr>
                <w:rFonts w:hint="eastAsia"/>
              </w:rPr>
              <w:t>（1）生活污水</w:t>
            </w:r>
          </w:p>
          <w:p w14:paraId="5F8D7CFD">
            <w:pPr>
              <w:ind w:firstLine="480"/>
              <w:textAlignment w:val="center"/>
              <w:rPr>
                <w:rFonts w:hint="eastAsia"/>
                <w:color w:val="000000"/>
                <w:szCs w:val="22"/>
              </w:rPr>
            </w:pPr>
            <w:r>
              <w:rPr>
                <w:rFonts w:hint="eastAsia"/>
                <w:color w:val="000000"/>
              </w:rPr>
              <w:t>本项目劳动定员为</w:t>
            </w:r>
            <w:r>
              <w:rPr>
                <w:rFonts w:hint="eastAsia"/>
                <w:color w:val="000000"/>
                <w:lang w:val="en-US" w:eastAsia="zh-CN"/>
              </w:rPr>
              <w:t>12</w:t>
            </w:r>
            <w:r>
              <w:rPr>
                <w:rFonts w:hint="eastAsia"/>
                <w:color w:val="000000"/>
              </w:rPr>
              <w:t>人，年</w:t>
            </w:r>
            <w:r>
              <w:rPr>
                <w:rFonts w:hint="eastAsia"/>
              </w:rPr>
              <w:t>运行</w:t>
            </w:r>
            <w:r>
              <w:t>365</w:t>
            </w:r>
            <w:r>
              <w:rPr>
                <w:rFonts w:hint="eastAsia"/>
              </w:rPr>
              <w:t>天，生活用水参照</w:t>
            </w:r>
            <w:r>
              <w:rPr>
                <w:rFonts w:hint="eastAsia"/>
                <w:color w:val="000000"/>
                <w:szCs w:val="22"/>
              </w:rPr>
              <w:t>《新疆维吾尔自治区生活用水定额标准》，</w:t>
            </w:r>
            <w:r>
              <w:rPr>
                <w:rFonts w:hint="eastAsia"/>
              </w:rPr>
              <w:t>确定用水量按</w:t>
            </w:r>
            <w:r>
              <w:rPr>
                <w:color w:val="000000"/>
                <w:szCs w:val="22"/>
              </w:rPr>
              <w:t>80</w:t>
            </w:r>
            <w:r>
              <w:rPr>
                <w:rFonts w:hint="eastAsia"/>
                <w:color w:val="000000"/>
                <w:szCs w:val="22"/>
              </w:rPr>
              <w:t>L/人·d计，</w:t>
            </w:r>
            <w:r>
              <w:rPr>
                <w:rFonts w:hint="eastAsia"/>
              </w:rPr>
              <w:t>则日用水量为</w:t>
            </w:r>
            <w:r>
              <w:rPr>
                <w:rFonts w:hint="eastAsia"/>
                <w:lang w:val="en-US" w:eastAsia="zh-CN"/>
              </w:rPr>
              <w:t>0.96</w:t>
            </w:r>
            <w:r>
              <w:rPr>
                <w:rFonts w:hint="eastAsia"/>
                <w:color w:val="000000"/>
                <w:szCs w:val="22"/>
              </w:rPr>
              <w:t>m</w:t>
            </w:r>
            <w:r>
              <w:rPr>
                <w:rFonts w:hint="eastAsia"/>
                <w:color w:val="000000"/>
                <w:szCs w:val="22"/>
                <w:vertAlign w:val="superscript"/>
              </w:rPr>
              <w:t>3</w:t>
            </w:r>
            <w:r>
              <w:rPr>
                <w:rFonts w:hint="eastAsia"/>
                <w:color w:val="000000"/>
                <w:szCs w:val="22"/>
              </w:rPr>
              <w:t>/d</w:t>
            </w:r>
            <w:r>
              <w:rPr>
                <w:rFonts w:hint="eastAsia"/>
              </w:rPr>
              <w:t>，年用水量为</w:t>
            </w:r>
            <w:r>
              <w:rPr>
                <w:rFonts w:hint="eastAsia"/>
                <w:lang w:val="en-US" w:eastAsia="zh-CN"/>
              </w:rPr>
              <w:t>350.4</w:t>
            </w:r>
            <w:r>
              <w:rPr>
                <w:rFonts w:hint="eastAsia"/>
                <w:color w:val="000000"/>
                <w:szCs w:val="22"/>
              </w:rPr>
              <w:t>m</w:t>
            </w:r>
            <w:r>
              <w:rPr>
                <w:rFonts w:hint="eastAsia"/>
                <w:color w:val="000000"/>
                <w:szCs w:val="22"/>
                <w:vertAlign w:val="superscript"/>
              </w:rPr>
              <w:t>3</w:t>
            </w:r>
            <w:r>
              <w:rPr>
                <w:rFonts w:hint="eastAsia"/>
                <w:color w:val="000000"/>
                <w:szCs w:val="22"/>
              </w:rPr>
              <w:t>/a。</w:t>
            </w:r>
            <w:r>
              <w:rPr>
                <w:rFonts w:hint="eastAsia" w:cs="Times New Roman"/>
                <w:snapToGrid w:val="0"/>
                <w:color w:val="000000"/>
                <w:kern w:val="0"/>
              </w:rPr>
              <w:t>根据建设单位提供的资料，</w:t>
            </w:r>
            <w:r>
              <w:rPr>
                <w:rFonts w:cs="Times New Roman"/>
              </w:rPr>
              <w:t>外部人员用水</w:t>
            </w:r>
            <w:r>
              <w:rPr>
                <w:rFonts w:hint="eastAsia" w:cs="Times New Roman"/>
              </w:rPr>
              <w:t>为0</w:t>
            </w:r>
            <w:r>
              <w:rPr>
                <w:rFonts w:cs="Times New Roman"/>
              </w:rPr>
              <w:t>.5</w:t>
            </w:r>
            <w:r>
              <w:rPr>
                <w:rFonts w:hint="eastAsia" w:cs="Times New Roman"/>
                <w:snapToGrid w:val="0"/>
                <w:color w:val="000000"/>
                <w:kern w:val="0"/>
              </w:rPr>
              <w:t>m</w:t>
            </w:r>
            <w:r>
              <w:rPr>
                <w:rFonts w:hint="eastAsia" w:cs="Times New Roman"/>
                <w:snapToGrid w:val="0"/>
                <w:color w:val="000000"/>
                <w:kern w:val="0"/>
                <w:vertAlign w:val="superscript"/>
              </w:rPr>
              <w:t>3</w:t>
            </w:r>
            <w:r>
              <w:rPr>
                <w:rFonts w:hint="eastAsia" w:cs="Times New Roman"/>
                <w:snapToGrid w:val="0"/>
                <w:color w:val="000000"/>
                <w:kern w:val="0"/>
              </w:rPr>
              <w:t>/d，1</w:t>
            </w:r>
            <w:r>
              <w:rPr>
                <w:rFonts w:cs="Times New Roman"/>
                <w:snapToGrid w:val="0"/>
                <w:color w:val="000000"/>
                <w:kern w:val="0"/>
              </w:rPr>
              <w:t>82.5</w:t>
            </w:r>
            <w:r>
              <w:rPr>
                <w:rFonts w:hint="eastAsia" w:cs="Times New Roman"/>
                <w:snapToGrid w:val="0"/>
                <w:color w:val="000000"/>
                <w:kern w:val="0"/>
              </w:rPr>
              <w:t>m</w:t>
            </w:r>
            <w:r>
              <w:rPr>
                <w:rFonts w:hint="eastAsia" w:cs="Times New Roman"/>
                <w:snapToGrid w:val="0"/>
                <w:color w:val="000000"/>
                <w:kern w:val="0"/>
                <w:vertAlign w:val="superscript"/>
              </w:rPr>
              <w:t>3</w:t>
            </w:r>
            <w:r>
              <w:rPr>
                <w:rFonts w:hint="eastAsia" w:cs="Times New Roman"/>
                <w:snapToGrid w:val="0"/>
                <w:color w:val="000000"/>
                <w:kern w:val="0"/>
              </w:rPr>
              <w:t>/a。员工+进站人员</w:t>
            </w:r>
            <w:r>
              <w:rPr>
                <w:rFonts w:hint="eastAsia" w:cs="Times New Roman"/>
                <w:snapToGrid w:val="0"/>
                <w:kern w:val="0"/>
                <w:szCs w:val="24"/>
              </w:rPr>
              <w:t>年用水量为</w:t>
            </w:r>
            <w:r>
              <w:rPr>
                <w:rFonts w:hint="eastAsia" w:cs="Times New Roman"/>
                <w:snapToGrid w:val="0"/>
                <w:kern w:val="0"/>
                <w:szCs w:val="24"/>
                <w:lang w:val="en-US" w:eastAsia="zh-CN"/>
              </w:rPr>
              <w:t>1.46</w:t>
            </w:r>
            <w:r>
              <w:rPr>
                <w:rFonts w:hint="eastAsia" w:cs="Times New Roman"/>
                <w:snapToGrid w:val="0"/>
                <w:color w:val="000000"/>
                <w:kern w:val="0"/>
              </w:rPr>
              <w:t>m</w:t>
            </w:r>
            <w:r>
              <w:rPr>
                <w:rFonts w:hint="eastAsia" w:cs="Times New Roman"/>
                <w:snapToGrid w:val="0"/>
                <w:color w:val="000000"/>
                <w:kern w:val="0"/>
                <w:vertAlign w:val="superscript"/>
              </w:rPr>
              <w:t>3</w:t>
            </w:r>
            <w:r>
              <w:rPr>
                <w:rFonts w:hint="eastAsia" w:cs="Times New Roman"/>
                <w:snapToGrid w:val="0"/>
                <w:color w:val="000000"/>
                <w:kern w:val="0"/>
              </w:rPr>
              <w:t>/d</w:t>
            </w:r>
            <w:r>
              <w:rPr>
                <w:rFonts w:hint="eastAsia" w:cs="Times New Roman"/>
                <w:snapToGrid w:val="0"/>
                <w:color w:val="000000"/>
                <w:kern w:val="0"/>
                <w:lang w:eastAsia="zh-CN"/>
              </w:rPr>
              <w:t>，</w:t>
            </w:r>
            <w:r>
              <w:rPr>
                <w:rFonts w:hint="eastAsia" w:cs="Times New Roman"/>
                <w:snapToGrid w:val="0"/>
                <w:kern w:val="0"/>
                <w:szCs w:val="24"/>
                <w:lang w:val="en-US" w:eastAsia="zh-CN"/>
              </w:rPr>
              <w:t>532.9</w:t>
            </w:r>
            <w:r>
              <w:rPr>
                <w:rFonts w:hint="eastAsia" w:cs="Times New Roman"/>
                <w:snapToGrid w:val="0"/>
                <w:color w:val="000000"/>
                <w:kern w:val="0"/>
              </w:rPr>
              <w:t>m</w:t>
            </w:r>
            <w:r>
              <w:rPr>
                <w:rFonts w:hint="eastAsia" w:cs="Times New Roman"/>
                <w:snapToGrid w:val="0"/>
                <w:color w:val="000000"/>
                <w:kern w:val="0"/>
                <w:vertAlign w:val="superscript"/>
              </w:rPr>
              <w:t>3</w:t>
            </w:r>
            <w:r>
              <w:rPr>
                <w:rFonts w:hint="eastAsia" w:cs="Times New Roman"/>
                <w:snapToGrid w:val="0"/>
                <w:color w:val="000000"/>
                <w:kern w:val="0"/>
              </w:rPr>
              <w:t>/a。</w:t>
            </w:r>
          </w:p>
          <w:p w14:paraId="6043BDD3">
            <w:pPr>
              <w:ind w:firstLine="480"/>
              <w:textAlignment w:val="center"/>
              <w:rPr>
                <w:rFonts w:hint="eastAsia"/>
              </w:rPr>
            </w:pPr>
            <w:r>
              <w:t>生活污水</w:t>
            </w:r>
            <w:r>
              <w:rPr>
                <w:rFonts w:hint="eastAsia"/>
              </w:rPr>
              <w:t>排污系数按</w:t>
            </w:r>
            <w:r>
              <w:t>80%</w:t>
            </w:r>
            <w:r>
              <w:rPr>
                <w:rFonts w:hint="eastAsia"/>
              </w:rPr>
              <w:t>计</w:t>
            </w:r>
            <w:r>
              <w:t>，</w:t>
            </w:r>
            <w:r>
              <w:rPr>
                <w:color w:val="000000"/>
              </w:rPr>
              <w:t>则</w:t>
            </w:r>
            <w:r>
              <w:rPr>
                <w:rFonts w:hint="eastAsia"/>
                <w:color w:val="000000"/>
              </w:rPr>
              <w:t>污水</w:t>
            </w:r>
            <w:r>
              <w:rPr>
                <w:color w:val="000000"/>
              </w:rPr>
              <w:t>排放量为</w:t>
            </w:r>
            <w:r>
              <w:rPr>
                <w:rFonts w:hint="eastAsia"/>
              </w:rPr>
              <w:t>1.</w:t>
            </w:r>
            <w:r>
              <w:rPr>
                <w:rFonts w:hint="eastAsia"/>
                <w:lang w:val="en-US" w:eastAsia="zh-CN"/>
              </w:rPr>
              <w:t>168</w:t>
            </w:r>
            <w:r>
              <w:rPr>
                <w:color w:val="000000"/>
                <w:szCs w:val="22"/>
              </w:rPr>
              <w:t>m</w:t>
            </w:r>
            <w:r>
              <w:rPr>
                <w:color w:val="000000"/>
                <w:szCs w:val="22"/>
                <w:vertAlign w:val="superscript"/>
              </w:rPr>
              <w:t>3</w:t>
            </w:r>
            <w:r>
              <w:rPr>
                <w:color w:val="000000"/>
                <w:szCs w:val="22"/>
              </w:rPr>
              <w:t>/d</w:t>
            </w:r>
            <w:r>
              <w:t>，</w:t>
            </w:r>
            <w:r>
              <w:rPr>
                <w:rFonts w:hint="eastAsia"/>
                <w:lang w:val="en-US" w:eastAsia="zh-CN"/>
              </w:rPr>
              <w:t>426.32</w:t>
            </w:r>
            <w:r>
              <w:rPr>
                <w:color w:val="000000"/>
                <w:szCs w:val="22"/>
              </w:rPr>
              <w:t>m</w:t>
            </w:r>
            <w:r>
              <w:rPr>
                <w:color w:val="000000"/>
                <w:szCs w:val="22"/>
                <w:vertAlign w:val="superscript"/>
              </w:rPr>
              <w:t>3</w:t>
            </w:r>
            <w:r>
              <w:rPr>
                <w:color w:val="000000"/>
                <w:szCs w:val="22"/>
              </w:rPr>
              <w:t>/a</w:t>
            </w:r>
            <w:r>
              <w:t>。生活</w:t>
            </w:r>
            <w:r>
              <w:rPr>
                <w:rFonts w:hint="eastAsia"/>
                <w:lang w:val="en-US" w:eastAsia="zh-CN"/>
              </w:rPr>
              <w:t>污</w:t>
            </w:r>
            <w:r>
              <w:t>水主要污染物为COD、BOD</w:t>
            </w:r>
            <w:r>
              <w:rPr>
                <w:vertAlign w:val="subscript"/>
              </w:rPr>
              <w:t>5</w:t>
            </w:r>
            <w:r>
              <w:t>、SS和氨氮</w:t>
            </w:r>
            <w:r>
              <w:rPr>
                <w:rFonts w:hint="eastAsia"/>
                <w:lang w:eastAsia="zh-CN"/>
              </w:rPr>
              <w:t>。</w:t>
            </w:r>
            <w:r>
              <w:t>生活污水</w:t>
            </w:r>
            <w:r>
              <w:rPr>
                <w:rFonts w:hint="eastAsia"/>
                <w:lang w:val="en-US" w:eastAsia="zh-CN"/>
              </w:rPr>
              <w:t>经</w:t>
            </w:r>
            <w:r>
              <w:rPr>
                <w:rFonts w:hint="eastAsia"/>
              </w:rPr>
              <w:t>化粪池（</w:t>
            </w:r>
            <w:r>
              <w:rPr>
                <w:rFonts w:hint="eastAsia"/>
                <w:lang w:val="en-US" w:eastAsia="zh-CN"/>
              </w:rPr>
              <w:t>19</w:t>
            </w:r>
            <w:r>
              <w:rPr>
                <w:rFonts w:hint="eastAsia"/>
              </w:rPr>
              <w:t>m</w:t>
            </w:r>
            <w:r>
              <w:rPr>
                <w:rFonts w:hint="eastAsia"/>
                <w:vertAlign w:val="superscript"/>
              </w:rPr>
              <w:t>3</w:t>
            </w:r>
            <w:r>
              <w:rPr>
                <w:rFonts w:hint="eastAsia"/>
              </w:rPr>
              <w:t>）</w:t>
            </w:r>
            <w:r>
              <w:t>预处理后达到《污水综合排放标准》（GB8978-1996）三级排放标准</w:t>
            </w:r>
            <w:r>
              <w:rPr>
                <w:rFonts w:hint="eastAsia"/>
              </w:rPr>
              <w:t>后排放至市政排水管道，最终进入</w:t>
            </w:r>
            <w:r>
              <w:rPr>
                <w:rFonts w:hint="eastAsia"/>
                <w:lang w:eastAsia="zh-CN"/>
              </w:rPr>
              <w:t>库尔勒经济技术开发区工业废水处理厂</w:t>
            </w:r>
            <w:r>
              <w:rPr>
                <w:rFonts w:hint="eastAsia"/>
              </w:rPr>
              <w:t>深度处理。</w:t>
            </w:r>
          </w:p>
          <w:p w14:paraId="6B6AA119">
            <w:pPr>
              <w:autoSpaceDE w:val="0"/>
              <w:autoSpaceDN w:val="0"/>
              <w:ind w:firstLine="480"/>
            </w:pPr>
            <w:r>
              <w:rPr>
                <w:rFonts w:hint="eastAsia"/>
                <w:lang w:val="en-US" w:eastAsia="zh-CN"/>
              </w:rPr>
              <w:t>生活污水中SS产生浓度参考《环境影响评价工程师职业资格登记培训教材-社会区域类影响评价》中厕所SS污染物质量浓度取值；生活污水中CODcr、BOD</w:t>
            </w:r>
            <w:r>
              <w:rPr>
                <w:rFonts w:hint="eastAsia"/>
                <w:vertAlign w:val="subscript"/>
                <w:lang w:val="en-US" w:eastAsia="zh-CN"/>
              </w:rPr>
              <w:t>5</w:t>
            </w:r>
            <w:r>
              <w:rPr>
                <w:rFonts w:hint="eastAsia"/>
                <w:vertAlign w:val="baseline"/>
                <w:lang w:val="en-US" w:eastAsia="zh-CN"/>
              </w:rPr>
              <w:t>、氨氮浓度取值参考《排放源统计调查产排污核算方法和系数手册》中“集中式污染治理设施产排污系数手册”P24页-新疆巴音郭楞蒙古自治州污水处理厂进水水质浓度。</w:t>
            </w:r>
            <w:r>
              <w:t>项目</w:t>
            </w:r>
            <w:r>
              <w:rPr>
                <w:rFonts w:hint="eastAsia"/>
              </w:rPr>
              <w:t>生活</w:t>
            </w:r>
            <w:r>
              <w:rPr>
                <w:rFonts w:hint="eastAsia"/>
                <w:lang w:val="en-US" w:eastAsia="zh-CN"/>
              </w:rPr>
              <w:t>污水</w:t>
            </w:r>
            <w:r>
              <w:t>产生及排放情况见表</w:t>
            </w:r>
            <w:r>
              <w:rPr>
                <w:rFonts w:hint="eastAsia"/>
              </w:rPr>
              <w:t>4</w:t>
            </w:r>
            <w:r>
              <w:rPr>
                <w:rFonts w:hint="eastAsia"/>
                <w:lang w:val="en-US" w:eastAsia="zh-CN"/>
              </w:rPr>
              <w:t>-5</w:t>
            </w:r>
            <w:r>
              <w:t>。</w:t>
            </w:r>
          </w:p>
          <w:p w14:paraId="24142C88">
            <w:pPr>
              <w:pStyle w:val="28"/>
              <w:bidi w:val="0"/>
              <w:rPr>
                <w:rFonts w:hint="eastAsia" w:ascii="Times New Roman" w:hAnsi="Times New Roman" w:eastAsia="宋体" w:cs="Times New Roman"/>
                <w:b/>
                <w:snapToGrid w:val="0"/>
                <w:szCs w:val="22"/>
                <w:lang w:val="en-US" w:eastAsia="zh-CN" w:bidi="ar-SA"/>
              </w:rPr>
            </w:pPr>
            <w:r>
              <w:rPr>
                <w:rFonts w:hint="eastAsia"/>
                <w:lang w:val="en-US" w:eastAsia="zh-CN"/>
              </w:rPr>
              <w:t>表4-5  项目生活污水产生及排放情况表</w:t>
            </w:r>
          </w:p>
          <w:tbl>
            <w:tblPr>
              <w:tblStyle w:val="20"/>
              <w:tblW w:w="82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82"/>
              <w:gridCol w:w="915"/>
              <w:gridCol w:w="975"/>
              <w:gridCol w:w="1340"/>
              <w:gridCol w:w="785"/>
              <w:gridCol w:w="928"/>
              <w:gridCol w:w="864"/>
              <w:gridCol w:w="864"/>
            </w:tblGrid>
            <w:tr w14:paraId="14012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vMerge w:val="restart"/>
                  <w:tcBorders>
                    <w:tl2br w:val="nil"/>
                    <w:tr2bl w:val="nil"/>
                  </w:tcBorders>
                  <w:vAlign w:val="center"/>
                </w:tcPr>
                <w:p w14:paraId="1968D14E">
                  <w:pPr>
                    <w:pStyle w:val="32"/>
                  </w:pPr>
                  <w:r>
                    <w:t>污染源</w:t>
                  </w:r>
                </w:p>
              </w:tc>
              <w:tc>
                <w:tcPr>
                  <w:tcW w:w="882" w:type="dxa"/>
                  <w:vMerge w:val="restart"/>
                  <w:tcBorders>
                    <w:tl2br w:val="nil"/>
                    <w:tr2bl w:val="nil"/>
                  </w:tcBorders>
                  <w:vAlign w:val="center"/>
                </w:tcPr>
                <w:p w14:paraId="6EA88B65">
                  <w:pPr>
                    <w:pStyle w:val="32"/>
                  </w:pPr>
                  <w:r>
                    <w:t>污染物</w:t>
                  </w:r>
                </w:p>
              </w:tc>
              <w:tc>
                <w:tcPr>
                  <w:tcW w:w="1890" w:type="dxa"/>
                  <w:gridSpan w:val="2"/>
                  <w:tcBorders>
                    <w:tl2br w:val="nil"/>
                    <w:tr2bl w:val="nil"/>
                  </w:tcBorders>
                  <w:vAlign w:val="center"/>
                </w:tcPr>
                <w:p w14:paraId="43B734B3">
                  <w:pPr>
                    <w:pStyle w:val="32"/>
                  </w:pPr>
                  <w:r>
                    <w:t>进水</w:t>
                  </w:r>
                </w:p>
              </w:tc>
              <w:tc>
                <w:tcPr>
                  <w:tcW w:w="1340" w:type="dxa"/>
                  <w:vMerge w:val="restart"/>
                  <w:tcBorders>
                    <w:tl2br w:val="nil"/>
                    <w:tr2bl w:val="nil"/>
                  </w:tcBorders>
                  <w:vAlign w:val="center"/>
                </w:tcPr>
                <w:p w14:paraId="17D17981">
                  <w:pPr>
                    <w:pStyle w:val="32"/>
                  </w:pPr>
                  <w:r>
                    <w:t>治理措施</w:t>
                  </w:r>
                </w:p>
              </w:tc>
              <w:tc>
                <w:tcPr>
                  <w:tcW w:w="785" w:type="dxa"/>
                  <w:vMerge w:val="restart"/>
                  <w:tcBorders>
                    <w:tl2br w:val="nil"/>
                    <w:tr2bl w:val="nil"/>
                  </w:tcBorders>
                  <w:vAlign w:val="center"/>
                </w:tcPr>
                <w:p w14:paraId="5C5B704A">
                  <w:pPr>
                    <w:pStyle w:val="32"/>
                  </w:pPr>
                  <w:r>
                    <w:t>去除</w:t>
                  </w:r>
                </w:p>
                <w:p w14:paraId="77333CB4">
                  <w:pPr>
                    <w:pStyle w:val="32"/>
                  </w:pPr>
                  <w:r>
                    <w:t>效率（%）</w:t>
                  </w:r>
                </w:p>
              </w:tc>
              <w:tc>
                <w:tcPr>
                  <w:tcW w:w="1792" w:type="dxa"/>
                  <w:gridSpan w:val="2"/>
                  <w:tcBorders>
                    <w:tl2br w:val="nil"/>
                    <w:tr2bl w:val="nil"/>
                  </w:tcBorders>
                  <w:vAlign w:val="center"/>
                </w:tcPr>
                <w:p w14:paraId="1A458D96">
                  <w:pPr>
                    <w:pStyle w:val="32"/>
                  </w:pPr>
                  <w:r>
                    <w:t>排放</w:t>
                  </w:r>
                </w:p>
              </w:tc>
              <w:tc>
                <w:tcPr>
                  <w:tcW w:w="864" w:type="dxa"/>
                  <w:vMerge w:val="restart"/>
                  <w:tcBorders>
                    <w:tl2br w:val="nil"/>
                    <w:tr2bl w:val="nil"/>
                  </w:tcBorders>
                  <w:vAlign w:val="center"/>
                </w:tcPr>
                <w:p w14:paraId="75344737">
                  <w:pPr>
                    <w:pStyle w:val="32"/>
                  </w:pPr>
                  <w:r>
                    <w:rPr>
                      <w:rFonts w:hint="eastAsia"/>
                    </w:rPr>
                    <w:t>是否为可行技术</w:t>
                  </w:r>
                </w:p>
              </w:tc>
            </w:tr>
            <w:tr w14:paraId="71E84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62" w:type="dxa"/>
                  <w:vMerge w:val="continue"/>
                  <w:tcBorders>
                    <w:tl2br w:val="nil"/>
                    <w:tr2bl w:val="nil"/>
                  </w:tcBorders>
                  <w:vAlign w:val="center"/>
                </w:tcPr>
                <w:p w14:paraId="585C090B">
                  <w:pPr>
                    <w:pStyle w:val="32"/>
                  </w:pPr>
                </w:p>
              </w:tc>
              <w:tc>
                <w:tcPr>
                  <w:tcW w:w="882" w:type="dxa"/>
                  <w:vMerge w:val="continue"/>
                  <w:tcBorders>
                    <w:tl2br w:val="nil"/>
                    <w:tr2bl w:val="nil"/>
                  </w:tcBorders>
                  <w:vAlign w:val="center"/>
                </w:tcPr>
                <w:p w14:paraId="2EC4B274">
                  <w:pPr>
                    <w:pStyle w:val="32"/>
                  </w:pPr>
                </w:p>
              </w:tc>
              <w:tc>
                <w:tcPr>
                  <w:tcW w:w="915" w:type="dxa"/>
                  <w:tcBorders>
                    <w:tl2br w:val="nil"/>
                    <w:tr2bl w:val="nil"/>
                  </w:tcBorders>
                  <w:vAlign w:val="center"/>
                </w:tcPr>
                <w:p w14:paraId="5E17AAAB">
                  <w:pPr>
                    <w:pStyle w:val="32"/>
                  </w:pPr>
                  <w:r>
                    <w:t>浓度（mg/L）</w:t>
                  </w:r>
                </w:p>
              </w:tc>
              <w:tc>
                <w:tcPr>
                  <w:tcW w:w="975" w:type="dxa"/>
                  <w:tcBorders>
                    <w:tl2br w:val="nil"/>
                    <w:tr2bl w:val="nil"/>
                  </w:tcBorders>
                  <w:vAlign w:val="center"/>
                </w:tcPr>
                <w:p w14:paraId="1C7D4FAC">
                  <w:pPr>
                    <w:pStyle w:val="32"/>
                  </w:pPr>
                  <w:r>
                    <w:t>产生量（t/a）</w:t>
                  </w:r>
                </w:p>
              </w:tc>
              <w:tc>
                <w:tcPr>
                  <w:tcW w:w="1340" w:type="dxa"/>
                  <w:vMerge w:val="continue"/>
                  <w:tcBorders>
                    <w:tl2br w:val="nil"/>
                    <w:tr2bl w:val="nil"/>
                  </w:tcBorders>
                  <w:vAlign w:val="center"/>
                </w:tcPr>
                <w:p w14:paraId="53FBAD59">
                  <w:pPr>
                    <w:pStyle w:val="32"/>
                  </w:pPr>
                </w:p>
              </w:tc>
              <w:tc>
                <w:tcPr>
                  <w:tcW w:w="785" w:type="dxa"/>
                  <w:vMerge w:val="continue"/>
                  <w:tcBorders>
                    <w:tl2br w:val="nil"/>
                    <w:tr2bl w:val="nil"/>
                  </w:tcBorders>
                  <w:vAlign w:val="center"/>
                </w:tcPr>
                <w:p w14:paraId="73C4A437">
                  <w:pPr>
                    <w:pStyle w:val="32"/>
                  </w:pPr>
                </w:p>
              </w:tc>
              <w:tc>
                <w:tcPr>
                  <w:tcW w:w="928" w:type="dxa"/>
                  <w:tcBorders>
                    <w:tl2br w:val="nil"/>
                    <w:tr2bl w:val="nil"/>
                  </w:tcBorders>
                  <w:vAlign w:val="center"/>
                </w:tcPr>
                <w:p w14:paraId="7F82D810">
                  <w:pPr>
                    <w:pStyle w:val="32"/>
                  </w:pPr>
                  <w:r>
                    <w:t>浓度（mg/L）</w:t>
                  </w:r>
                </w:p>
              </w:tc>
              <w:tc>
                <w:tcPr>
                  <w:tcW w:w="864" w:type="dxa"/>
                  <w:tcBorders>
                    <w:tl2br w:val="nil"/>
                    <w:tr2bl w:val="nil"/>
                  </w:tcBorders>
                  <w:vAlign w:val="center"/>
                </w:tcPr>
                <w:p w14:paraId="59487718">
                  <w:pPr>
                    <w:pStyle w:val="32"/>
                  </w:pPr>
                  <w:r>
                    <w:t>排放量（t/a）</w:t>
                  </w:r>
                </w:p>
              </w:tc>
              <w:tc>
                <w:tcPr>
                  <w:tcW w:w="864" w:type="dxa"/>
                  <w:vMerge w:val="continue"/>
                  <w:tcBorders>
                    <w:tl2br w:val="nil"/>
                    <w:tr2bl w:val="nil"/>
                  </w:tcBorders>
                  <w:vAlign w:val="center"/>
                </w:tcPr>
                <w:p w14:paraId="676A4859">
                  <w:pPr>
                    <w:pStyle w:val="32"/>
                  </w:pPr>
                </w:p>
              </w:tc>
            </w:tr>
            <w:tr w14:paraId="220D8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662" w:type="dxa"/>
                  <w:vMerge w:val="restart"/>
                  <w:tcBorders>
                    <w:tl2br w:val="nil"/>
                    <w:tr2bl w:val="nil"/>
                  </w:tcBorders>
                  <w:vAlign w:val="center"/>
                </w:tcPr>
                <w:p w14:paraId="3F11B17B">
                  <w:pPr>
                    <w:pStyle w:val="32"/>
                  </w:pPr>
                  <w:r>
                    <w:t>生活污水</w:t>
                  </w:r>
                </w:p>
              </w:tc>
              <w:tc>
                <w:tcPr>
                  <w:tcW w:w="882" w:type="dxa"/>
                  <w:tcBorders>
                    <w:tl2br w:val="nil"/>
                    <w:tr2bl w:val="nil"/>
                  </w:tcBorders>
                  <w:vAlign w:val="center"/>
                </w:tcPr>
                <w:p w14:paraId="60C494B6">
                  <w:pPr>
                    <w:pStyle w:val="32"/>
                  </w:pPr>
                  <w:r>
                    <w:t>废水</w:t>
                  </w:r>
                </w:p>
              </w:tc>
              <w:tc>
                <w:tcPr>
                  <w:tcW w:w="915" w:type="dxa"/>
                  <w:tcBorders>
                    <w:tl2br w:val="nil"/>
                    <w:tr2bl w:val="nil"/>
                  </w:tcBorders>
                  <w:vAlign w:val="center"/>
                </w:tcPr>
                <w:p w14:paraId="03AEC541">
                  <w:pPr>
                    <w:pStyle w:val="32"/>
                  </w:pPr>
                  <w:r>
                    <w:t>—</w:t>
                  </w:r>
                </w:p>
              </w:tc>
              <w:tc>
                <w:tcPr>
                  <w:tcW w:w="975" w:type="dxa"/>
                  <w:tcBorders>
                    <w:tl2br w:val="nil"/>
                    <w:tr2bl w:val="nil"/>
                  </w:tcBorders>
                  <w:vAlign w:val="center"/>
                </w:tcPr>
                <w:p w14:paraId="7E0DA40A">
                  <w:pPr>
                    <w:pStyle w:val="32"/>
                    <w:ind w:firstLine="0" w:firstLineChars="0"/>
                    <w:rPr>
                      <w:rFonts w:hint="default" w:eastAsia="宋体"/>
                      <w:lang w:val="en-US" w:eastAsia="zh-CN"/>
                    </w:rPr>
                  </w:pPr>
                  <w:r>
                    <w:rPr>
                      <w:rFonts w:hint="eastAsia"/>
                      <w:lang w:val="en-US" w:eastAsia="zh-CN"/>
                    </w:rPr>
                    <w:t>426.32</w:t>
                  </w:r>
                </w:p>
              </w:tc>
              <w:tc>
                <w:tcPr>
                  <w:tcW w:w="1340" w:type="dxa"/>
                  <w:vMerge w:val="restart"/>
                  <w:tcBorders>
                    <w:tl2br w:val="nil"/>
                    <w:tr2bl w:val="nil"/>
                  </w:tcBorders>
                  <w:vAlign w:val="center"/>
                </w:tcPr>
                <w:p w14:paraId="23B21569">
                  <w:pPr>
                    <w:pStyle w:val="32"/>
                  </w:pPr>
                  <w:r>
                    <w:t>化粪池</w:t>
                  </w:r>
                  <w:r>
                    <w:rPr>
                      <w:rFonts w:hint="eastAsia"/>
                      <w:lang w:val="en-US" w:eastAsia="zh-CN"/>
                    </w:rPr>
                    <w:t>收集</w:t>
                  </w:r>
                  <w:r>
                    <w:t>预处理</w:t>
                  </w:r>
                </w:p>
              </w:tc>
              <w:tc>
                <w:tcPr>
                  <w:tcW w:w="785" w:type="dxa"/>
                  <w:tcBorders>
                    <w:tl2br w:val="nil"/>
                    <w:tr2bl w:val="nil"/>
                  </w:tcBorders>
                  <w:vAlign w:val="center"/>
                </w:tcPr>
                <w:p w14:paraId="7A583A4C">
                  <w:pPr>
                    <w:pStyle w:val="32"/>
                  </w:pPr>
                  <w:r>
                    <w:t>--</w:t>
                  </w:r>
                </w:p>
              </w:tc>
              <w:tc>
                <w:tcPr>
                  <w:tcW w:w="928" w:type="dxa"/>
                  <w:tcBorders>
                    <w:tl2br w:val="nil"/>
                    <w:tr2bl w:val="nil"/>
                  </w:tcBorders>
                  <w:vAlign w:val="center"/>
                </w:tcPr>
                <w:p w14:paraId="1D265284">
                  <w:pPr>
                    <w:pStyle w:val="32"/>
                  </w:pPr>
                  <w:r>
                    <w:t>—</w:t>
                  </w:r>
                </w:p>
              </w:tc>
              <w:tc>
                <w:tcPr>
                  <w:tcW w:w="864" w:type="dxa"/>
                  <w:tcBorders>
                    <w:tl2br w:val="nil"/>
                    <w:tr2bl w:val="nil"/>
                  </w:tcBorders>
                  <w:vAlign w:val="center"/>
                </w:tcPr>
                <w:p w14:paraId="50BEEE28">
                  <w:pPr>
                    <w:pStyle w:val="32"/>
                    <w:rPr>
                      <w:rFonts w:hint="default" w:eastAsia="宋体"/>
                      <w:lang w:val="en-US" w:eastAsia="zh-CN"/>
                    </w:rPr>
                  </w:pPr>
                  <w:r>
                    <w:rPr>
                      <w:rFonts w:hint="eastAsia"/>
                      <w:lang w:val="en-US" w:eastAsia="zh-CN"/>
                    </w:rPr>
                    <w:t>426.32</w:t>
                  </w:r>
                </w:p>
              </w:tc>
              <w:tc>
                <w:tcPr>
                  <w:tcW w:w="864" w:type="dxa"/>
                  <w:vMerge w:val="restart"/>
                  <w:tcBorders>
                    <w:tl2br w:val="nil"/>
                    <w:tr2bl w:val="nil"/>
                  </w:tcBorders>
                  <w:vAlign w:val="center"/>
                </w:tcPr>
                <w:p w14:paraId="4BEBE74C">
                  <w:pPr>
                    <w:pStyle w:val="32"/>
                  </w:pPr>
                  <w:r>
                    <w:rPr>
                      <w:rFonts w:hint="eastAsia"/>
                    </w:rPr>
                    <w:t>是</w:t>
                  </w:r>
                </w:p>
              </w:tc>
            </w:tr>
            <w:tr w14:paraId="6EDDC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2" w:type="dxa"/>
                  <w:vMerge w:val="continue"/>
                  <w:tcBorders>
                    <w:tl2br w:val="nil"/>
                    <w:tr2bl w:val="nil"/>
                  </w:tcBorders>
                  <w:vAlign w:val="center"/>
                </w:tcPr>
                <w:p w14:paraId="36378D4E">
                  <w:pPr>
                    <w:pStyle w:val="32"/>
                  </w:pPr>
                </w:p>
              </w:tc>
              <w:tc>
                <w:tcPr>
                  <w:tcW w:w="882" w:type="dxa"/>
                  <w:tcBorders>
                    <w:tl2br w:val="nil"/>
                    <w:tr2bl w:val="nil"/>
                  </w:tcBorders>
                  <w:vAlign w:val="center"/>
                </w:tcPr>
                <w:p w14:paraId="177603EA">
                  <w:pPr>
                    <w:pStyle w:val="32"/>
                  </w:pPr>
                  <w:r>
                    <w:rPr>
                      <w:rFonts w:hint="default"/>
                    </w:rPr>
                    <w:t>CODcr</w:t>
                  </w:r>
                </w:p>
              </w:tc>
              <w:tc>
                <w:tcPr>
                  <w:tcW w:w="915" w:type="dxa"/>
                  <w:tcBorders>
                    <w:tl2br w:val="nil"/>
                    <w:tr2bl w:val="nil"/>
                  </w:tcBorders>
                  <w:vAlign w:val="center"/>
                </w:tcPr>
                <w:p w14:paraId="05613DCA">
                  <w:pPr>
                    <w:pStyle w:val="32"/>
                    <w:rPr>
                      <w:rFonts w:hint="default" w:eastAsia="宋体"/>
                      <w:lang w:val="en-US" w:eastAsia="zh-CN"/>
                    </w:rPr>
                  </w:pPr>
                  <w:r>
                    <w:rPr>
                      <w:rFonts w:hint="eastAsia"/>
                      <w:lang w:val="en-US" w:eastAsia="zh-CN"/>
                    </w:rPr>
                    <w:t>313.4</w:t>
                  </w:r>
                </w:p>
              </w:tc>
              <w:tc>
                <w:tcPr>
                  <w:tcW w:w="975" w:type="dxa"/>
                  <w:tcBorders>
                    <w:tl2br w:val="nil"/>
                    <w:tr2bl w:val="nil"/>
                  </w:tcBorders>
                  <w:vAlign w:val="center"/>
                </w:tcPr>
                <w:p w14:paraId="6167FE08">
                  <w:pPr>
                    <w:pStyle w:val="32"/>
                    <w:ind w:firstLine="0" w:firstLineChars="0"/>
                    <w:rPr>
                      <w:rFonts w:hint="default" w:eastAsia="宋体"/>
                      <w:lang w:val="en-US" w:eastAsia="zh-CN"/>
                    </w:rPr>
                  </w:pPr>
                  <w:r>
                    <w:rPr>
                      <w:rFonts w:hint="eastAsia"/>
                      <w:lang w:val="en-US" w:eastAsia="zh-CN"/>
                    </w:rPr>
                    <w:t>0.134</w:t>
                  </w:r>
                </w:p>
              </w:tc>
              <w:tc>
                <w:tcPr>
                  <w:tcW w:w="1340" w:type="dxa"/>
                  <w:vMerge w:val="continue"/>
                  <w:tcBorders>
                    <w:tl2br w:val="nil"/>
                    <w:tr2bl w:val="nil"/>
                  </w:tcBorders>
                  <w:vAlign w:val="center"/>
                </w:tcPr>
                <w:p w14:paraId="2B1287F3">
                  <w:pPr>
                    <w:pStyle w:val="32"/>
                  </w:pPr>
                </w:p>
              </w:tc>
              <w:tc>
                <w:tcPr>
                  <w:tcW w:w="785" w:type="dxa"/>
                  <w:tcBorders>
                    <w:tl2br w:val="nil"/>
                    <w:tr2bl w:val="nil"/>
                  </w:tcBorders>
                  <w:vAlign w:val="center"/>
                </w:tcPr>
                <w:p w14:paraId="24EFF780">
                  <w:pPr>
                    <w:pStyle w:val="32"/>
                    <w:rPr>
                      <w:rFonts w:hint="default" w:eastAsia="宋体"/>
                      <w:lang w:val="en-US" w:eastAsia="zh-CN"/>
                    </w:rPr>
                  </w:pPr>
                  <w:r>
                    <w:t>--</w:t>
                  </w:r>
                </w:p>
              </w:tc>
              <w:tc>
                <w:tcPr>
                  <w:tcW w:w="928" w:type="dxa"/>
                  <w:tcBorders>
                    <w:tl2br w:val="nil"/>
                    <w:tr2bl w:val="nil"/>
                  </w:tcBorders>
                  <w:vAlign w:val="center"/>
                </w:tcPr>
                <w:p w14:paraId="49A0489C">
                  <w:pPr>
                    <w:pStyle w:val="32"/>
                    <w:rPr>
                      <w:rFonts w:hint="eastAsia" w:ascii="Times New Roman" w:hAnsi="Times New Roman" w:eastAsia="宋体" w:cs="Times New Roman"/>
                    </w:rPr>
                  </w:pPr>
                  <w:r>
                    <w:rPr>
                      <w:rFonts w:hint="eastAsia" w:ascii="Times New Roman" w:hAnsi="Times New Roman" w:eastAsia="宋体" w:cs="Times New Roman"/>
                      <w:lang w:val="en-US" w:eastAsia="zh-CN"/>
                    </w:rPr>
                    <w:t>313.4</w:t>
                  </w:r>
                </w:p>
              </w:tc>
              <w:tc>
                <w:tcPr>
                  <w:tcW w:w="864" w:type="dxa"/>
                  <w:tcBorders>
                    <w:tl2br w:val="nil"/>
                    <w:tr2bl w:val="nil"/>
                  </w:tcBorders>
                  <w:vAlign w:val="center"/>
                </w:tcPr>
                <w:p w14:paraId="40055D44">
                  <w:pPr>
                    <w:pStyle w:val="32"/>
                    <w:ind w:firstLine="0" w:firstLineChars="0"/>
                    <w:rPr>
                      <w:rFonts w:hint="default" w:eastAsia="宋体"/>
                      <w:lang w:val="en-US" w:eastAsia="zh-CN"/>
                    </w:rPr>
                  </w:pPr>
                  <w:r>
                    <w:rPr>
                      <w:rFonts w:hint="eastAsia"/>
                      <w:lang w:val="en-US" w:eastAsia="zh-CN"/>
                    </w:rPr>
                    <w:t>0.134</w:t>
                  </w:r>
                </w:p>
              </w:tc>
              <w:tc>
                <w:tcPr>
                  <w:tcW w:w="864" w:type="dxa"/>
                  <w:vMerge w:val="continue"/>
                  <w:tcBorders>
                    <w:tl2br w:val="nil"/>
                    <w:tr2bl w:val="nil"/>
                  </w:tcBorders>
                  <w:vAlign w:val="center"/>
                </w:tcPr>
                <w:p w14:paraId="1A3647E6">
                  <w:pPr>
                    <w:pStyle w:val="32"/>
                  </w:pPr>
                </w:p>
              </w:tc>
            </w:tr>
            <w:tr w14:paraId="42ED8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tcBorders>
                    <w:tl2br w:val="nil"/>
                    <w:tr2bl w:val="nil"/>
                  </w:tcBorders>
                  <w:vAlign w:val="center"/>
                </w:tcPr>
                <w:p w14:paraId="0F0BF585">
                  <w:pPr>
                    <w:pStyle w:val="32"/>
                  </w:pPr>
                </w:p>
              </w:tc>
              <w:tc>
                <w:tcPr>
                  <w:tcW w:w="882" w:type="dxa"/>
                  <w:tcBorders>
                    <w:tl2br w:val="nil"/>
                    <w:tr2bl w:val="nil"/>
                  </w:tcBorders>
                  <w:vAlign w:val="center"/>
                </w:tcPr>
                <w:p w14:paraId="0D31C26C">
                  <w:pPr>
                    <w:pStyle w:val="32"/>
                  </w:pPr>
                  <w:r>
                    <w:t>BOD</w:t>
                  </w:r>
                  <w:r>
                    <w:rPr>
                      <w:vertAlign w:val="subscript"/>
                    </w:rPr>
                    <w:t>5</w:t>
                  </w:r>
                </w:p>
              </w:tc>
              <w:tc>
                <w:tcPr>
                  <w:tcW w:w="915" w:type="dxa"/>
                  <w:tcBorders>
                    <w:tl2br w:val="nil"/>
                    <w:tr2bl w:val="nil"/>
                  </w:tcBorders>
                  <w:vAlign w:val="center"/>
                </w:tcPr>
                <w:p w14:paraId="2E8C479B">
                  <w:pPr>
                    <w:pStyle w:val="32"/>
                    <w:rPr>
                      <w:rFonts w:hint="default" w:eastAsia="宋体"/>
                      <w:lang w:val="en-US" w:eastAsia="zh-CN"/>
                    </w:rPr>
                  </w:pPr>
                  <w:r>
                    <w:rPr>
                      <w:rFonts w:hint="eastAsia"/>
                      <w:lang w:val="en-US" w:eastAsia="zh-CN"/>
                    </w:rPr>
                    <w:t>114.2</w:t>
                  </w:r>
                </w:p>
              </w:tc>
              <w:tc>
                <w:tcPr>
                  <w:tcW w:w="975" w:type="dxa"/>
                  <w:tcBorders>
                    <w:tl2br w:val="nil"/>
                    <w:tr2bl w:val="nil"/>
                  </w:tcBorders>
                  <w:vAlign w:val="center"/>
                </w:tcPr>
                <w:p w14:paraId="4D0FDE9C">
                  <w:pPr>
                    <w:pStyle w:val="32"/>
                    <w:ind w:firstLine="0" w:firstLineChars="0"/>
                    <w:rPr>
                      <w:rFonts w:hint="default" w:eastAsia="宋体"/>
                      <w:lang w:val="en-US" w:eastAsia="zh-CN"/>
                    </w:rPr>
                  </w:pPr>
                  <w:r>
                    <w:rPr>
                      <w:rFonts w:hint="eastAsia"/>
                      <w:lang w:val="en-US" w:eastAsia="zh-CN"/>
                    </w:rPr>
                    <w:t>0.049</w:t>
                  </w:r>
                </w:p>
              </w:tc>
              <w:tc>
                <w:tcPr>
                  <w:tcW w:w="1340" w:type="dxa"/>
                  <w:vMerge w:val="continue"/>
                  <w:tcBorders>
                    <w:tl2br w:val="nil"/>
                    <w:tr2bl w:val="nil"/>
                  </w:tcBorders>
                  <w:vAlign w:val="center"/>
                </w:tcPr>
                <w:p w14:paraId="6AE80996">
                  <w:pPr>
                    <w:pStyle w:val="32"/>
                  </w:pPr>
                </w:p>
              </w:tc>
              <w:tc>
                <w:tcPr>
                  <w:tcW w:w="785" w:type="dxa"/>
                  <w:tcBorders>
                    <w:tl2br w:val="nil"/>
                    <w:tr2bl w:val="nil"/>
                  </w:tcBorders>
                  <w:vAlign w:val="center"/>
                </w:tcPr>
                <w:p w14:paraId="63FFC1FE">
                  <w:pPr>
                    <w:pStyle w:val="32"/>
                    <w:rPr>
                      <w:rFonts w:hint="default" w:eastAsia="宋体"/>
                      <w:lang w:val="en-US" w:eastAsia="zh-CN"/>
                    </w:rPr>
                  </w:pPr>
                  <w:r>
                    <w:t>--</w:t>
                  </w:r>
                </w:p>
              </w:tc>
              <w:tc>
                <w:tcPr>
                  <w:tcW w:w="928" w:type="dxa"/>
                  <w:tcBorders>
                    <w:tl2br w:val="nil"/>
                    <w:tr2bl w:val="nil"/>
                  </w:tcBorders>
                  <w:vAlign w:val="center"/>
                </w:tcPr>
                <w:p w14:paraId="319E2BDF">
                  <w:pPr>
                    <w:pStyle w:val="32"/>
                    <w:rPr>
                      <w:rFonts w:hint="eastAsia" w:ascii="Times New Roman" w:hAnsi="Times New Roman" w:eastAsia="宋体" w:cs="Times New Roman"/>
                    </w:rPr>
                  </w:pPr>
                  <w:r>
                    <w:rPr>
                      <w:rFonts w:hint="eastAsia" w:ascii="Times New Roman" w:hAnsi="Times New Roman" w:eastAsia="宋体" w:cs="Times New Roman"/>
                      <w:lang w:val="en-US" w:eastAsia="zh-CN"/>
                    </w:rPr>
                    <w:t>114.2</w:t>
                  </w:r>
                </w:p>
              </w:tc>
              <w:tc>
                <w:tcPr>
                  <w:tcW w:w="864" w:type="dxa"/>
                  <w:tcBorders>
                    <w:tl2br w:val="nil"/>
                    <w:tr2bl w:val="nil"/>
                  </w:tcBorders>
                  <w:vAlign w:val="center"/>
                </w:tcPr>
                <w:p w14:paraId="40CFE81C">
                  <w:pPr>
                    <w:pStyle w:val="32"/>
                    <w:ind w:firstLine="0" w:firstLineChars="0"/>
                    <w:rPr>
                      <w:rFonts w:hint="default" w:eastAsia="宋体"/>
                      <w:lang w:val="en-US" w:eastAsia="zh-CN"/>
                    </w:rPr>
                  </w:pPr>
                  <w:r>
                    <w:rPr>
                      <w:rFonts w:hint="eastAsia"/>
                      <w:lang w:val="en-US" w:eastAsia="zh-CN"/>
                    </w:rPr>
                    <w:t>0.049</w:t>
                  </w:r>
                </w:p>
              </w:tc>
              <w:tc>
                <w:tcPr>
                  <w:tcW w:w="864" w:type="dxa"/>
                  <w:vMerge w:val="continue"/>
                  <w:tcBorders>
                    <w:tl2br w:val="nil"/>
                    <w:tr2bl w:val="nil"/>
                  </w:tcBorders>
                  <w:vAlign w:val="center"/>
                </w:tcPr>
                <w:p w14:paraId="2C90B160">
                  <w:pPr>
                    <w:pStyle w:val="32"/>
                  </w:pPr>
                </w:p>
              </w:tc>
            </w:tr>
            <w:tr w14:paraId="472A4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tcBorders>
                    <w:tl2br w:val="nil"/>
                    <w:tr2bl w:val="nil"/>
                  </w:tcBorders>
                  <w:vAlign w:val="center"/>
                </w:tcPr>
                <w:p w14:paraId="021ED2CA">
                  <w:pPr>
                    <w:pStyle w:val="32"/>
                  </w:pPr>
                </w:p>
              </w:tc>
              <w:tc>
                <w:tcPr>
                  <w:tcW w:w="882" w:type="dxa"/>
                  <w:tcBorders>
                    <w:tl2br w:val="nil"/>
                    <w:tr2bl w:val="nil"/>
                  </w:tcBorders>
                  <w:vAlign w:val="center"/>
                </w:tcPr>
                <w:p w14:paraId="2FE98980">
                  <w:pPr>
                    <w:pStyle w:val="32"/>
                  </w:pPr>
                  <w:r>
                    <w:t>SS</w:t>
                  </w:r>
                </w:p>
              </w:tc>
              <w:tc>
                <w:tcPr>
                  <w:tcW w:w="915" w:type="dxa"/>
                  <w:tcBorders>
                    <w:tl2br w:val="nil"/>
                    <w:tr2bl w:val="nil"/>
                  </w:tcBorders>
                  <w:vAlign w:val="center"/>
                </w:tcPr>
                <w:p w14:paraId="70E630FA">
                  <w:pPr>
                    <w:pStyle w:val="32"/>
                    <w:rPr>
                      <w:rFonts w:hint="default" w:eastAsia="宋体"/>
                      <w:lang w:val="en-US" w:eastAsia="zh-CN"/>
                    </w:rPr>
                  </w:pPr>
                  <w:r>
                    <w:rPr>
                      <w:rFonts w:hint="eastAsia"/>
                      <w:lang w:val="en-US" w:eastAsia="zh-CN"/>
                    </w:rPr>
                    <w:t>250</w:t>
                  </w:r>
                </w:p>
              </w:tc>
              <w:tc>
                <w:tcPr>
                  <w:tcW w:w="975" w:type="dxa"/>
                  <w:tcBorders>
                    <w:tl2br w:val="nil"/>
                    <w:tr2bl w:val="nil"/>
                  </w:tcBorders>
                  <w:vAlign w:val="center"/>
                </w:tcPr>
                <w:p w14:paraId="76D33E64">
                  <w:pPr>
                    <w:pStyle w:val="32"/>
                    <w:ind w:firstLine="0" w:firstLineChars="0"/>
                    <w:rPr>
                      <w:rFonts w:hint="default" w:eastAsia="宋体"/>
                      <w:lang w:val="en-US" w:eastAsia="zh-CN"/>
                    </w:rPr>
                  </w:pPr>
                  <w:r>
                    <w:rPr>
                      <w:rFonts w:hint="eastAsia"/>
                      <w:lang w:val="en-US" w:eastAsia="zh-CN"/>
                    </w:rPr>
                    <w:t>0.107</w:t>
                  </w:r>
                </w:p>
              </w:tc>
              <w:tc>
                <w:tcPr>
                  <w:tcW w:w="1340" w:type="dxa"/>
                  <w:vMerge w:val="continue"/>
                  <w:tcBorders>
                    <w:tl2br w:val="nil"/>
                    <w:tr2bl w:val="nil"/>
                  </w:tcBorders>
                  <w:vAlign w:val="center"/>
                </w:tcPr>
                <w:p w14:paraId="0B0551FF">
                  <w:pPr>
                    <w:pStyle w:val="32"/>
                  </w:pPr>
                </w:p>
              </w:tc>
              <w:tc>
                <w:tcPr>
                  <w:tcW w:w="785" w:type="dxa"/>
                  <w:tcBorders>
                    <w:tl2br w:val="nil"/>
                    <w:tr2bl w:val="nil"/>
                  </w:tcBorders>
                  <w:vAlign w:val="center"/>
                </w:tcPr>
                <w:p w14:paraId="12052117">
                  <w:pPr>
                    <w:pStyle w:val="32"/>
                    <w:rPr>
                      <w:rFonts w:hint="default" w:eastAsia="宋体"/>
                      <w:lang w:val="en-US" w:eastAsia="zh-CN"/>
                    </w:rPr>
                  </w:pPr>
                  <w:r>
                    <w:rPr>
                      <w:rFonts w:hint="eastAsia"/>
                      <w:lang w:val="en-US" w:eastAsia="zh-CN"/>
                    </w:rPr>
                    <w:t>20</w:t>
                  </w:r>
                </w:p>
              </w:tc>
              <w:tc>
                <w:tcPr>
                  <w:tcW w:w="928" w:type="dxa"/>
                  <w:tcBorders>
                    <w:tl2br w:val="nil"/>
                    <w:tr2bl w:val="nil"/>
                  </w:tcBorders>
                  <w:vAlign w:val="center"/>
                </w:tcPr>
                <w:p w14:paraId="4CF7D4B0">
                  <w:pPr>
                    <w:pStyle w:val="32"/>
                    <w:rPr>
                      <w:rFonts w:hint="eastAsia" w:ascii="Times New Roman" w:hAnsi="Times New Roman" w:eastAsia="宋体" w:cs="Times New Roman"/>
                    </w:rPr>
                  </w:pPr>
                  <w:r>
                    <w:rPr>
                      <w:rFonts w:hint="eastAsia" w:ascii="Times New Roman" w:hAnsi="Times New Roman" w:eastAsia="宋体" w:cs="Times New Roman"/>
                      <w:lang w:val="en-US" w:eastAsia="zh-CN"/>
                    </w:rPr>
                    <w:t>200</w:t>
                  </w:r>
                </w:p>
              </w:tc>
              <w:tc>
                <w:tcPr>
                  <w:tcW w:w="864" w:type="dxa"/>
                  <w:tcBorders>
                    <w:tl2br w:val="nil"/>
                    <w:tr2bl w:val="nil"/>
                  </w:tcBorders>
                  <w:vAlign w:val="center"/>
                </w:tcPr>
                <w:p w14:paraId="5C8080FB">
                  <w:pPr>
                    <w:pStyle w:val="32"/>
                    <w:rPr>
                      <w:rFonts w:hint="default" w:eastAsia="宋体"/>
                      <w:lang w:val="en-US" w:eastAsia="zh-CN"/>
                    </w:rPr>
                  </w:pPr>
                  <w:r>
                    <w:rPr>
                      <w:rFonts w:hint="eastAsia"/>
                      <w:lang w:val="en-US" w:eastAsia="zh-CN"/>
                    </w:rPr>
                    <w:t>0.085</w:t>
                  </w:r>
                </w:p>
              </w:tc>
              <w:tc>
                <w:tcPr>
                  <w:tcW w:w="864" w:type="dxa"/>
                  <w:vMerge w:val="continue"/>
                  <w:tcBorders>
                    <w:tl2br w:val="nil"/>
                    <w:tr2bl w:val="nil"/>
                  </w:tcBorders>
                  <w:vAlign w:val="center"/>
                </w:tcPr>
                <w:p w14:paraId="6C4948C3">
                  <w:pPr>
                    <w:pStyle w:val="32"/>
                  </w:pPr>
                </w:p>
              </w:tc>
            </w:tr>
            <w:tr w14:paraId="38AE3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tcBorders>
                    <w:tl2br w:val="nil"/>
                    <w:tr2bl w:val="nil"/>
                  </w:tcBorders>
                  <w:vAlign w:val="center"/>
                </w:tcPr>
                <w:p w14:paraId="5D3DAC88">
                  <w:pPr>
                    <w:pStyle w:val="32"/>
                  </w:pPr>
                </w:p>
              </w:tc>
              <w:tc>
                <w:tcPr>
                  <w:tcW w:w="882" w:type="dxa"/>
                  <w:tcBorders>
                    <w:tl2br w:val="nil"/>
                    <w:tr2bl w:val="nil"/>
                  </w:tcBorders>
                  <w:vAlign w:val="center"/>
                </w:tcPr>
                <w:p w14:paraId="5028F908">
                  <w:pPr>
                    <w:pStyle w:val="32"/>
                  </w:pPr>
                  <w:r>
                    <w:rPr>
                      <w:rFonts w:hint="eastAsia"/>
                    </w:rPr>
                    <w:t>氨氮</w:t>
                  </w:r>
                </w:p>
              </w:tc>
              <w:tc>
                <w:tcPr>
                  <w:tcW w:w="915" w:type="dxa"/>
                  <w:tcBorders>
                    <w:tl2br w:val="nil"/>
                    <w:tr2bl w:val="nil"/>
                  </w:tcBorders>
                  <w:vAlign w:val="center"/>
                </w:tcPr>
                <w:p w14:paraId="139E9892">
                  <w:pPr>
                    <w:pStyle w:val="32"/>
                    <w:rPr>
                      <w:rFonts w:hint="default" w:eastAsia="宋体"/>
                      <w:lang w:val="en-US" w:eastAsia="zh-CN"/>
                    </w:rPr>
                  </w:pPr>
                  <w:r>
                    <w:rPr>
                      <w:rFonts w:hint="eastAsia"/>
                      <w:lang w:val="en-US" w:eastAsia="zh-CN"/>
                    </w:rPr>
                    <w:t>47.7</w:t>
                  </w:r>
                </w:p>
              </w:tc>
              <w:tc>
                <w:tcPr>
                  <w:tcW w:w="975" w:type="dxa"/>
                  <w:tcBorders>
                    <w:tl2br w:val="nil"/>
                    <w:tr2bl w:val="nil"/>
                  </w:tcBorders>
                  <w:vAlign w:val="center"/>
                </w:tcPr>
                <w:p w14:paraId="3FAC23D8">
                  <w:pPr>
                    <w:pStyle w:val="32"/>
                    <w:ind w:firstLine="0" w:firstLineChars="0"/>
                    <w:rPr>
                      <w:rFonts w:hint="default" w:eastAsia="宋体"/>
                      <w:lang w:val="en-US" w:eastAsia="zh-CN"/>
                    </w:rPr>
                  </w:pPr>
                  <w:r>
                    <w:rPr>
                      <w:rFonts w:hint="eastAsia"/>
                      <w:lang w:val="en-US" w:eastAsia="zh-CN"/>
                    </w:rPr>
                    <w:t>0.020</w:t>
                  </w:r>
                </w:p>
              </w:tc>
              <w:tc>
                <w:tcPr>
                  <w:tcW w:w="1340" w:type="dxa"/>
                  <w:vMerge w:val="continue"/>
                  <w:tcBorders>
                    <w:tl2br w:val="nil"/>
                    <w:tr2bl w:val="nil"/>
                  </w:tcBorders>
                  <w:vAlign w:val="center"/>
                </w:tcPr>
                <w:p w14:paraId="39DC9390">
                  <w:pPr>
                    <w:pStyle w:val="32"/>
                  </w:pPr>
                </w:p>
              </w:tc>
              <w:tc>
                <w:tcPr>
                  <w:tcW w:w="785" w:type="dxa"/>
                  <w:tcBorders>
                    <w:tl2br w:val="nil"/>
                    <w:tr2bl w:val="nil"/>
                  </w:tcBorders>
                  <w:vAlign w:val="center"/>
                </w:tcPr>
                <w:p w14:paraId="499DD4A8">
                  <w:pPr>
                    <w:pStyle w:val="32"/>
                    <w:rPr>
                      <w:rFonts w:hint="eastAsia" w:eastAsia="宋体"/>
                      <w:lang w:val="en-US" w:eastAsia="zh-CN"/>
                    </w:rPr>
                  </w:pPr>
                  <w:r>
                    <w:rPr>
                      <w:rFonts w:hint="eastAsia"/>
                      <w:lang w:val="en-US" w:eastAsia="zh-CN"/>
                    </w:rPr>
                    <w:t>7</w:t>
                  </w:r>
                </w:p>
              </w:tc>
              <w:tc>
                <w:tcPr>
                  <w:tcW w:w="928" w:type="dxa"/>
                  <w:tcBorders>
                    <w:tl2br w:val="nil"/>
                    <w:tr2bl w:val="nil"/>
                  </w:tcBorders>
                  <w:vAlign w:val="center"/>
                </w:tcPr>
                <w:p w14:paraId="47D70E8A">
                  <w:pPr>
                    <w:pStyle w:val="32"/>
                    <w:rPr>
                      <w:rFonts w:hint="default" w:ascii="Times New Roman" w:hAnsi="Times New Roman" w:eastAsia="宋体" w:cs="Times New Roman"/>
                      <w:lang w:val="en-US"/>
                    </w:rPr>
                  </w:pPr>
                  <w:r>
                    <w:rPr>
                      <w:rFonts w:hint="eastAsia" w:ascii="Times New Roman" w:hAnsi="Times New Roman" w:eastAsia="宋体" w:cs="Times New Roman"/>
                      <w:lang w:val="en-US" w:eastAsia="zh-CN"/>
                    </w:rPr>
                    <w:t>44.4</w:t>
                  </w:r>
                </w:p>
              </w:tc>
              <w:tc>
                <w:tcPr>
                  <w:tcW w:w="864" w:type="dxa"/>
                  <w:tcBorders>
                    <w:tl2br w:val="nil"/>
                    <w:tr2bl w:val="nil"/>
                  </w:tcBorders>
                  <w:vAlign w:val="center"/>
                </w:tcPr>
                <w:p w14:paraId="6E1FBEB6">
                  <w:pPr>
                    <w:pStyle w:val="32"/>
                    <w:rPr>
                      <w:rFonts w:hint="default" w:eastAsia="宋体"/>
                      <w:lang w:val="en-US" w:eastAsia="zh-CN"/>
                    </w:rPr>
                  </w:pPr>
                  <w:r>
                    <w:rPr>
                      <w:rFonts w:hint="eastAsia"/>
                      <w:lang w:val="en-US" w:eastAsia="zh-CN"/>
                    </w:rPr>
                    <w:t>0.019</w:t>
                  </w:r>
                </w:p>
              </w:tc>
              <w:tc>
                <w:tcPr>
                  <w:tcW w:w="864" w:type="dxa"/>
                  <w:vMerge w:val="continue"/>
                  <w:tcBorders>
                    <w:tl2br w:val="nil"/>
                    <w:tr2bl w:val="nil"/>
                  </w:tcBorders>
                  <w:vAlign w:val="center"/>
                </w:tcPr>
                <w:p w14:paraId="3A5817D8">
                  <w:pPr>
                    <w:pStyle w:val="32"/>
                  </w:pPr>
                </w:p>
              </w:tc>
            </w:tr>
          </w:tbl>
          <w:p w14:paraId="51CC29F0">
            <w:pPr>
              <w:pStyle w:val="33"/>
              <w:keepNext w:val="0"/>
              <w:keepLines w:val="0"/>
              <w:pageBreakBefore w:val="0"/>
              <w:widowControl w:val="0"/>
              <w:kinsoku/>
              <w:wordWrap/>
              <w:overflowPunct/>
              <w:topLinePunct w:val="0"/>
              <w:autoSpaceDE/>
              <w:autoSpaceDN/>
              <w:bidi w:val="0"/>
              <w:adjustRightInd w:val="0"/>
              <w:snapToGrid/>
              <w:spacing w:line="240" w:lineRule="auto"/>
              <w:textAlignment w:val="baseline"/>
            </w:pPr>
            <w:r>
              <w:rPr>
                <w:rFonts w:hint="eastAsia" w:ascii="Times New Roman" w:hAnsi="Times New Roman" w:eastAsia="宋体" w:cs="Times New Roman"/>
                <w:b/>
                <w:snapToGrid w:val="0"/>
                <w:sz w:val="21"/>
                <w:szCs w:val="22"/>
                <w:lang w:val="en-US" w:eastAsia="zh-CN" w:bidi="ar-SA"/>
              </w:rPr>
              <w:t>表4</w:t>
            </w:r>
            <w:r>
              <w:rPr>
                <w:rFonts w:hint="eastAsia" w:ascii="Times New Roman" w:eastAsia="宋体" w:cs="Times New Roman"/>
                <w:b/>
                <w:snapToGrid w:val="0"/>
                <w:sz w:val="21"/>
                <w:szCs w:val="22"/>
                <w:lang w:val="en-US" w:eastAsia="zh-CN" w:bidi="ar-SA"/>
              </w:rPr>
              <w:t>-6</w:t>
            </w:r>
            <w:r>
              <w:rPr>
                <w:rFonts w:hint="eastAsia" w:ascii="Times New Roman" w:hAnsi="Times New Roman" w:eastAsia="宋体" w:cs="Times New Roman"/>
                <w:b/>
                <w:snapToGrid w:val="0"/>
                <w:sz w:val="21"/>
                <w:szCs w:val="22"/>
                <w:lang w:val="en-US" w:eastAsia="zh-CN" w:bidi="ar-SA"/>
              </w:rPr>
              <w:t xml:space="preserve">  废水排放口基本情况一览表</w:t>
            </w:r>
          </w:p>
          <w:tbl>
            <w:tblPr>
              <w:tblStyle w:val="20"/>
              <w:tblW w:w="82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40"/>
              <w:gridCol w:w="581"/>
              <w:gridCol w:w="1590"/>
              <w:gridCol w:w="855"/>
              <w:gridCol w:w="1027"/>
              <w:gridCol w:w="710"/>
              <w:gridCol w:w="707"/>
              <w:gridCol w:w="841"/>
              <w:gridCol w:w="718"/>
            </w:tblGrid>
            <w:tr w14:paraId="658E3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restart"/>
                  <w:tcBorders>
                    <w:tl2br w:val="nil"/>
                    <w:tr2bl w:val="nil"/>
                  </w:tcBorders>
                  <w:noWrap w:val="0"/>
                  <w:vAlign w:val="center"/>
                </w:tcPr>
                <w:p w14:paraId="1DBCB073">
                  <w:pPr>
                    <w:pStyle w:val="32"/>
                    <w:bidi w:val="0"/>
                    <w:rPr>
                      <w:rFonts w:hint="default"/>
                    </w:rPr>
                  </w:pPr>
                  <w:r>
                    <w:rPr>
                      <w:rFonts w:hint="default"/>
                    </w:rPr>
                    <w:t>污染源</w:t>
                  </w:r>
                </w:p>
              </w:tc>
              <w:tc>
                <w:tcPr>
                  <w:tcW w:w="2711" w:type="dxa"/>
                  <w:gridSpan w:val="3"/>
                  <w:tcBorders>
                    <w:tl2br w:val="nil"/>
                    <w:tr2bl w:val="nil"/>
                  </w:tcBorders>
                  <w:noWrap w:val="0"/>
                  <w:vAlign w:val="center"/>
                </w:tcPr>
                <w:p w14:paraId="4F5BDF58">
                  <w:pPr>
                    <w:pStyle w:val="32"/>
                    <w:bidi w:val="0"/>
                    <w:rPr>
                      <w:rFonts w:hint="default"/>
                    </w:rPr>
                  </w:pPr>
                  <w:r>
                    <w:rPr>
                      <w:rFonts w:hint="default"/>
                    </w:rPr>
                    <w:t>排放口基本情况</w:t>
                  </w:r>
                </w:p>
              </w:tc>
              <w:tc>
                <w:tcPr>
                  <w:tcW w:w="855" w:type="dxa"/>
                  <w:vMerge w:val="restart"/>
                  <w:tcBorders>
                    <w:tl2br w:val="nil"/>
                    <w:tr2bl w:val="nil"/>
                  </w:tcBorders>
                  <w:noWrap w:val="0"/>
                  <w:vAlign w:val="center"/>
                </w:tcPr>
                <w:p w14:paraId="42D5ADED">
                  <w:pPr>
                    <w:pStyle w:val="32"/>
                    <w:bidi w:val="0"/>
                    <w:rPr>
                      <w:rFonts w:hint="default"/>
                    </w:rPr>
                  </w:pPr>
                  <w:r>
                    <w:rPr>
                      <w:rFonts w:hint="default"/>
                    </w:rPr>
                    <w:t>主要污染物</w:t>
                  </w:r>
                </w:p>
              </w:tc>
              <w:tc>
                <w:tcPr>
                  <w:tcW w:w="1027" w:type="dxa"/>
                  <w:vMerge w:val="restart"/>
                  <w:tcBorders>
                    <w:tl2br w:val="nil"/>
                    <w:tr2bl w:val="nil"/>
                  </w:tcBorders>
                  <w:noWrap w:val="0"/>
                  <w:vAlign w:val="center"/>
                </w:tcPr>
                <w:p w14:paraId="23CF0CA4">
                  <w:pPr>
                    <w:pStyle w:val="32"/>
                    <w:bidi w:val="0"/>
                    <w:rPr>
                      <w:rFonts w:hint="default"/>
                    </w:rPr>
                  </w:pPr>
                  <w:r>
                    <w:rPr>
                      <w:rFonts w:hint="default"/>
                    </w:rPr>
                    <w:t>排放标准</w:t>
                  </w:r>
                </w:p>
                <w:p w14:paraId="0BA119A9">
                  <w:pPr>
                    <w:pStyle w:val="32"/>
                    <w:bidi w:val="0"/>
                    <w:rPr>
                      <w:rFonts w:hint="default"/>
                    </w:rPr>
                  </w:pPr>
                  <w:r>
                    <w:rPr>
                      <w:rFonts w:hint="eastAsia"/>
                    </w:rPr>
                    <w:t>（</w:t>
                  </w:r>
                  <w:r>
                    <w:rPr>
                      <w:rFonts w:hint="default"/>
                    </w:rPr>
                    <w:t>mg/L</w:t>
                  </w:r>
                  <w:r>
                    <w:rPr>
                      <w:rFonts w:hint="eastAsia"/>
                    </w:rPr>
                    <w:t>）</w:t>
                  </w:r>
                </w:p>
              </w:tc>
              <w:tc>
                <w:tcPr>
                  <w:tcW w:w="710" w:type="dxa"/>
                  <w:vMerge w:val="restart"/>
                  <w:tcBorders>
                    <w:tl2br w:val="nil"/>
                    <w:tr2bl w:val="nil"/>
                  </w:tcBorders>
                  <w:noWrap w:val="0"/>
                  <w:vAlign w:val="center"/>
                </w:tcPr>
                <w:p w14:paraId="1E150AF2">
                  <w:pPr>
                    <w:pStyle w:val="32"/>
                    <w:bidi w:val="0"/>
                    <w:rPr>
                      <w:rFonts w:hint="default"/>
                    </w:rPr>
                  </w:pPr>
                  <w:r>
                    <w:rPr>
                      <w:rFonts w:hint="default"/>
                    </w:rPr>
                    <w:t>排放方式</w:t>
                  </w:r>
                </w:p>
              </w:tc>
              <w:tc>
                <w:tcPr>
                  <w:tcW w:w="707" w:type="dxa"/>
                  <w:vMerge w:val="restart"/>
                  <w:tcBorders>
                    <w:tl2br w:val="nil"/>
                    <w:tr2bl w:val="nil"/>
                  </w:tcBorders>
                  <w:noWrap w:val="0"/>
                  <w:vAlign w:val="center"/>
                </w:tcPr>
                <w:p w14:paraId="4F636A12">
                  <w:pPr>
                    <w:pStyle w:val="32"/>
                    <w:bidi w:val="0"/>
                    <w:rPr>
                      <w:rFonts w:hint="default"/>
                    </w:rPr>
                  </w:pPr>
                  <w:r>
                    <w:rPr>
                      <w:rFonts w:hint="default"/>
                    </w:rPr>
                    <w:t>排放规律</w:t>
                  </w:r>
                </w:p>
              </w:tc>
              <w:tc>
                <w:tcPr>
                  <w:tcW w:w="841" w:type="dxa"/>
                  <w:vMerge w:val="restart"/>
                  <w:tcBorders>
                    <w:tl2br w:val="nil"/>
                    <w:tr2bl w:val="nil"/>
                  </w:tcBorders>
                  <w:noWrap w:val="0"/>
                  <w:vAlign w:val="center"/>
                </w:tcPr>
                <w:p w14:paraId="3F20BB6B">
                  <w:pPr>
                    <w:pStyle w:val="32"/>
                    <w:bidi w:val="0"/>
                    <w:rPr>
                      <w:rFonts w:hint="default"/>
                    </w:rPr>
                  </w:pPr>
                  <w:r>
                    <w:rPr>
                      <w:rFonts w:hint="default"/>
                    </w:rPr>
                    <w:t>排放去向</w:t>
                  </w:r>
                </w:p>
              </w:tc>
              <w:tc>
                <w:tcPr>
                  <w:tcW w:w="718" w:type="dxa"/>
                  <w:vMerge w:val="restart"/>
                  <w:tcBorders>
                    <w:tl2br w:val="nil"/>
                    <w:tr2bl w:val="nil"/>
                  </w:tcBorders>
                  <w:noWrap w:val="0"/>
                  <w:vAlign w:val="center"/>
                </w:tcPr>
                <w:p w14:paraId="411B934F">
                  <w:pPr>
                    <w:pStyle w:val="32"/>
                    <w:bidi w:val="0"/>
                    <w:rPr>
                      <w:rFonts w:hint="default"/>
                    </w:rPr>
                  </w:pPr>
                  <w:r>
                    <w:rPr>
                      <w:rFonts w:hint="default"/>
                    </w:rPr>
                    <w:t>排放口类型</w:t>
                  </w:r>
                </w:p>
              </w:tc>
            </w:tr>
            <w:tr w14:paraId="4FC6D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continue"/>
                  <w:tcBorders>
                    <w:tl2br w:val="nil"/>
                    <w:tr2bl w:val="nil"/>
                  </w:tcBorders>
                  <w:noWrap w:val="0"/>
                  <w:vAlign w:val="center"/>
                </w:tcPr>
                <w:p w14:paraId="2E8B803F">
                  <w:pPr>
                    <w:pStyle w:val="32"/>
                    <w:bidi w:val="0"/>
                    <w:rPr>
                      <w:rFonts w:hint="default"/>
                    </w:rPr>
                  </w:pPr>
                </w:p>
              </w:tc>
              <w:tc>
                <w:tcPr>
                  <w:tcW w:w="540" w:type="dxa"/>
                  <w:tcBorders>
                    <w:tl2br w:val="nil"/>
                    <w:tr2bl w:val="nil"/>
                  </w:tcBorders>
                  <w:noWrap w:val="0"/>
                  <w:vAlign w:val="center"/>
                </w:tcPr>
                <w:p w14:paraId="23F4D185">
                  <w:pPr>
                    <w:pStyle w:val="32"/>
                    <w:bidi w:val="0"/>
                    <w:rPr>
                      <w:rFonts w:hint="default"/>
                    </w:rPr>
                  </w:pPr>
                  <w:r>
                    <w:rPr>
                      <w:rFonts w:hint="default"/>
                    </w:rPr>
                    <w:t>名称</w:t>
                  </w:r>
                </w:p>
              </w:tc>
              <w:tc>
                <w:tcPr>
                  <w:tcW w:w="581" w:type="dxa"/>
                  <w:tcBorders>
                    <w:tl2br w:val="nil"/>
                    <w:tr2bl w:val="nil"/>
                  </w:tcBorders>
                  <w:noWrap w:val="0"/>
                  <w:vAlign w:val="center"/>
                </w:tcPr>
                <w:p w14:paraId="581C2F32">
                  <w:pPr>
                    <w:pStyle w:val="32"/>
                    <w:bidi w:val="0"/>
                    <w:rPr>
                      <w:rFonts w:hint="default"/>
                    </w:rPr>
                  </w:pPr>
                  <w:r>
                    <w:rPr>
                      <w:rFonts w:hint="default"/>
                    </w:rPr>
                    <w:t>编号</w:t>
                  </w:r>
                </w:p>
              </w:tc>
              <w:tc>
                <w:tcPr>
                  <w:tcW w:w="1590" w:type="dxa"/>
                  <w:tcBorders>
                    <w:tl2br w:val="nil"/>
                    <w:tr2bl w:val="nil"/>
                  </w:tcBorders>
                  <w:noWrap w:val="0"/>
                  <w:vAlign w:val="center"/>
                </w:tcPr>
                <w:p w14:paraId="6F413268">
                  <w:pPr>
                    <w:pStyle w:val="32"/>
                    <w:bidi w:val="0"/>
                    <w:rPr>
                      <w:rFonts w:hint="default"/>
                    </w:rPr>
                  </w:pPr>
                  <w:r>
                    <w:rPr>
                      <w:rFonts w:hint="default"/>
                    </w:rPr>
                    <w:t>坐标</w:t>
                  </w:r>
                </w:p>
              </w:tc>
              <w:tc>
                <w:tcPr>
                  <w:tcW w:w="855" w:type="dxa"/>
                  <w:vMerge w:val="continue"/>
                  <w:tcBorders>
                    <w:tl2br w:val="nil"/>
                    <w:tr2bl w:val="nil"/>
                  </w:tcBorders>
                  <w:noWrap w:val="0"/>
                  <w:vAlign w:val="center"/>
                </w:tcPr>
                <w:p w14:paraId="70B0DEFC">
                  <w:pPr>
                    <w:pStyle w:val="32"/>
                    <w:bidi w:val="0"/>
                    <w:rPr>
                      <w:rFonts w:hint="default"/>
                    </w:rPr>
                  </w:pPr>
                </w:p>
              </w:tc>
              <w:tc>
                <w:tcPr>
                  <w:tcW w:w="1027" w:type="dxa"/>
                  <w:vMerge w:val="continue"/>
                  <w:tcBorders>
                    <w:tl2br w:val="nil"/>
                    <w:tr2bl w:val="nil"/>
                  </w:tcBorders>
                  <w:noWrap w:val="0"/>
                  <w:vAlign w:val="center"/>
                </w:tcPr>
                <w:p w14:paraId="4F7A06DE">
                  <w:pPr>
                    <w:pStyle w:val="32"/>
                    <w:bidi w:val="0"/>
                    <w:rPr>
                      <w:rFonts w:hint="default"/>
                    </w:rPr>
                  </w:pPr>
                </w:p>
              </w:tc>
              <w:tc>
                <w:tcPr>
                  <w:tcW w:w="710" w:type="dxa"/>
                  <w:vMerge w:val="continue"/>
                  <w:tcBorders>
                    <w:tl2br w:val="nil"/>
                    <w:tr2bl w:val="nil"/>
                  </w:tcBorders>
                  <w:noWrap w:val="0"/>
                  <w:vAlign w:val="center"/>
                </w:tcPr>
                <w:p w14:paraId="61036EAD">
                  <w:pPr>
                    <w:pStyle w:val="32"/>
                    <w:bidi w:val="0"/>
                    <w:rPr>
                      <w:rFonts w:hint="default"/>
                    </w:rPr>
                  </w:pPr>
                </w:p>
              </w:tc>
              <w:tc>
                <w:tcPr>
                  <w:tcW w:w="707" w:type="dxa"/>
                  <w:vMerge w:val="continue"/>
                  <w:tcBorders>
                    <w:tl2br w:val="nil"/>
                    <w:tr2bl w:val="nil"/>
                  </w:tcBorders>
                  <w:noWrap w:val="0"/>
                  <w:vAlign w:val="center"/>
                </w:tcPr>
                <w:p w14:paraId="4A26B520">
                  <w:pPr>
                    <w:pStyle w:val="32"/>
                    <w:bidi w:val="0"/>
                    <w:rPr>
                      <w:rFonts w:hint="default"/>
                    </w:rPr>
                  </w:pPr>
                </w:p>
              </w:tc>
              <w:tc>
                <w:tcPr>
                  <w:tcW w:w="841" w:type="dxa"/>
                  <w:vMerge w:val="continue"/>
                  <w:tcBorders>
                    <w:tl2br w:val="nil"/>
                    <w:tr2bl w:val="nil"/>
                  </w:tcBorders>
                  <w:noWrap w:val="0"/>
                  <w:vAlign w:val="center"/>
                </w:tcPr>
                <w:p w14:paraId="4174F939">
                  <w:pPr>
                    <w:pStyle w:val="32"/>
                    <w:bidi w:val="0"/>
                    <w:rPr>
                      <w:rFonts w:hint="default"/>
                    </w:rPr>
                  </w:pPr>
                </w:p>
              </w:tc>
              <w:tc>
                <w:tcPr>
                  <w:tcW w:w="718" w:type="dxa"/>
                  <w:vMerge w:val="continue"/>
                  <w:tcBorders>
                    <w:tl2br w:val="nil"/>
                    <w:tr2bl w:val="nil"/>
                  </w:tcBorders>
                  <w:noWrap w:val="0"/>
                  <w:vAlign w:val="center"/>
                </w:tcPr>
                <w:p w14:paraId="524D8D05">
                  <w:pPr>
                    <w:pStyle w:val="32"/>
                    <w:bidi w:val="0"/>
                    <w:rPr>
                      <w:rFonts w:hint="default"/>
                    </w:rPr>
                  </w:pPr>
                </w:p>
              </w:tc>
            </w:tr>
            <w:tr w14:paraId="1E30C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restart"/>
                  <w:tcBorders>
                    <w:tl2br w:val="nil"/>
                    <w:tr2bl w:val="nil"/>
                  </w:tcBorders>
                  <w:noWrap w:val="0"/>
                  <w:vAlign w:val="center"/>
                </w:tcPr>
                <w:p w14:paraId="014CB5E9">
                  <w:pPr>
                    <w:pStyle w:val="32"/>
                    <w:bidi w:val="0"/>
                    <w:rPr>
                      <w:rFonts w:hint="default"/>
                    </w:rPr>
                  </w:pPr>
                  <w:r>
                    <w:rPr>
                      <w:rFonts w:hint="eastAsia"/>
                    </w:rPr>
                    <w:t>生活</w:t>
                  </w:r>
                  <w:r>
                    <w:rPr>
                      <w:rFonts w:hint="default"/>
                    </w:rPr>
                    <w:t>污水</w:t>
                  </w:r>
                </w:p>
              </w:tc>
              <w:tc>
                <w:tcPr>
                  <w:tcW w:w="540" w:type="dxa"/>
                  <w:vMerge w:val="restart"/>
                  <w:tcBorders>
                    <w:tl2br w:val="nil"/>
                    <w:tr2bl w:val="nil"/>
                  </w:tcBorders>
                  <w:noWrap w:val="0"/>
                  <w:vAlign w:val="center"/>
                </w:tcPr>
                <w:p w14:paraId="4F4FADF4">
                  <w:pPr>
                    <w:pStyle w:val="32"/>
                    <w:bidi w:val="0"/>
                    <w:rPr>
                      <w:rFonts w:hint="default"/>
                    </w:rPr>
                  </w:pPr>
                  <w:r>
                    <w:rPr>
                      <w:rFonts w:hint="eastAsia"/>
                    </w:rPr>
                    <w:t>化粪池</w:t>
                  </w:r>
                </w:p>
              </w:tc>
              <w:tc>
                <w:tcPr>
                  <w:tcW w:w="581" w:type="dxa"/>
                  <w:vMerge w:val="restart"/>
                  <w:tcBorders>
                    <w:tl2br w:val="nil"/>
                    <w:tr2bl w:val="nil"/>
                  </w:tcBorders>
                  <w:noWrap w:val="0"/>
                  <w:vAlign w:val="center"/>
                </w:tcPr>
                <w:p w14:paraId="2418F8BD">
                  <w:pPr>
                    <w:pStyle w:val="32"/>
                    <w:bidi w:val="0"/>
                    <w:rPr>
                      <w:rFonts w:hint="default"/>
                    </w:rPr>
                  </w:pPr>
                  <w:r>
                    <w:rPr>
                      <w:rFonts w:hint="default"/>
                    </w:rPr>
                    <w:t>DW001</w:t>
                  </w:r>
                </w:p>
              </w:tc>
              <w:tc>
                <w:tcPr>
                  <w:tcW w:w="1590" w:type="dxa"/>
                  <w:vMerge w:val="restart"/>
                  <w:tcBorders>
                    <w:tl2br w:val="nil"/>
                    <w:tr2bl w:val="nil"/>
                  </w:tcBorders>
                  <w:noWrap w:val="0"/>
                  <w:vAlign w:val="center"/>
                </w:tcPr>
                <w:p w14:paraId="7B0E2BFD">
                  <w:pPr>
                    <w:pStyle w:val="32"/>
                    <w:bidi w:val="0"/>
                    <w:rPr>
                      <w:rFonts w:hint="default"/>
                      <w:lang w:val="en-GB"/>
                    </w:rPr>
                  </w:pPr>
                  <w:r>
                    <w:rPr>
                      <w:rFonts w:hint="default"/>
                      <w:lang w:val="en-GB"/>
                    </w:rPr>
                    <w:t>8</w:t>
                  </w:r>
                  <w:r>
                    <w:rPr>
                      <w:rFonts w:hint="eastAsia"/>
                      <w:lang w:val="en-US" w:eastAsia="zh-CN"/>
                    </w:rPr>
                    <w:t>6</w:t>
                  </w:r>
                  <w:r>
                    <w:rPr>
                      <w:rFonts w:hint="default"/>
                      <w:lang w:val="en-GB"/>
                    </w:rPr>
                    <w:t>°</w:t>
                  </w:r>
                  <w:r>
                    <w:rPr>
                      <w:rFonts w:hint="eastAsia"/>
                      <w:lang w:val="en-US" w:eastAsia="zh-CN"/>
                    </w:rPr>
                    <w:t>15</w:t>
                  </w:r>
                  <w:r>
                    <w:rPr>
                      <w:rFonts w:hint="default"/>
                      <w:lang w:val="en-GB"/>
                    </w:rPr>
                    <w:t>'</w:t>
                  </w:r>
                  <w:r>
                    <w:rPr>
                      <w:rFonts w:hint="eastAsia"/>
                      <w:lang w:val="en-US" w:eastAsia="zh-CN"/>
                    </w:rPr>
                    <w:t>6.52</w:t>
                  </w:r>
                  <w:r>
                    <w:rPr>
                      <w:rFonts w:hint="default"/>
                      <w:lang w:val="en-GB"/>
                    </w:rPr>
                    <w:t>"E</w:t>
                  </w:r>
                </w:p>
                <w:p w14:paraId="4C1D3B42">
                  <w:pPr>
                    <w:pStyle w:val="32"/>
                    <w:bidi w:val="0"/>
                    <w:rPr>
                      <w:rFonts w:hint="eastAsia"/>
                      <w:lang w:val="en-US" w:eastAsia="zh-CN"/>
                    </w:rPr>
                  </w:pPr>
                  <w:r>
                    <w:rPr>
                      <w:rFonts w:hint="default"/>
                      <w:lang w:val="en-GB"/>
                    </w:rPr>
                    <w:t>4</w:t>
                  </w:r>
                  <w:r>
                    <w:rPr>
                      <w:rFonts w:hint="eastAsia"/>
                      <w:lang w:val="en-US" w:eastAsia="zh-CN"/>
                    </w:rPr>
                    <w:t>1</w:t>
                  </w:r>
                  <w:r>
                    <w:rPr>
                      <w:rFonts w:hint="default"/>
                      <w:lang w:val="en-GB"/>
                    </w:rPr>
                    <w:t>°4</w:t>
                  </w:r>
                  <w:r>
                    <w:rPr>
                      <w:rFonts w:hint="eastAsia"/>
                      <w:lang w:val="en-US" w:eastAsia="zh-CN"/>
                    </w:rPr>
                    <w:t>3</w:t>
                  </w:r>
                  <w:r>
                    <w:rPr>
                      <w:rFonts w:hint="default"/>
                      <w:lang w:val="en-GB"/>
                    </w:rPr>
                    <w:t>'</w:t>
                  </w:r>
                  <w:r>
                    <w:rPr>
                      <w:rFonts w:hint="eastAsia"/>
                      <w:lang w:val="en-US" w:eastAsia="zh-CN"/>
                    </w:rPr>
                    <w:t>55.11</w:t>
                  </w:r>
                  <w:r>
                    <w:rPr>
                      <w:rFonts w:hint="default"/>
                      <w:lang w:val="en-GB"/>
                    </w:rPr>
                    <w:t>"N</w:t>
                  </w:r>
                </w:p>
              </w:tc>
              <w:tc>
                <w:tcPr>
                  <w:tcW w:w="855" w:type="dxa"/>
                  <w:tcBorders>
                    <w:tl2br w:val="nil"/>
                    <w:tr2bl w:val="nil"/>
                  </w:tcBorders>
                  <w:noWrap w:val="0"/>
                  <w:vAlign w:val="center"/>
                </w:tcPr>
                <w:p w14:paraId="4112E906">
                  <w:pPr>
                    <w:pStyle w:val="32"/>
                    <w:bidi w:val="0"/>
                    <w:rPr>
                      <w:rFonts w:hint="default"/>
                    </w:rPr>
                  </w:pPr>
                  <w:r>
                    <w:rPr>
                      <w:rFonts w:hint="default"/>
                    </w:rPr>
                    <w:t>CODcr</w:t>
                  </w:r>
                </w:p>
              </w:tc>
              <w:tc>
                <w:tcPr>
                  <w:tcW w:w="1027" w:type="dxa"/>
                  <w:tcBorders>
                    <w:tl2br w:val="nil"/>
                    <w:tr2bl w:val="nil"/>
                  </w:tcBorders>
                  <w:noWrap w:val="0"/>
                  <w:vAlign w:val="center"/>
                </w:tcPr>
                <w:p w14:paraId="1A53A95E">
                  <w:pPr>
                    <w:pStyle w:val="32"/>
                    <w:bidi w:val="0"/>
                    <w:rPr>
                      <w:rFonts w:hint="default"/>
                    </w:rPr>
                  </w:pPr>
                  <w:r>
                    <w:rPr>
                      <w:rFonts w:hint="default"/>
                    </w:rPr>
                    <w:t>500</w:t>
                  </w:r>
                </w:p>
              </w:tc>
              <w:tc>
                <w:tcPr>
                  <w:tcW w:w="710" w:type="dxa"/>
                  <w:vMerge w:val="restart"/>
                  <w:tcBorders>
                    <w:tl2br w:val="nil"/>
                    <w:tr2bl w:val="nil"/>
                  </w:tcBorders>
                  <w:noWrap w:val="0"/>
                  <w:vAlign w:val="center"/>
                </w:tcPr>
                <w:p w14:paraId="1D813A2D">
                  <w:pPr>
                    <w:pStyle w:val="32"/>
                    <w:bidi w:val="0"/>
                    <w:rPr>
                      <w:rFonts w:hint="default"/>
                    </w:rPr>
                  </w:pPr>
                  <w:r>
                    <w:rPr>
                      <w:rFonts w:hint="default"/>
                    </w:rPr>
                    <w:t>间接</w:t>
                  </w:r>
                </w:p>
              </w:tc>
              <w:tc>
                <w:tcPr>
                  <w:tcW w:w="707" w:type="dxa"/>
                  <w:vMerge w:val="restart"/>
                  <w:tcBorders>
                    <w:tl2br w:val="nil"/>
                    <w:tr2bl w:val="nil"/>
                  </w:tcBorders>
                  <w:noWrap w:val="0"/>
                  <w:vAlign w:val="center"/>
                </w:tcPr>
                <w:p w14:paraId="7CD38CD9">
                  <w:pPr>
                    <w:pStyle w:val="32"/>
                    <w:bidi w:val="0"/>
                    <w:rPr>
                      <w:rFonts w:hint="default"/>
                    </w:rPr>
                  </w:pPr>
                  <w:r>
                    <w:rPr>
                      <w:rFonts w:hint="eastAsia"/>
                    </w:rPr>
                    <w:t>间歇</w:t>
                  </w:r>
                </w:p>
              </w:tc>
              <w:tc>
                <w:tcPr>
                  <w:tcW w:w="841" w:type="dxa"/>
                  <w:vMerge w:val="restart"/>
                  <w:tcBorders>
                    <w:tl2br w:val="nil"/>
                    <w:tr2bl w:val="nil"/>
                  </w:tcBorders>
                  <w:noWrap w:val="0"/>
                  <w:vAlign w:val="center"/>
                </w:tcPr>
                <w:p w14:paraId="698CDD10">
                  <w:pPr>
                    <w:pStyle w:val="32"/>
                    <w:bidi w:val="0"/>
                    <w:rPr>
                      <w:rFonts w:hint="default"/>
                      <w:lang w:val="en-US" w:eastAsia="zh-CN"/>
                    </w:rPr>
                  </w:pPr>
                  <w:r>
                    <w:rPr>
                      <w:rFonts w:hint="eastAsia"/>
                      <w:lang w:val="en-US" w:eastAsia="zh-CN"/>
                    </w:rPr>
                    <w:t>市政排水管道</w:t>
                  </w:r>
                </w:p>
              </w:tc>
              <w:tc>
                <w:tcPr>
                  <w:tcW w:w="718" w:type="dxa"/>
                  <w:vMerge w:val="restart"/>
                  <w:tcBorders>
                    <w:tl2br w:val="nil"/>
                    <w:tr2bl w:val="nil"/>
                  </w:tcBorders>
                  <w:noWrap w:val="0"/>
                  <w:vAlign w:val="center"/>
                </w:tcPr>
                <w:p w14:paraId="34354C52">
                  <w:pPr>
                    <w:pStyle w:val="32"/>
                    <w:bidi w:val="0"/>
                    <w:rPr>
                      <w:rFonts w:hint="default"/>
                    </w:rPr>
                  </w:pPr>
                  <w:r>
                    <w:rPr>
                      <w:rFonts w:hint="default"/>
                    </w:rPr>
                    <w:t>一般排放口</w:t>
                  </w:r>
                </w:p>
              </w:tc>
            </w:tr>
            <w:tr w14:paraId="2B03E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Merge w:val="continue"/>
                  <w:tcBorders>
                    <w:tl2br w:val="nil"/>
                    <w:tr2bl w:val="nil"/>
                  </w:tcBorders>
                  <w:noWrap w:val="0"/>
                  <w:vAlign w:val="center"/>
                </w:tcPr>
                <w:p w14:paraId="33AE3EE0">
                  <w:pPr>
                    <w:pStyle w:val="32"/>
                    <w:bidi w:val="0"/>
                    <w:rPr>
                      <w:rFonts w:hint="default"/>
                    </w:rPr>
                  </w:pPr>
                </w:p>
              </w:tc>
              <w:tc>
                <w:tcPr>
                  <w:tcW w:w="540" w:type="dxa"/>
                  <w:vMerge w:val="continue"/>
                  <w:tcBorders>
                    <w:tl2br w:val="nil"/>
                    <w:tr2bl w:val="nil"/>
                  </w:tcBorders>
                  <w:noWrap w:val="0"/>
                  <w:vAlign w:val="center"/>
                </w:tcPr>
                <w:p w14:paraId="44587B8B">
                  <w:pPr>
                    <w:pStyle w:val="32"/>
                    <w:bidi w:val="0"/>
                    <w:rPr>
                      <w:rFonts w:hint="default"/>
                    </w:rPr>
                  </w:pPr>
                </w:p>
              </w:tc>
              <w:tc>
                <w:tcPr>
                  <w:tcW w:w="581" w:type="dxa"/>
                  <w:vMerge w:val="continue"/>
                  <w:tcBorders>
                    <w:tl2br w:val="nil"/>
                    <w:tr2bl w:val="nil"/>
                  </w:tcBorders>
                  <w:noWrap w:val="0"/>
                  <w:vAlign w:val="center"/>
                </w:tcPr>
                <w:p w14:paraId="63A0FCFD">
                  <w:pPr>
                    <w:pStyle w:val="32"/>
                    <w:bidi w:val="0"/>
                    <w:rPr>
                      <w:rFonts w:hint="default"/>
                    </w:rPr>
                  </w:pPr>
                </w:p>
              </w:tc>
              <w:tc>
                <w:tcPr>
                  <w:tcW w:w="1590" w:type="dxa"/>
                  <w:vMerge w:val="continue"/>
                  <w:tcBorders>
                    <w:tl2br w:val="nil"/>
                    <w:tr2bl w:val="nil"/>
                  </w:tcBorders>
                  <w:noWrap w:val="0"/>
                  <w:vAlign w:val="center"/>
                </w:tcPr>
                <w:p w14:paraId="66AA7C16">
                  <w:pPr>
                    <w:pStyle w:val="32"/>
                    <w:bidi w:val="0"/>
                    <w:rPr>
                      <w:rFonts w:hint="default"/>
                    </w:rPr>
                  </w:pPr>
                </w:p>
              </w:tc>
              <w:tc>
                <w:tcPr>
                  <w:tcW w:w="855" w:type="dxa"/>
                  <w:tcBorders>
                    <w:tl2br w:val="nil"/>
                    <w:tr2bl w:val="nil"/>
                  </w:tcBorders>
                  <w:noWrap w:val="0"/>
                  <w:vAlign w:val="center"/>
                </w:tcPr>
                <w:p w14:paraId="2917EB65">
                  <w:pPr>
                    <w:pStyle w:val="32"/>
                    <w:bidi w:val="0"/>
                    <w:rPr>
                      <w:rFonts w:hint="default"/>
                    </w:rPr>
                  </w:pPr>
                  <w:r>
                    <w:rPr>
                      <w:rFonts w:hint="default"/>
                    </w:rPr>
                    <w:t>BOD</w:t>
                  </w:r>
                  <w:r>
                    <w:rPr>
                      <w:rFonts w:hint="default"/>
                      <w:vertAlign w:val="subscript"/>
                    </w:rPr>
                    <w:t>5</w:t>
                  </w:r>
                </w:p>
              </w:tc>
              <w:tc>
                <w:tcPr>
                  <w:tcW w:w="1027" w:type="dxa"/>
                  <w:tcBorders>
                    <w:tl2br w:val="nil"/>
                    <w:tr2bl w:val="nil"/>
                  </w:tcBorders>
                  <w:noWrap w:val="0"/>
                  <w:vAlign w:val="center"/>
                </w:tcPr>
                <w:p w14:paraId="6D6C931C">
                  <w:pPr>
                    <w:pStyle w:val="32"/>
                    <w:bidi w:val="0"/>
                    <w:rPr>
                      <w:rFonts w:hint="default"/>
                    </w:rPr>
                  </w:pPr>
                  <w:r>
                    <w:rPr>
                      <w:rFonts w:hint="default"/>
                    </w:rPr>
                    <w:t>300</w:t>
                  </w:r>
                </w:p>
              </w:tc>
              <w:tc>
                <w:tcPr>
                  <w:tcW w:w="710" w:type="dxa"/>
                  <w:vMerge w:val="continue"/>
                  <w:tcBorders>
                    <w:tl2br w:val="nil"/>
                    <w:tr2bl w:val="nil"/>
                  </w:tcBorders>
                  <w:noWrap w:val="0"/>
                  <w:vAlign w:val="center"/>
                </w:tcPr>
                <w:p w14:paraId="6B4E98DA">
                  <w:pPr>
                    <w:pStyle w:val="32"/>
                    <w:bidi w:val="0"/>
                    <w:rPr>
                      <w:rFonts w:hint="default"/>
                    </w:rPr>
                  </w:pPr>
                </w:p>
              </w:tc>
              <w:tc>
                <w:tcPr>
                  <w:tcW w:w="707" w:type="dxa"/>
                  <w:vMerge w:val="continue"/>
                  <w:tcBorders>
                    <w:tl2br w:val="nil"/>
                    <w:tr2bl w:val="nil"/>
                  </w:tcBorders>
                  <w:noWrap w:val="0"/>
                  <w:vAlign w:val="center"/>
                </w:tcPr>
                <w:p w14:paraId="207F95C4">
                  <w:pPr>
                    <w:pStyle w:val="32"/>
                    <w:bidi w:val="0"/>
                    <w:rPr>
                      <w:rFonts w:hint="default"/>
                    </w:rPr>
                  </w:pPr>
                </w:p>
              </w:tc>
              <w:tc>
                <w:tcPr>
                  <w:tcW w:w="841" w:type="dxa"/>
                  <w:vMerge w:val="continue"/>
                  <w:tcBorders>
                    <w:tl2br w:val="nil"/>
                    <w:tr2bl w:val="nil"/>
                  </w:tcBorders>
                  <w:noWrap w:val="0"/>
                  <w:vAlign w:val="center"/>
                </w:tcPr>
                <w:p w14:paraId="7D4820BB">
                  <w:pPr>
                    <w:pStyle w:val="32"/>
                    <w:bidi w:val="0"/>
                    <w:rPr>
                      <w:rFonts w:hint="default"/>
                    </w:rPr>
                  </w:pPr>
                </w:p>
              </w:tc>
              <w:tc>
                <w:tcPr>
                  <w:tcW w:w="718" w:type="dxa"/>
                  <w:vMerge w:val="continue"/>
                  <w:tcBorders>
                    <w:tl2br w:val="nil"/>
                    <w:tr2bl w:val="nil"/>
                  </w:tcBorders>
                  <w:noWrap w:val="0"/>
                  <w:vAlign w:val="center"/>
                </w:tcPr>
                <w:p w14:paraId="1637C90D">
                  <w:pPr>
                    <w:pStyle w:val="32"/>
                    <w:bidi w:val="0"/>
                    <w:rPr>
                      <w:rFonts w:hint="default"/>
                    </w:rPr>
                  </w:pPr>
                </w:p>
              </w:tc>
            </w:tr>
            <w:tr w14:paraId="05CA6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38" w:type="dxa"/>
                  <w:vMerge w:val="continue"/>
                  <w:tcBorders>
                    <w:tl2br w:val="nil"/>
                    <w:tr2bl w:val="nil"/>
                  </w:tcBorders>
                  <w:noWrap w:val="0"/>
                  <w:vAlign w:val="center"/>
                </w:tcPr>
                <w:p w14:paraId="1445C5EC">
                  <w:pPr>
                    <w:pStyle w:val="32"/>
                    <w:bidi w:val="0"/>
                    <w:rPr>
                      <w:rFonts w:hint="default"/>
                    </w:rPr>
                  </w:pPr>
                </w:p>
              </w:tc>
              <w:tc>
                <w:tcPr>
                  <w:tcW w:w="540" w:type="dxa"/>
                  <w:vMerge w:val="continue"/>
                  <w:tcBorders>
                    <w:tl2br w:val="nil"/>
                    <w:tr2bl w:val="nil"/>
                  </w:tcBorders>
                  <w:noWrap w:val="0"/>
                  <w:vAlign w:val="center"/>
                </w:tcPr>
                <w:p w14:paraId="7A1EF8ED">
                  <w:pPr>
                    <w:pStyle w:val="32"/>
                    <w:bidi w:val="0"/>
                    <w:rPr>
                      <w:rFonts w:hint="default"/>
                    </w:rPr>
                  </w:pPr>
                </w:p>
              </w:tc>
              <w:tc>
                <w:tcPr>
                  <w:tcW w:w="581" w:type="dxa"/>
                  <w:vMerge w:val="continue"/>
                  <w:tcBorders>
                    <w:tl2br w:val="nil"/>
                    <w:tr2bl w:val="nil"/>
                  </w:tcBorders>
                  <w:noWrap w:val="0"/>
                  <w:vAlign w:val="center"/>
                </w:tcPr>
                <w:p w14:paraId="3B7D41CC">
                  <w:pPr>
                    <w:pStyle w:val="32"/>
                    <w:bidi w:val="0"/>
                    <w:rPr>
                      <w:rFonts w:hint="default"/>
                    </w:rPr>
                  </w:pPr>
                </w:p>
              </w:tc>
              <w:tc>
                <w:tcPr>
                  <w:tcW w:w="1590" w:type="dxa"/>
                  <w:vMerge w:val="continue"/>
                  <w:tcBorders>
                    <w:tl2br w:val="nil"/>
                    <w:tr2bl w:val="nil"/>
                  </w:tcBorders>
                  <w:noWrap w:val="0"/>
                  <w:vAlign w:val="center"/>
                </w:tcPr>
                <w:p w14:paraId="5D5E2F9D">
                  <w:pPr>
                    <w:pStyle w:val="32"/>
                    <w:bidi w:val="0"/>
                    <w:rPr>
                      <w:rFonts w:hint="default"/>
                    </w:rPr>
                  </w:pPr>
                </w:p>
              </w:tc>
              <w:tc>
                <w:tcPr>
                  <w:tcW w:w="855" w:type="dxa"/>
                  <w:tcBorders>
                    <w:tl2br w:val="nil"/>
                    <w:tr2bl w:val="nil"/>
                  </w:tcBorders>
                  <w:noWrap w:val="0"/>
                  <w:vAlign w:val="center"/>
                </w:tcPr>
                <w:p w14:paraId="69BCE7D1">
                  <w:pPr>
                    <w:pStyle w:val="32"/>
                    <w:bidi w:val="0"/>
                    <w:rPr>
                      <w:rFonts w:hint="default"/>
                    </w:rPr>
                  </w:pPr>
                  <w:r>
                    <w:rPr>
                      <w:rFonts w:hint="default"/>
                    </w:rPr>
                    <w:t>SS</w:t>
                  </w:r>
                </w:p>
              </w:tc>
              <w:tc>
                <w:tcPr>
                  <w:tcW w:w="1027" w:type="dxa"/>
                  <w:tcBorders>
                    <w:tl2br w:val="nil"/>
                    <w:tr2bl w:val="nil"/>
                  </w:tcBorders>
                  <w:noWrap w:val="0"/>
                  <w:vAlign w:val="center"/>
                </w:tcPr>
                <w:p w14:paraId="00BBAAF2">
                  <w:pPr>
                    <w:pStyle w:val="32"/>
                    <w:bidi w:val="0"/>
                    <w:rPr>
                      <w:rFonts w:hint="default"/>
                    </w:rPr>
                  </w:pPr>
                  <w:r>
                    <w:rPr>
                      <w:rFonts w:hint="default"/>
                    </w:rPr>
                    <w:t>400</w:t>
                  </w:r>
                </w:p>
              </w:tc>
              <w:tc>
                <w:tcPr>
                  <w:tcW w:w="710" w:type="dxa"/>
                  <w:vMerge w:val="continue"/>
                  <w:tcBorders>
                    <w:tl2br w:val="nil"/>
                    <w:tr2bl w:val="nil"/>
                  </w:tcBorders>
                  <w:noWrap w:val="0"/>
                  <w:vAlign w:val="center"/>
                </w:tcPr>
                <w:p w14:paraId="2ECA6A58">
                  <w:pPr>
                    <w:pStyle w:val="32"/>
                    <w:bidi w:val="0"/>
                    <w:rPr>
                      <w:rFonts w:hint="default"/>
                    </w:rPr>
                  </w:pPr>
                </w:p>
              </w:tc>
              <w:tc>
                <w:tcPr>
                  <w:tcW w:w="707" w:type="dxa"/>
                  <w:vMerge w:val="continue"/>
                  <w:tcBorders>
                    <w:tl2br w:val="nil"/>
                    <w:tr2bl w:val="nil"/>
                  </w:tcBorders>
                  <w:noWrap w:val="0"/>
                  <w:vAlign w:val="center"/>
                </w:tcPr>
                <w:p w14:paraId="2ED94FB6">
                  <w:pPr>
                    <w:pStyle w:val="32"/>
                    <w:bidi w:val="0"/>
                    <w:rPr>
                      <w:rFonts w:hint="default"/>
                    </w:rPr>
                  </w:pPr>
                </w:p>
              </w:tc>
              <w:tc>
                <w:tcPr>
                  <w:tcW w:w="841" w:type="dxa"/>
                  <w:vMerge w:val="continue"/>
                  <w:tcBorders>
                    <w:tl2br w:val="nil"/>
                    <w:tr2bl w:val="nil"/>
                  </w:tcBorders>
                  <w:noWrap w:val="0"/>
                  <w:vAlign w:val="center"/>
                </w:tcPr>
                <w:p w14:paraId="35E73039">
                  <w:pPr>
                    <w:pStyle w:val="32"/>
                    <w:bidi w:val="0"/>
                    <w:rPr>
                      <w:rFonts w:hint="default"/>
                    </w:rPr>
                  </w:pPr>
                </w:p>
              </w:tc>
              <w:tc>
                <w:tcPr>
                  <w:tcW w:w="718" w:type="dxa"/>
                  <w:vMerge w:val="continue"/>
                  <w:tcBorders>
                    <w:tl2br w:val="nil"/>
                    <w:tr2bl w:val="nil"/>
                  </w:tcBorders>
                  <w:noWrap w:val="0"/>
                  <w:vAlign w:val="center"/>
                </w:tcPr>
                <w:p w14:paraId="57B26528">
                  <w:pPr>
                    <w:pStyle w:val="32"/>
                    <w:bidi w:val="0"/>
                    <w:rPr>
                      <w:rFonts w:hint="default"/>
                    </w:rPr>
                  </w:pPr>
                </w:p>
              </w:tc>
            </w:tr>
            <w:tr w14:paraId="06711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38" w:type="dxa"/>
                  <w:vMerge w:val="continue"/>
                  <w:tcBorders>
                    <w:tl2br w:val="nil"/>
                    <w:tr2bl w:val="nil"/>
                  </w:tcBorders>
                  <w:noWrap w:val="0"/>
                  <w:vAlign w:val="center"/>
                </w:tcPr>
                <w:p w14:paraId="02F7DA71">
                  <w:pPr>
                    <w:pStyle w:val="32"/>
                    <w:bidi w:val="0"/>
                    <w:rPr>
                      <w:rFonts w:hint="default"/>
                    </w:rPr>
                  </w:pPr>
                </w:p>
              </w:tc>
              <w:tc>
                <w:tcPr>
                  <w:tcW w:w="540" w:type="dxa"/>
                  <w:vMerge w:val="continue"/>
                  <w:tcBorders>
                    <w:tl2br w:val="nil"/>
                    <w:tr2bl w:val="nil"/>
                  </w:tcBorders>
                  <w:noWrap w:val="0"/>
                  <w:vAlign w:val="center"/>
                </w:tcPr>
                <w:p w14:paraId="0FC89717">
                  <w:pPr>
                    <w:pStyle w:val="32"/>
                    <w:bidi w:val="0"/>
                    <w:rPr>
                      <w:rFonts w:hint="default"/>
                    </w:rPr>
                  </w:pPr>
                </w:p>
              </w:tc>
              <w:tc>
                <w:tcPr>
                  <w:tcW w:w="581" w:type="dxa"/>
                  <w:vMerge w:val="continue"/>
                  <w:tcBorders>
                    <w:tl2br w:val="nil"/>
                    <w:tr2bl w:val="nil"/>
                  </w:tcBorders>
                  <w:noWrap w:val="0"/>
                  <w:vAlign w:val="center"/>
                </w:tcPr>
                <w:p w14:paraId="6121518D">
                  <w:pPr>
                    <w:pStyle w:val="32"/>
                    <w:bidi w:val="0"/>
                    <w:rPr>
                      <w:rFonts w:hint="default"/>
                    </w:rPr>
                  </w:pPr>
                </w:p>
              </w:tc>
              <w:tc>
                <w:tcPr>
                  <w:tcW w:w="1590" w:type="dxa"/>
                  <w:vMerge w:val="continue"/>
                  <w:tcBorders>
                    <w:tl2br w:val="nil"/>
                    <w:tr2bl w:val="nil"/>
                  </w:tcBorders>
                  <w:noWrap w:val="0"/>
                  <w:vAlign w:val="center"/>
                </w:tcPr>
                <w:p w14:paraId="1DF62CD1">
                  <w:pPr>
                    <w:pStyle w:val="32"/>
                    <w:bidi w:val="0"/>
                    <w:rPr>
                      <w:rFonts w:hint="default"/>
                    </w:rPr>
                  </w:pPr>
                </w:p>
              </w:tc>
              <w:tc>
                <w:tcPr>
                  <w:tcW w:w="855" w:type="dxa"/>
                  <w:tcBorders>
                    <w:tl2br w:val="nil"/>
                    <w:tr2bl w:val="nil"/>
                  </w:tcBorders>
                  <w:noWrap w:val="0"/>
                  <w:vAlign w:val="center"/>
                </w:tcPr>
                <w:p w14:paraId="6DB88392">
                  <w:pPr>
                    <w:pStyle w:val="32"/>
                    <w:bidi w:val="0"/>
                    <w:rPr>
                      <w:rFonts w:hint="default"/>
                    </w:rPr>
                  </w:pPr>
                  <w:r>
                    <w:rPr>
                      <w:rFonts w:hint="default"/>
                    </w:rPr>
                    <w:t>NH</w:t>
                  </w:r>
                  <w:r>
                    <w:rPr>
                      <w:rFonts w:hint="default"/>
                      <w:vertAlign w:val="subscript"/>
                    </w:rPr>
                    <w:t>3</w:t>
                  </w:r>
                  <w:r>
                    <w:rPr>
                      <w:rFonts w:hint="default"/>
                    </w:rPr>
                    <w:t>-N</w:t>
                  </w:r>
                </w:p>
              </w:tc>
              <w:tc>
                <w:tcPr>
                  <w:tcW w:w="1027" w:type="dxa"/>
                  <w:tcBorders>
                    <w:tl2br w:val="nil"/>
                    <w:tr2bl w:val="nil"/>
                  </w:tcBorders>
                  <w:noWrap w:val="0"/>
                  <w:vAlign w:val="center"/>
                </w:tcPr>
                <w:p w14:paraId="17D2CFCE">
                  <w:pPr>
                    <w:pStyle w:val="32"/>
                    <w:bidi w:val="0"/>
                    <w:rPr>
                      <w:rFonts w:hint="default"/>
                      <w:lang w:val="en-US" w:eastAsia="zh-CN"/>
                    </w:rPr>
                  </w:pPr>
                  <w:r>
                    <w:rPr>
                      <w:rFonts w:hint="eastAsia"/>
                      <w:lang w:val="en-US" w:eastAsia="zh-CN"/>
                    </w:rPr>
                    <w:t>45</w:t>
                  </w:r>
                </w:p>
              </w:tc>
              <w:tc>
                <w:tcPr>
                  <w:tcW w:w="710" w:type="dxa"/>
                  <w:vMerge w:val="continue"/>
                  <w:tcBorders>
                    <w:tl2br w:val="nil"/>
                    <w:tr2bl w:val="nil"/>
                  </w:tcBorders>
                  <w:noWrap w:val="0"/>
                  <w:vAlign w:val="center"/>
                </w:tcPr>
                <w:p w14:paraId="6E8D190A">
                  <w:pPr>
                    <w:pStyle w:val="32"/>
                    <w:bidi w:val="0"/>
                    <w:rPr>
                      <w:rFonts w:hint="default"/>
                    </w:rPr>
                  </w:pPr>
                </w:p>
              </w:tc>
              <w:tc>
                <w:tcPr>
                  <w:tcW w:w="707" w:type="dxa"/>
                  <w:vMerge w:val="continue"/>
                  <w:tcBorders>
                    <w:tl2br w:val="nil"/>
                    <w:tr2bl w:val="nil"/>
                  </w:tcBorders>
                  <w:noWrap w:val="0"/>
                  <w:vAlign w:val="center"/>
                </w:tcPr>
                <w:p w14:paraId="5E92CF19">
                  <w:pPr>
                    <w:pStyle w:val="32"/>
                    <w:bidi w:val="0"/>
                    <w:rPr>
                      <w:rFonts w:hint="default"/>
                    </w:rPr>
                  </w:pPr>
                </w:p>
              </w:tc>
              <w:tc>
                <w:tcPr>
                  <w:tcW w:w="841" w:type="dxa"/>
                  <w:vMerge w:val="continue"/>
                  <w:tcBorders>
                    <w:tl2br w:val="nil"/>
                    <w:tr2bl w:val="nil"/>
                  </w:tcBorders>
                  <w:noWrap w:val="0"/>
                  <w:vAlign w:val="center"/>
                </w:tcPr>
                <w:p w14:paraId="3F1B36A9">
                  <w:pPr>
                    <w:pStyle w:val="32"/>
                    <w:bidi w:val="0"/>
                    <w:rPr>
                      <w:rFonts w:hint="default"/>
                    </w:rPr>
                  </w:pPr>
                </w:p>
              </w:tc>
              <w:tc>
                <w:tcPr>
                  <w:tcW w:w="718" w:type="dxa"/>
                  <w:vMerge w:val="continue"/>
                  <w:tcBorders>
                    <w:tl2br w:val="nil"/>
                    <w:tr2bl w:val="nil"/>
                  </w:tcBorders>
                  <w:noWrap w:val="0"/>
                  <w:vAlign w:val="center"/>
                </w:tcPr>
                <w:p w14:paraId="5AD4B50B">
                  <w:pPr>
                    <w:pStyle w:val="32"/>
                    <w:bidi w:val="0"/>
                    <w:rPr>
                      <w:rFonts w:hint="default"/>
                    </w:rPr>
                  </w:pPr>
                </w:p>
              </w:tc>
            </w:tr>
          </w:tbl>
          <w:p w14:paraId="7F221047">
            <w:pPr>
              <w:ind w:firstLine="480"/>
            </w:pPr>
            <w:r>
              <w:rPr>
                <w:rFonts w:hint="eastAsia"/>
              </w:rPr>
              <w:t>（2）清洗油罐废水</w:t>
            </w:r>
          </w:p>
          <w:p w14:paraId="70812B46">
            <w:pPr>
              <w:ind w:firstLine="480"/>
            </w:pPr>
            <w:r>
              <w:t>地下储油罐定期清洗过程中产生油水混合物。地下储油罐清洗周期一般为3年一次，交由专业公司清洗，产生的油水混合物属于HW08（900-221-08废燃料油及燃料油储存过程中产生的油泥）危险废物，由专车运走，交</w:t>
            </w:r>
            <w:r>
              <w:rPr>
                <w:rFonts w:hint="eastAsia"/>
                <w:lang w:val="en-US" w:eastAsia="zh-CN"/>
              </w:rPr>
              <w:t>由</w:t>
            </w:r>
            <w:r>
              <w:t>有处理资质单位进行妥善的环保处理，不在加油站内贮存。</w:t>
            </w:r>
          </w:p>
          <w:p w14:paraId="23BFF332">
            <w:pPr>
              <w:ind w:firstLine="0" w:firstLineChars="0"/>
              <w:rPr>
                <w:b/>
                <w:bCs/>
              </w:rPr>
            </w:pPr>
            <w:r>
              <w:rPr>
                <w:rFonts w:hint="eastAsia"/>
                <w:b/>
                <w:bCs/>
              </w:rPr>
              <w:t>4.2.2.1</w:t>
            </w:r>
            <w:r>
              <w:rPr>
                <w:rFonts w:hint="eastAsia"/>
                <w:b/>
                <w:bCs/>
                <w:lang w:val="en-US" w:eastAsia="zh-CN"/>
              </w:rPr>
              <w:t>生活污水依托处理</w:t>
            </w:r>
            <w:r>
              <w:rPr>
                <w:rFonts w:hint="eastAsia"/>
                <w:b/>
                <w:bCs/>
              </w:rPr>
              <w:t>可行性分析</w:t>
            </w:r>
          </w:p>
          <w:p w14:paraId="3C7A3519">
            <w:pPr>
              <w:ind w:firstLine="480"/>
            </w:pPr>
            <w:r>
              <w:rPr>
                <w:rFonts w:hint="eastAsia"/>
                <w:lang w:eastAsia="zh-CN"/>
              </w:rPr>
              <w:t>库尔勒经济技术开发区工业废水处理厂</w:t>
            </w:r>
            <w:r>
              <w:rPr>
                <w:rFonts w:hint="eastAsia"/>
              </w:rPr>
              <w:t>位于</w:t>
            </w:r>
            <w:r>
              <w:rPr>
                <w:rFonts w:hint="eastAsia"/>
                <w:lang w:val="en-US" w:eastAsia="zh-CN"/>
              </w:rPr>
              <w:t>开发区北侧，距离本项目约7.3km</w:t>
            </w:r>
            <w:r>
              <w:rPr>
                <w:rFonts w:hint="eastAsia"/>
              </w:rPr>
              <w:t>，中心坐标为：经度86°</w:t>
            </w:r>
            <w:r>
              <w:rPr>
                <w:rFonts w:hint="eastAsia"/>
                <w:lang w:val="en-US" w:eastAsia="zh-CN"/>
              </w:rPr>
              <w:t>12</w:t>
            </w:r>
            <w:r>
              <w:rPr>
                <w:rFonts w:hint="eastAsia"/>
              </w:rPr>
              <w:t>′</w:t>
            </w:r>
            <w:r>
              <w:rPr>
                <w:rFonts w:hint="eastAsia"/>
                <w:lang w:val="en-US" w:eastAsia="zh-CN"/>
              </w:rPr>
              <w:t>3.11</w:t>
            </w:r>
            <w:r>
              <w:rPr>
                <w:rFonts w:hint="eastAsia"/>
              </w:rPr>
              <w:t>″，纬度41°</w:t>
            </w:r>
            <w:r>
              <w:rPr>
                <w:rFonts w:hint="eastAsia"/>
                <w:lang w:val="en-US" w:eastAsia="zh-CN"/>
              </w:rPr>
              <w:t>40</w:t>
            </w:r>
            <w:r>
              <w:rPr>
                <w:rFonts w:hint="eastAsia"/>
              </w:rPr>
              <w:t>′</w:t>
            </w:r>
            <w:r>
              <w:rPr>
                <w:rFonts w:hint="eastAsia"/>
                <w:lang w:val="en-US" w:eastAsia="zh-CN"/>
              </w:rPr>
              <w:t>40.45</w:t>
            </w:r>
            <w:r>
              <w:rPr>
                <w:rFonts w:hint="eastAsia"/>
              </w:rPr>
              <w:t>″。</w:t>
            </w:r>
            <w:r>
              <w:rPr>
                <w:rFonts w:hint="eastAsia"/>
                <w:lang w:val="en-US" w:eastAsia="zh-CN"/>
              </w:rPr>
              <w:t>现状</w:t>
            </w:r>
            <w:r>
              <w:rPr>
                <w:rFonts w:hint="eastAsia"/>
              </w:rPr>
              <w:t>污水处理规</w:t>
            </w:r>
            <w:r>
              <w:rPr>
                <w:rFonts w:hint="eastAsia"/>
                <w:highlight w:val="none"/>
              </w:rPr>
              <w:t>模为</w:t>
            </w:r>
            <w:r>
              <w:rPr>
                <w:rFonts w:hint="eastAsia"/>
                <w:highlight w:val="none"/>
                <w:lang w:val="en-US" w:eastAsia="zh-CN"/>
              </w:rPr>
              <w:t>5</w:t>
            </w:r>
            <w:r>
              <w:rPr>
                <w:rFonts w:hint="eastAsia"/>
                <w:highlight w:val="none"/>
              </w:rPr>
              <w:t>万m</w:t>
            </w:r>
            <w:r>
              <w:rPr>
                <w:rFonts w:hint="eastAsia"/>
                <w:highlight w:val="none"/>
                <w:vertAlign w:val="superscript"/>
              </w:rPr>
              <w:t>3</w:t>
            </w:r>
            <w:r>
              <w:rPr>
                <w:rFonts w:hint="eastAsia"/>
                <w:highlight w:val="none"/>
              </w:rPr>
              <w:t>/d，出水执行《城镇污水处理厂污染物排放标准》（GB18918-2002）中的一级A标准。</w:t>
            </w:r>
            <w:r>
              <w:rPr>
                <w:rFonts w:hint="eastAsia"/>
                <w:highlight w:val="none"/>
                <w:lang w:val="en-US" w:eastAsia="zh-CN"/>
              </w:rPr>
              <w:t>2017年取得</w:t>
            </w:r>
            <w:r>
              <w:rPr>
                <w:rFonts w:hint="eastAsia"/>
                <w:lang w:eastAsia="zh-CN"/>
              </w:rPr>
              <w:t>库尔勒经济技术开发区工业废水处理厂</w:t>
            </w:r>
            <w:r>
              <w:rPr>
                <w:rFonts w:hint="eastAsia"/>
                <w:lang w:val="en-US" w:eastAsia="zh-CN"/>
              </w:rPr>
              <w:t>环境影响评价批复</w:t>
            </w:r>
            <w:r>
              <w:rPr>
                <w:rFonts w:hint="eastAsia" w:ascii="Times New Roman" w:hAnsi="Times New Roman" w:cs="Times New Roman"/>
                <w:highlight w:val="none"/>
                <w:lang w:val="en-US" w:eastAsia="zh-CN"/>
              </w:rPr>
              <w:t>（巴环评价函[2017]270号）</w:t>
            </w:r>
            <w:r>
              <w:rPr>
                <w:rFonts w:hint="eastAsia"/>
                <w:highlight w:val="none"/>
              </w:rPr>
              <w:t>于20</w:t>
            </w:r>
            <w:r>
              <w:rPr>
                <w:rFonts w:hint="eastAsia"/>
                <w:highlight w:val="none"/>
                <w:lang w:val="en-US" w:eastAsia="zh-CN"/>
              </w:rPr>
              <w:t>18</w:t>
            </w:r>
            <w:r>
              <w:rPr>
                <w:rFonts w:hint="eastAsia"/>
                <w:highlight w:val="none"/>
              </w:rPr>
              <w:t>年</w:t>
            </w:r>
            <w:r>
              <w:rPr>
                <w:rFonts w:hint="eastAsia"/>
                <w:highlight w:val="none"/>
                <w:lang w:val="en-US" w:eastAsia="zh-CN"/>
              </w:rPr>
              <w:t>12</w:t>
            </w:r>
            <w:r>
              <w:rPr>
                <w:rFonts w:hint="eastAsia"/>
                <w:highlight w:val="none"/>
              </w:rPr>
              <w:t>月通过自主验收</w:t>
            </w:r>
            <w:r>
              <w:rPr>
                <w:rFonts w:hint="eastAsia"/>
                <w:highlight w:val="none"/>
                <w:lang w:val="en-US" w:eastAsia="zh-CN"/>
              </w:rPr>
              <w:t>投入运营</w:t>
            </w:r>
            <w:r>
              <w:rPr>
                <w:rFonts w:hint="eastAsia"/>
                <w:highlight w:val="none"/>
              </w:rPr>
              <w:t>。</w:t>
            </w:r>
            <w:r>
              <w:rPr>
                <w:rFonts w:hint="eastAsia"/>
                <w:highlight w:val="none"/>
                <w:lang w:eastAsia="zh-CN"/>
              </w:rPr>
              <w:t>库</w:t>
            </w:r>
            <w:r>
              <w:rPr>
                <w:rFonts w:hint="eastAsia"/>
                <w:lang w:eastAsia="zh-CN"/>
              </w:rPr>
              <w:t>尔勒经济技术开发区工业废水处理厂现状处理废水类型</w:t>
            </w:r>
            <w:r>
              <w:rPr>
                <w:rFonts w:hint="eastAsia"/>
                <w:lang w:val="en-US" w:eastAsia="zh-CN"/>
              </w:rPr>
              <w:t>为开发区北部片区</w:t>
            </w:r>
            <w:r>
              <w:rPr>
                <w:rFonts w:hint="eastAsia"/>
                <w:lang w:eastAsia="zh-CN"/>
              </w:rPr>
              <w:t>工业废水</w:t>
            </w:r>
            <w:r>
              <w:rPr>
                <w:rFonts w:hint="eastAsia"/>
                <w:lang w:val="en-US" w:eastAsia="zh-CN"/>
              </w:rPr>
              <w:t>和</w:t>
            </w:r>
            <w:r>
              <w:rPr>
                <w:rFonts w:hint="eastAsia"/>
                <w:lang w:eastAsia="zh-CN"/>
              </w:rPr>
              <w:t>生活污水，</w:t>
            </w:r>
            <w:r>
              <w:rPr>
                <w:rFonts w:hint="eastAsia"/>
                <w:lang w:val="en-US" w:eastAsia="zh-CN"/>
              </w:rPr>
              <w:t>2024年</w:t>
            </w:r>
            <w:r>
              <w:rPr>
                <w:rFonts w:hint="eastAsia"/>
                <w:lang w:eastAsia="zh-CN"/>
              </w:rPr>
              <w:t>废水处理量</w:t>
            </w:r>
            <w:r>
              <w:rPr>
                <w:rFonts w:hint="eastAsia"/>
              </w:rPr>
              <w:t>约</w:t>
            </w:r>
            <w:r>
              <w:rPr>
                <w:rFonts w:hint="eastAsia"/>
                <w:lang w:val="en-US" w:eastAsia="zh-CN"/>
              </w:rPr>
              <w:t>2.5</w:t>
            </w:r>
            <w:r>
              <w:rPr>
                <w:rFonts w:hint="eastAsia"/>
              </w:rPr>
              <w:t>万m</w:t>
            </w:r>
            <w:r>
              <w:rPr>
                <w:rFonts w:hint="eastAsia"/>
                <w:vertAlign w:val="superscript"/>
              </w:rPr>
              <w:t>3</w:t>
            </w:r>
            <w:r>
              <w:rPr>
                <w:rFonts w:hint="eastAsia"/>
              </w:rPr>
              <w:t>/d，本项目生活污水产生量较小，水质简单，不会对</w:t>
            </w:r>
            <w:r>
              <w:rPr>
                <w:rFonts w:hint="eastAsia"/>
                <w:lang w:eastAsia="zh-CN"/>
              </w:rPr>
              <w:t>库尔勒经济技术开发区工业废水处理厂</w:t>
            </w:r>
            <w:r>
              <w:rPr>
                <w:rFonts w:hint="eastAsia"/>
              </w:rPr>
              <w:t>造成过重负荷</w:t>
            </w:r>
            <w:r>
              <w:rPr>
                <w:rFonts w:hint="eastAsia"/>
                <w:lang w:eastAsia="zh-CN"/>
              </w:rPr>
              <w:t>，</w:t>
            </w:r>
            <w:r>
              <w:rPr>
                <w:rFonts w:hint="eastAsia"/>
              </w:rPr>
              <w:t>因此</w:t>
            </w:r>
            <w:r>
              <w:t>废水处理措施可行</w:t>
            </w:r>
            <w:r>
              <w:rPr>
                <w:rFonts w:hint="eastAsia"/>
              </w:rPr>
              <w:t>。</w:t>
            </w:r>
          </w:p>
          <w:p w14:paraId="0F634BD1">
            <w:pPr>
              <w:ind w:firstLine="0" w:firstLineChars="0"/>
              <w:rPr>
                <w:b/>
                <w:color w:val="000000"/>
                <w:szCs w:val="20"/>
                <w:highlight w:val="none"/>
              </w:rPr>
            </w:pPr>
            <w:r>
              <w:rPr>
                <w:b/>
                <w:color w:val="000000"/>
                <w:szCs w:val="20"/>
                <w:highlight w:val="none"/>
              </w:rPr>
              <w:t>4.2.3噪声</w:t>
            </w:r>
            <w:r>
              <w:rPr>
                <w:rFonts w:hint="eastAsia"/>
                <w:b/>
                <w:bCs/>
                <w:highlight w:val="none"/>
                <w:lang w:val="en-US" w:eastAsia="zh-CN"/>
              </w:rPr>
              <w:t>环</w:t>
            </w:r>
            <w:r>
              <w:rPr>
                <w:rFonts w:hint="eastAsia"/>
                <w:b/>
                <w:bCs/>
                <w:highlight w:val="none"/>
              </w:rPr>
              <w:t>境影响与评价</w:t>
            </w:r>
          </w:p>
          <w:p w14:paraId="589E2D16">
            <w:pPr>
              <w:ind w:left="0" w:leftChars="0" w:firstLine="0" w:firstLineChars="0"/>
              <w:rPr>
                <w:rFonts w:hint="default" w:eastAsia="宋体"/>
                <w:b/>
                <w:bCs/>
                <w:highlight w:val="none"/>
                <w:lang w:val="en-US" w:eastAsia="zh-CN"/>
              </w:rPr>
            </w:pPr>
            <w:r>
              <w:rPr>
                <w:rFonts w:hint="eastAsia"/>
                <w:b/>
                <w:bCs/>
                <w:highlight w:val="none"/>
                <w:lang w:val="en-US" w:eastAsia="zh-CN"/>
              </w:rPr>
              <w:t>4.2.3.1噪声源强</w:t>
            </w:r>
          </w:p>
          <w:p w14:paraId="4F97B7DC">
            <w:pPr>
              <w:ind w:firstLine="480"/>
            </w:pPr>
            <w:r>
              <w:rPr>
                <w:rFonts w:hint="eastAsia"/>
                <w:lang w:val="en-US" w:eastAsia="zh-CN"/>
              </w:rPr>
              <w:t>本</w:t>
            </w:r>
            <w:r>
              <w:t>项目运行过程中主要</w:t>
            </w:r>
            <w:r>
              <w:rPr>
                <w:rFonts w:hint="eastAsia"/>
                <w:lang w:val="en-US" w:eastAsia="zh-CN"/>
              </w:rPr>
              <w:t>噪声</w:t>
            </w:r>
            <w:r>
              <w:t>为卸油、加油工序</w:t>
            </w:r>
            <w:r>
              <w:rPr>
                <w:rFonts w:hint="eastAsia"/>
                <w:lang w:eastAsia="zh-CN"/>
              </w:rPr>
              <w:t>、</w:t>
            </w:r>
            <w:r>
              <w:rPr>
                <w:bCs/>
              </w:rPr>
              <w:t>运输车辆、设备运行</w:t>
            </w:r>
            <w:r>
              <w:rPr>
                <w:rFonts w:hint="eastAsia"/>
                <w:bCs/>
                <w:lang w:val="en-US" w:eastAsia="zh-CN"/>
              </w:rPr>
              <w:t>以及</w:t>
            </w:r>
            <w:r>
              <w:rPr>
                <w:bCs/>
              </w:rPr>
              <w:t>日常活动等产生的噪声</w:t>
            </w:r>
            <w:r>
              <w:rPr>
                <w:rFonts w:hint="eastAsia"/>
                <w:bCs/>
                <w:lang w:eastAsia="zh-CN"/>
              </w:rPr>
              <w:t>，</w:t>
            </w:r>
            <w:r>
              <w:rPr>
                <w:bCs/>
              </w:rPr>
              <w:t>其中影响较大的是油料</w:t>
            </w:r>
            <w:r>
              <w:t>卸油、加油、加油</w:t>
            </w:r>
            <w:r>
              <w:rPr>
                <w:bCs/>
              </w:rPr>
              <w:t>车辆产生的噪声，这些噪声都为短暂、间歇性排放。</w:t>
            </w:r>
          </w:p>
          <w:p w14:paraId="2D88208A">
            <w:pPr>
              <w:pStyle w:val="28"/>
              <w:keepNext/>
              <w:keepLines w:val="0"/>
              <w:pageBreakBefore w:val="0"/>
              <w:widowControl w:val="0"/>
              <w:kinsoku/>
              <w:wordWrap/>
              <w:overflowPunct/>
              <w:topLinePunct w:val="0"/>
              <w:autoSpaceDE/>
              <w:autoSpaceDN/>
              <w:bidi w:val="0"/>
              <w:adjustRightInd/>
              <w:snapToGrid/>
              <w:spacing w:before="0" w:beforeLines="0"/>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表4</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工业企业噪声源强调查清单（室外声源）</w:t>
            </w:r>
          </w:p>
          <w:tbl>
            <w:tblPr>
              <w:tblStyle w:val="20"/>
              <w:tblW w:w="83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70"/>
              <w:gridCol w:w="1230"/>
              <w:gridCol w:w="645"/>
              <w:gridCol w:w="630"/>
              <w:gridCol w:w="645"/>
              <w:gridCol w:w="600"/>
              <w:gridCol w:w="1695"/>
              <w:gridCol w:w="1055"/>
              <w:gridCol w:w="979"/>
            </w:tblGrid>
            <w:tr w14:paraId="49C66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6" w:hRule="exact"/>
                <w:jc w:val="center"/>
              </w:trPr>
              <w:tc>
                <w:tcPr>
                  <w:tcW w:w="870" w:type="dxa"/>
                  <w:vMerge w:val="restart"/>
                  <w:tcBorders>
                    <w:tl2br w:val="nil"/>
                    <w:tr2bl w:val="nil"/>
                  </w:tcBorders>
                  <w:vAlign w:val="center"/>
                </w:tcPr>
                <w:p w14:paraId="366AC699">
                  <w:pPr>
                    <w:pStyle w:val="32"/>
                    <w:bidi w:val="0"/>
                  </w:pPr>
                  <w:r>
                    <w:t>序号</w:t>
                  </w:r>
                </w:p>
              </w:tc>
              <w:tc>
                <w:tcPr>
                  <w:tcW w:w="1230" w:type="dxa"/>
                  <w:vMerge w:val="restart"/>
                  <w:tcBorders>
                    <w:tl2br w:val="nil"/>
                    <w:tr2bl w:val="nil"/>
                  </w:tcBorders>
                  <w:vAlign w:val="center"/>
                </w:tcPr>
                <w:p w14:paraId="49728DBE">
                  <w:pPr>
                    <w:pStyle w:val="32"/>
                    <w:bidi w:val="0"/>
                  </w:pPr>
                  <w:r>
                    <w:t>声源名称</w:t>
                  </w:r>
                </w:p>
              </w:tc>
              <w:tc>
                <w:tcPr>
                  <w:tcW w:w="645" w:type="dxa"/>
                  <w:vMerge w:val="restart"/>
                  <w:tcBorders>
                    <w:tl2br w:val="nil"/>
                    <w:tr2bl w:val="nil"/>
                  </w:tcBorders>
                  <w:vAlign w:val="center"/>
                </w:tcPr>
                <w:p w14:paraId="1749CC4E">
                  <w:pPr>
                    <w:pStyle w:val="32"/>
                    <w:bidi w:val="0"/>
                  </w:pPr>
                  <w:r>
                    <w:t>型号</w:t>
                  </w:r>
                </w:p>
              </w:tc>
              <w:tc>
                <w:tcPr>
                  <w:tcW w:w="1875" w:type="dxa"/>
                  <w:gridSpan w:val="3"/>
                  <w:tcBorders>
                    <w:tl2br w:val="nil"/>
                    <w:tr2bl w:val="nil"/>
                  </w:tcBorders>
                  <w:vAlign w:val="center"/>
                </w:tcPr>
                <w:p w14:paraId="77E2DFE9">
                  <w:pPr>
                    <w:pStyle w:val="32"/>
                    <w:bidi w:val="0"/>
                  </w:pPr>
                  <w:r>
                    <w:t>空间相对位置/m</w:t>
                  </w:r>
                </w:p>
              </w:tc>
              <w:tc>
                <w:tcPr>
                  <w:tcW w:w="1695" w:type="dxa"/>
                  <w:tcBorders>
                    <w:tl2br w:val="nil"/>
                    <w:tr2bl w:val="nil"/>
                  </w:tcBorders>
                  <w:vAlign w:val="center"/>
                </w:tcPr>
                <w:p w14:paraId="12C462E0">
                  <w:pPr>
                    <w:pStyle w:val="32"/>
                    <w:bidi w:val="0"/>
                    <w:rPr>
                      <w:lang w:eastAsia="zh-CN"/>
                    </w:rPr>
                  </w:pPr>
                  <w:r>
                    <w:rPr>
                      <w:lang w:eastAsia="zh-CN"/>
                    </w:rPr>
                    <w:t>声源源强</w:t>
                  </w:r>
                </w:p>
              </w:tc>
              <w:tc>
                <w:tcPr>
                  <w:tcW w:w="1055" w:type="dxa"/>
                  <w:vMerge w:val="restart"/>
                  <w:tcBorders>
                    <w:tl2br w:val="nil"/>
                    <w:tr2bl w:val="nil"/>
                  </w:tcBorders>
                  <w:vAlign w:val="center"/>
                </w:tcPr>
                <w:p w14:paraId="6879731A">
                  <w:pPr>
                    <w:pStyle w:val="32"/>
                    <w:bidi w:val="0"/>
                  </w:pPr>
                  <w:r>
                    <w:t>声源控制措施</w:t>
                  </w:r>
                </w:p>
              </w:tc>
              <w:tc>
                <w:tcPr>
                  <w:tcW w:w="979" w:type="dxa"/>
                  <w:vMerge w:val="restart"/>
                  <w:tcBorders>
                    <w:tl2br w:val="nil"/>
                    <w:tr2bl w:val="nil"/>
                  </w:tcBorders>
                  <w:vAlign w:val="center"/>
                </w:tcPr>
                <w:p w14:paraId="5DD9A0BE">
                  <w:pPr>
                    <w:pStyle w:val="32"/>
                    <w:bidi w:val="0"/>
                  </w:pPr>
                  <w:r>
                    <w:t>运行时段</w:t>
                  </w:r>
                </w:p>
              </w:tc>
            </w:tr>
            <w:tr w14:paraId="7AF78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0" w:type="dxa"/>
                  <w:vMerge w:val="continue"/>
                  <w:tcBorders>
                    <w:tl2br w:val="nil"/>
                    <w:tr2bl w:val="nil"/>
                  </w:tcBorders>
                  <w:shd w:val="clear" w:color="auto" w:fill="FFFFFF"/>
                  <w:vAlign w:val="center"/>
                </w:tcPr>
                <w:p w14:paraId="170C0D02">
                  <w:pPr>
                    <w:pStyle w:val="32"/>
                    <w:bidi w:val="0"/>
                  </w:pPr>
                </w:p>
              </w:tc>
              <w:tc>
                <w:tcPr>
                  <w:tcW w:w="1230" w:type="dxa"/>
                  <w:vMerge w:val="continue"/>
                  <w:tcBorders>
                    <w:tl2br w:val="nil"/>
                    <w:tr2bl w:val="nil"/>
                  </w:tcBorders>
                  <w:shd w:val="clear" w:color="auto" w:fill="FFFFFF"/>
                  <w:vAlign w:val="center"/>
                </w:tcPr>
                <w:p w14:paraId="69CC8940">
                  <w:pPr>
                    <w:pStyle w:val="32"/>
                    <w:bidi w:val="0"/>
                  </w:pPr>
                </w:p>
              </w:tc>
              <w:tc>
                <w:tcPr>
                  <w:tcW w:w="645" w:type="dxa"/>
                  <w:vMerge w:val="continue"/>
                  <w:tcBorders>
                    <w:tl2br w:val="nil"/>
                    <w:tr2bl w:val="nil"/>
                  </w:tcBorders>
                  <w:shd w:val="clear" w:color="auto" w:fill="FFFFFF"/>
                  <w:vAlign w:val="center"/>
                </w:tcPr>
                <w:p w14:paraId="7806EC27">
                  <w:pPr>
                    <w:pStyle w:val="32"/>
                    <w:bidi w:val="0"/>
                  </w:pPr>
                </w:p>
              </w:tc>
              <w:tc>
                <w:tcPr>
                  <w:tcW w:w="630" w:type="dxa"/>
                  <w:tcBorders>
                    <w:tl2br w:val="nil"/>
                    <w:tr2bl w:val="nil"/>
                  </w:tcBorders>
                  <w:shd w:val="clear" w:color="auto" w:fill="FFFFFF"/>
                  <w:vAlign w:val="center"/>
                </w:tcPr>
                <w:p w14:paraId="526D64FD">
                  <w:pPr>
                    <w:pStyle w:val="32"/>
                    <w:bidi w:val="0"/>
                  </w:pPr>
                  <w:r>
                    <w:t>X</w:t>
                  </w:r>
                </w:p>
              </w:tc>
              <w:tc>
                <w:tcPr>
                  <w:tcW w:w="645" w:type="dxa"/>
                  <w:tcBorders>
                    <w:tl2br w:val="nil"/>
                    <w:tr2bl w:val="nil"/>
                  </w:tcBorders>
                  <w:shd w:val="clear" w:color="auto" w:fill="FFFFFF"/>
                  <w:vAlign w:val="center"/>
                </w:tcPr>
                <w:p w14:paraId="67F8CD45">
                  <w:pPr>
                    <w:pStyle w:val="32"/>
                    <w:bidi w:val="0"/>
                  </w:pPr>
                  <w:r>
                    <w:t>Y</w:t>
                  </w:r>
                </w:p>
              </w:tc>
              <w:tc>
                <w:tcPr>
                  <w:tcW w:w="600" w:type="dxa"/>
                  <w:tcBorders>
                    <w:tl2br w:val="nil"/>
                    <w:tr2bl w:val="nil"/>
                  </w:tcBorders>
                  <w:shd w:val="clear" w:color="auto" w:fill="FFFFFF"/>
                  <w:vAlign w:val="center"/>
                </w:tcPr>
                <w:p w14:paraId="4CBB9E6C">
                  <w:pPr>
                    <w:pStyle w:val="32"/>
                    <w:bidi w:val="0"/>
                  </w:pPr>
                  <w:r>
                    <w:t>Z</w:t>
                  </w:r>
                </w:p>
              </w:tc>
              <w:tc>
                <w:tcPr>
                  <w:tcW w:w="1695" w:type="dxa"/>
                  <w:tcBorders>
                    <w:tl2br w:val="nil"/>
                    <w:tr2bl w:val="nil"/>
                  </w:tcBorders>
                  <w:shd w:val="clear" w:color="auto" w:fill="FFFFFF"/>
                  <w:vAlign w:val="center"/>
                </w:tcPr>
                <w:p w14:paraId="2A2CA49D">
                  <w:pPr>
                    <w:pStyle w:val="32"/>
                    <w:bidi w:val="0"/>
                  </w:pPr>
                  <w:r>
                    <w:t>声功率级/dB(A)</w:t>
                  </w:r>
                </w:p>
              </w:tc>
              <w:tc>
                <w:tcPr>
                  <w:tcW w:w="1055" w:type="dxa"/>
                  <w:vMerge w:val="continue"/>
                  <w:tcBorders>
                    <w:tl2br w:val="nil"/>
                    <w:tr2bl w:val="nil"/>
                  </w:tcBorders>
                  <w:shd w:val="clear" w:color="auto" w:fill="FFFFFF"/>
                  <w:vAlign w:val="center"/>
                </w:tcPr>
                <w:p w14:paraId="76E2038E">
                  <w:pPr>
                    <w:pStyle w:val="32"/>
                    <w:bidi w:val="0"/>
                  </w:pPr>
                </w:p>
              </w:tc>
              <w:tc>
                <w:tcPr>
                  <w:tcW w:w="979" w:type="dxa"/>
                  <w:vMerge w:val="continue"/>
                  <w:tcBorders>
                    <w:tl2br w:val="nil"/>
                    <w:tr2bl w:val="nil"/>
                  </w:tcBorders>
                  <w:shd w:val="clear" w:color="auto" w:fill="FFFFFF"/>
                  <w:vAlign w:val="center"/>
                </w:tcPr>
                <w:p w14:paraId="7B5CB330">
                  <w:pPr>
                    <w:pStyle w:val="32"/>
                    <w:bidi w:val="0"/>
                  </w:pPr>
                </w:p>
              </w:tc>
            </w:tr>
            <w:tr w14:paraId="0F160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3" w:hRule="exact"/>
                <w:jc w:val="center"/>
              </w:trPr>
              <w:tc>
                <w:tcPr>
                  <w:tcW w:w="870" w:type="dxa"/>
                  <w:tcBorders>
                    <w:tl2br w:val="nil"/>
                    <w:tr2bl w:val="nil"/>
                  </w:tcBorders>
                  <w:shd w:val="clear" w:color="auto" w:fill="FFFFFF"/>
                  <w:vAlign w:val="center"/>
                </w:tcPr>
                <w:p w14:paraId="2C9FD5AD">
                  <w:pPr>
                    <w:pStyle w:val="32"/>
                    <w:bidi w:val="0"/>
                  </w:pPr>
                  <w:r>
                    <w:t>1</w:t>
                  </w:r>
                </w:p>
              </w:tc>
              <w:tc>
                <w:tcPr>
                  <w:tcW w:w="1230" w:type="dxa"/>
                  <w:tcBorders>
                    <w:tl2br w:val="nil"/>
                    <w:tr2bl w:val="nil"/>
                  </w:tcBorders>
                  <w:shd w:val="clear" w:color="auto" w:fill="FFFFFF"/>
                  <w:vAlign w:val="center"/>
                </w:tcPr>
                <w:p w14:paraId="7E4DF04C">
                  <w:pPr>
                    <w:pStyle w:val="32"/>
                    <w:bidi w:val="0"/>
                  </w:pPr>
                  <w:r>
                    <w:t>卸油泵</w:t>
                  </w:r>
                </w:p>
              </w:tc>
              <w:tc>
                <w:tcPr>
                  <w:tcW w:w="645" w:type="dxa"/>
                  <w:tcBorders>
                    <w:tl2br w:val="nil"/>
                    <w:tr2bl w:val="nil"/>
                  </w:tcBorders>
                  <w:shd w:val="clear" w:color="auto" w:fill="FFFFFF"/>
                  <w:vAlign w:val="center"/>
                </w:tcPr>
                <w:p w14:paraId="57B6B0B0">
                  <w:pPr>
                    <w:pStyle w:val="32"/>
                    <w:bidi w:val="0"/>
                    <w:rPr>
                      <w:rFonts w:hint="eastAsia"/>
                      <w:lang w:val="en-US" w:eastAsia="zh-CN"/>
                    </w:rPr>
                  </w:pPr>
                  <w:r>
                    <w:rPr>
                      <w:rFonts w:hint="eastAsia"/>
                      <w:lang w:val="en-US" w:eastAsia="zh-CN"/>
                    </w:rPr>
                    <w:t>/</w:t>
                  </w:r>
                </w:p>
              </w:tc>
              <w:tc>
                <w:tcPr>
                  <w:tcW w:w="630" w:type="dxa"/>
                  <w:tcBorders>
                    <w:tl2br w:val="nil"/>
                    <w:tr2bl w:val="nil"/>
                  </w:tcBorders>
                  <w:shd w:val="clear" w:color="auto" w:fill="FFFFFF"/>
                  <w:vAlign w:val="center"/>
                </w:tcPr>
                <w:p w14:paraId="1F029F36">
                  <w:pPr>
                    <w:pStyle w:val="32"/>
                    <w:bidi w:val="0"/>
                  </w:pPr>
                  <w:r>
                    <w:t>24.1</w:t>
                  </w:r>
                </w:p>
              </w:tc>
              <w:tc>
                <w:tcPr>
                  <w:tcW w:w="645" w:type="dxa"/>
                  <w:tcBorders>
                    <w:tl2br w:val="nil"/>
                    <w:tr2bl w:val="nil"/>
                  </w:tcBorders>
                  <w:shd w:val="clear" w:color="auto" w:fill="FFFFFF"/>
                  <w:vAlign w:val="center"/>
                </w:tcPr>
                <w:p w14:paraId="44D5CEDF">
                  <w:pPr>
                    <w:pStyle w:val="32"/>
                    <w:bidi w:val="0"/>
                  </w:pPr>
                  <w:r>
                    <w:t>26.5</w:t>
                  </w:r>
                </w:p>
              </w:tc>
              <w:tc>
                <w:tcPr>
                  <w:tcW w:w="600" w:type="dxa"/>
                  <w:tcBorders>
                    <w:tl2br w:val="nil"/>
                    <w:tr2bl w:val="nil"/>
                  </w:tcBorders>
                  <w:shd w:val="clear" w:color="auto" w:fill="FFFFFF"/>
                  <w:vAlign w:val="center"/>
                </w:tcPr>
                <w:p w14:paraId="0AAD7309">
                  <w:pPr>
                    <w:pStyle w:val="32"/>
                    <w:bidi w:val="0"/>
                  </w:pPr>
                  <w:r>
                    <w:t>1.2</w:t>
                  </w:r>
                </w:p>
              </w:tc>
              <w:tc>
                <w:tcPr>
                  <w:tcW w:w="1695" w:type="dxa"/>
                  <w:tcBorders>
                    <w:tl2br w:val="nil"/>
                    <w:tr2bl w:val="nil"/>
                  </w:tcBorders>
                  <w:shd w:val="clear" w:color="auto" w:fill="FFFFFF"/>
                  <w:vAlign w:val="center"/>
                </w:tcPr>
                <w:p w14:paraId="5944DE94">
                  <w:pPr>
                    <w:pStyle w:val="32"/>
                    <w:bidi w:val="0"/>
                    <w:rPr>
                      <w:rFonts w:hint="default"/>
                      <w:lang w:val="en-US" w:eastAsia="zh-CN"/>
                    </w:rPr>
                  </w:pPr>
                  <w:r>
                    <w:rPr>
                      <w:rFonts w:hint="eastAsia"/>
                      <w:lang w:val="en-US" w:eastAsia="zh-CN"/>
                    </w:rPr>
                    <w:t>80</w:t>
                  </w:r>
                </w:p>
              </w:tc>
              <w:tc>
                <w:tcPr>
                  <w:tcW w:w="1055" w:type="dxa"/>
                  <w:tcBorders>
                    <w:tl2br w:val="nil"/>
                    <w:tr2bl w:val="nil"/>
                  </w:tcBorders>
                  <w:shd w:val="clear" w:color="auto" w:fill="FFFFFF"/>
                  <w:vAlign w:val="center"/>
                </w:tcPr>
                <w:p w14:paraId="1661EAF2">
                  <w:pPr>
                    <w:pStyle w:val="32"/>
                    <w:bidi w:val="0"/>
                    <w:rPr>
                      <w:rFonts w:hint="eastAsia"/>
                      <w:lang w:eastAsia="zh-CN"/>
                    </w:rPr>
                  </w:pPr>
                  <w:r>
                    <w:t>隔声罩</w:t>
                  </w:r>
                </w:p>
              </w:tc>
              <w:tc>
                <w:tcPr>
                  <w:tcW w:w="979" w:type="dxa"/>
                  <w:tcBorders>
                    <w:tl2br w:val="nil"/>
                    <w:tr2bl w:val="nil"/>
                  </w:tcBorders>
                  <w:shd w:val="clear" w:color="auto" w:fill="FFFFFF"/>
                  <w:vAlign w:val="center"/>
                </w:tcPr>
                <w:p w14:paraId="767F3525">
                  <w:pPr>
                    <w:pStyle w:val="32"/>
                    <w:bidi w:val="0"/>
                  </w:pPr>
                  <w:r>
                    <w:rPr>
                      <w:rFonts w:hint="eastAsia"/>
                      <w:lang w:val="en-US" w:eastAsia="zh-CN"/>
                    </w:rPr>
                    <w:t>24</w:t>
                  </w:r>
                  <w:r>
                    <w:t>.0</w:t>
                  </w:r>
                </w:p>
              </w:tc>
            </w:tr>
            <w:tr w14:paraId="4178C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3" w:hRule="exact"/>
                <w:jc w:val="center"/>
              </w:trPr>
              <w:tc>
                <w:tcPr>
                  <w:tcW w:w="870" w:type="dxa"/>
                  <w:tcBorders>
                    <w:tl2br w:val="nil"/>
                    <w:tr2bl w:val="nil"/>
                  </w:tcBorders>
                  <w:shd w:val="clear" w:color="auto" w:fill="FFFFFF"/>
                  <w:vAlign w:val="center"/>
                </w:tcPr>
                <w:p w14:paraId="5460DEF5">
                  <w:pPr>
                    <w:pStyle w:val="32"/>
                    <w:bidi w:val="0"/>
                    <w:rPr>
                      <w:rFonts w:hint="eastAsia"/>
                      <w:lang w:val="en-US" w:eastAsia="zh-CN"/>
                    </w:rPr>
                  </w:pPr>
                  <w:r>
                    <w:t>2</w:t>
                  </w:r>
                </w:p>
              </w:tc>
              <w:tc>
                <w:tcPr>
                  <w:tcW w:w="1230" w:type="dxa"/>
                  <w:tcBorders>
                    <w:tl2br w:val="nil"/>
                    <w:tr2bl w:val="nil"/>
                  </w:tcBorders>
                  <w:shd w:val="clear" w:color="auto" w:fill="FFFFFF"/>
                  <w:vAlign w:val="center"/>
                </w:tcPr>
                <w:p w14:paraId="6D748EED">
                  <w:pPr>
                    <w:pStyle w:val="32"/>
                    <w:bidi w:val="0"/>
                  </w:pPr>
                  <w:r>
                    <w:t>加油枪</w:t>
                  </w:r>
                </w:p>
              </w:tc>
              <w:tc>
                <w:tcPr>
                  <w:tcW w:w="645" w:type="dxa"/>
                  <w:tcBorders>
                    <w:tl2br w:val="nil"/>
                    <w:tr2bl w:val="nil"/>
                  </w:tcBorders>
                  <w:shd w:val="clear" w:color="auto" w:fill="FFFFFF"/>
                  <w:vAlign w:val="center"/>
                </w:tcPr>
                <w:p w14:paraId="5E4AD872">
                  <w:pPr>
                    <w:pStyle w:val="32"/>
                    <w:bidi w:val="0"/>
                    <w:rPr>
                      <w:rFonts w:hint="default"/>
                      <w:lang w:val="en-US" w:eastAsia="zh-CN"/>
                    </w:rPr>
                  </w:pPr>
                  <w:r>
                    <w:rPr>
                      <w:rFonts w:hint="eastAsia"/>
                      <w:lang w:val="en-US" w:eastAsia="zh-CN"/>
                    </w:rPr>
                    <w:t>/</w:t>
                  </w:r>
                </w:p>
              </w:tc>
              <w:tc>
                <w:tcPr>
                  <w:tcW w:w="630" w:type="dxa"/>
                  <w:tcBorders>
                    <w:tl2br w:val="nil"/>
                    <w:tr2bl w:val="nil"/>
                  </w:tcBorders>
                  <w:shd w:val="clear" w:color="auto" w:fill="FFFFFF"/>
                  <w:vAlign w:val="center"/>
                </w:tcPr>
                <w:p w14:paraId="58EE3C5F">
                  <w:pPr>
                    <w:pStyle w:val="32"/>
                    <w:bidi w:val="0"/>
                  </w:pPr>
                  <w:r>
                    <w:t>6.3</w:t>
                  </w:r>
                </w:p>
              </w:tc>
              <w:tc>
                <w:tcPr>
                  <w:tcW w:w="645" w:type="dxa"/>
                  <w:tcBorders>
                    <w:tl2br w:val="nil"/>
                    <w:tr2bl w:val="nil"/>
                  </w:tcBorders>
                  <w:shd w:val="clear" w:color="auto" w:fill="FFFFFF"/>
                  <w:vAlign w:val="center"/>
                </w:tcPr>
                <w:p w14:paraId="6EE77FF8">
                  <w:pPr>
                    <w:pStyle w:val="32"/>
                    <w:bidi w:val="0"/>
                  </w:pPr>
                  <w:r>
                    <w:t>2.9</w:t>
                  </w:r>
                </w:p>
              </w:tc>
              <w:tc>
                <w:tcPr>
                  <w:tcW w:w="600" w:type="dxa"/>
                  <w:tcBorders>
                    <w:tl2br w:val="nil"/>
                    <w:tr2bl w:val="nil"/>
                  </w:tcBorders>
                  <w:shd w:val="clear" w:color="auto" w:fill="FFFFFF"/>
                  <w:vAlign w:val="center"/>
                </w:tcPr>
                <w:p w14:paraId="3A2672D4">
                  <w:pPr>
                    <w:pStyle w:val="32"/>
                    <w:bidi w:val="0"/>
                  </w:pPr>
                  <w:r>
                    <w:t>1.2</w:t>
                  </w:r>
                </w:p>
              </w:tc>
              <w:tc>
                <w:tcPr>
                  <w:tcW w:w="1695" w:type="dxa"/>
                  <w:tcBorders>
                    <w:tl2br w:val="nil"/>
                    <w:tr2bl w:val="nil"/>
                  </w:tcBorders>
                  <w:shd w:val="clear" w:color="auto" w:fill="FFFFFF"/>
                  <w:vAlign w:val="center"/>
                </w:tcPr>
                <w:p w14:paraId="33A75596">
                  <w:pPr>
                    <w:pStyle w:val="32"/>
                    <w:bidi w:val="0"/>
                    <w:rPr>
                      <w:rFonts w:hint="default"/>
                      <w:lang w:val="en-US" w:eastAsia="zh-CN"/>
                    </w:rPr>
                  </w:pPr>
                  <w:r>
                    <w:rPr>
                      <w:rFonts w:hint="eastAsia"/>
                      <w:lang w:val="en-US" w:eastAsia="zh-CN"/>
                    </w:rPr>
                    <w:t>70</w:t>
                  </w:r>
                </w:p>
              </w:tc>
              <w:tc>
                <w:tcPr>
                  <w:tcW w:w="1055" w:type="dxa"/>
                  <w:tcBorders>
                    <w:tl2br w:val="nil"/>
                    <w:tr2bl w:val="nil"/>
                  </w:tcBorders>
                  <w:shd w:val="clear" w:color="auto" w:fill="FFFFFF"/>
                  <w:vAlign w:val="center"/>
                </w:tcPr>
                <w:p w14:paraId="153C7049">
                  <w:pPr>
                    <w:pStyle w:val="32"/>
                    <w:bidi w:val="0"/>
                    <w:rPr>
                      <w:rFonts w:hint="eastAsia"/>
                      <w:lang w:val="en-US" w:eastAsia="zh-CN"/>
                    </w:rPr>
                  </w:pPr>
                  <w:r>
                    <w:t>消声器</w:t>
                  </w:r>
                </w:p>
              </w:tc>
              <w:tc>
                <w:tcPr>
                  <w:tcW w:w="979" w:type="dxa"/>
                  <w:tcBorders>
                    <w:tl2br w:val="nil"/>
                    <w:tr2bl w:val="nil"/>
                  </w:tcBorders>
                  <w:shd w:val="clear" w:color="auto" w:fill="FFFFFF"/>
                  <w:vAlign w:val="center"/>
                </w:tcPr>
                <w:p w14:paraId="27A1AF1B">
                  <w:pPr>
                    <w:pStyle w:val="32"/>
                    <w:bidi w:val="0"/>
                    <w:rPr>
                      <w:rFonts w:hint="default"/>
                      <w:lang w:val="en-US" w:eastAsia="zh-CN"/>
                    </w:rPr>
                  </w:pPr>
                  <w:r>
                    <w:rPr>
                      <w:rFonts w:hint="eastAsia"/>
                      <w:lang w:val="en-US" w:eastAsia="zh-CN"/>
                    </w:rPr>
                    <w:t>24.0</w:t>
                  </w:r>
                </w:p>
              </w:tc>
            </w:tr>
            <w:tr w14:paraId="33A82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3" w:hRule="exact"/>
                <w:jc w:val="center"/>
              </w:trPr>
              <w:tc>
                <w:tcPr>
                  <w:tcW w:w="870" w:type="dxa"/>
                  <w:tcBorders>
                    <w:tl2br w:val="nil"/>
                    <w:tr2bl w:val="nil"/>
                  </w:tcBorders>
                  <w:shd w:val="clear" w:color="auto" w:fill="FFFFFF"/>
                  <w:vAlign w:val="center"/>
                </w:tcPr>
                <w:p w14:paraId="349EA645">
                  <w:pPr>
                    <w:pStyle w:val="32"/>
                    <w:bidi w:val="0"/>
                    <w:rPr>
                      <w:rFonts w:hint="eastAsia"/>
                      <w:lang w:val="en-US" w:eastAsia="zh-CN"/>
                    </w:rPr>
                  </w:pPr>
                  <w:r>
                    <w:t>3</w:t>
                  </w:r>
                </w:p>
              </w:tc>
              <w:tc>
                <w:tcPr>
                  <w:tcW w:w="1230" w:type="dxa"/>
                  <w:tcBorders>
                    <w:tl2br w:val="nil"/>
                    <w:tr2bl w:val="nil"/>
                  </w:tcBorders>
                  <w:shd w:val="clear" w:color="auto" w:fill="FFFFFF"/>
                  <w:vAlign w:val="center"/>
                </w:tcPr>
                <w:p w14:paraId="4EAF29F0">
                  <w:pPr>
                    <w:pStyle w:val="32"/>
                    <w:bidi w:val="0"/>
                  </w:pPr>
                  <w:r>
                    <w:t>车辆</w:t>
                  </w:r>
                </w:p>
              </w:tc>
              <w:tc>
                <w:tcPr>
                  <w:tcW w:w="645" w:type="dxa"/>
                  <w:tcBorders>
                    <w:tl2br w:val="nil"/>
                    <w:tr2bl w:val="nil"/>
                  </w:tcBorders>
                  <w:shd w:val="clear" w:color="auto" w:fill="FFFFFF"/>
                  <w:vAlign w:val="center"/>
                </w:tcPr>
                <w:p w14:paraId="12EAC07E">
                  <w:pPr>
                    <w:pStyle w:val="32"/>
                    <w:bidi w:val="0"/>
                    <w:rPr>
                      <w:rFonts w:hint="default"/>
                      <w:lang w:val="en-US" w:eastAsia="zh-CN"/>
                    </w:rPr>
                  </w:pPr>
                  <w:r>
                    <w:rPr>
                      <w:rFonts w:hint="eastAsia"/>
                      <w:lang w:val="en-US" w:eastAsia="zh-CN"/>
                    </w:rPr>
                    <w:t>/</w:t>
                  </w:r>
                </w:p>
              </w:tc>
              <w:tc>
                <w:tcPr>
                  <w:tcW w:w="630" w:type="dxa"/>
                  <w:tcBorders>
                    <w:tl2br w:val="nil"/>
                    <w:tr2bl w:val="nil"/>
                  </w:tcBorders>
                  <w:shd w:val="clear" w:color="auto" w:fill="FFFFFF"/>
                  <w:vAlign w:val="center"/>
                </w:tcPr>
                <w:p w14:paraId="3BF00073">
                  <w:pPr>
                    <w:pStyle w:val="32"/>
                    <w:bidi w:val="0"/>
                  </w:pPr>
                  <w:r>
                    <w:t>0.1</w:t>
                  </w:r>
                </w:p>
              </w:tc>
              <w:tc>
                <w:tcPr>
                  <w:tcW w:w="645" w:type="dxa"/>
                  <w:tcBorders>
                    <w:tl2br w:val="nil"/>
                    <w:tr2bl w:val="nil"/>
                  </w:tcBorders>
                  <w:shd w:val="clear" w:color="auto" w:fill="FFFFFF"/>
                  <w:vAlign w:val="center"/>
                </w:tcPr>
                <w:p w14:paraId="33E5AF33">
                  <w:pPr>
                    <w:pStyle w:val="32"/>
                    <w:bidi w:val="0"/>
                  </w:pPr>
                  <w:r>
                    <w:t>-7.8</w:t>
                  </w:r>
                </w:p>
              </w:tc>
              <w:tc>
                <w:tcPr>
                  <w:tcW w:w="600" w:type="dxa"/>
                  <w:tcBorders>
                    <w:tl2br w:val="nil"/>
                    <w:tr2bl w:val="nil"/>
                  </w:tcBorders>
                  <w:shd w:val="clear" w:color="auto" w:fill="FFFFFF"/>
                  <w:vAlign w:val="center"/>
                </w:tcPr>
                <w:p w14:paraId="3D649138">
                  <w:pPr>
                    <w:pStyle w:val="32"/>
                    <w:bidi w:val="0"/>
                  </w:pPr>
                  <w:r>
                    <w:t>1.2</w:t>
                  </w:r>
                </w:p>
              </w:tc>
              <w:tc>
                <w:tcPr>
                  <w:tcW w:w="1695" w:type="dxa"/>
                  <w:tcBorders>
                    <w:tl2br w:val="nil"/>
                    <w:tr2bl w:val="nil"/>
                  </w:tcBorders>
                  <w:shd w:val="clear" w:color="auto" w:fill="FFFFFF"/>
                  <w:vAlign w:val="center"/>
                </w:tcPr>
                <w:p w14:paraId="01BD14D8">
                  <w:pPr>
                    <w:pStyle w:val="32"/>
                    <w:bidi w:val="0"/>
                    <w:rPr>
                      <w:rFonts w:hint="default"/>
                      <w:lang w:val="en-US" w:eastAsia="zh-CN"/>
                    </w:rPr>
                  </w:pPr>
                  <w:r>
                    <w:rPr>
                      <w:rFonts w:hint="eastAsia"/>
                      <w:lang w:val="en-US" w:eastAsia="zh-CN"/>
                    </w:rPr>
                    <w:t>75</w:t>
                  </w:r>
                </w:p>
              </w:tc>
              <w:tc>
                <w:tcPr>
                  <w:tcW w:w="1055" w:type="dxa"/>
                  <w:tcBorders>
                    <w:tl2br w:val="nil"/>
                    <w:tr2bl w:val="nil"/>
                  </w:tcBorders>
                  <w:shd w:val="clear" w:color="auto" w:fill="FFFFFF"/>
                  <w:vAlign w:val="center"/>
                </w:tcPr>
                <w:p w14:paraId="0A6FA448">
                  <w:pPr>
                    <w:pStyle w:val="32"/>
                    <w:bidi w:val="0"/>
                    <w:rPr>
                      <w:rFonts w:hint="eastAsia"/>
                      <w:lang w:val="en-US" w:eastAsia="zh-CN"/>
                    </w:rPr>
                  </w:pPr>
                  <w:r>
                    <w:t>减速行驶</w:t>
                  </w:r>
                </w:p>
              </w:tc>
              <w:tc>
                <w:tcPr>
                  <w:tcW w:w="979" w:type="dxa"/>
                  <w:tcBorders>
                    <w:tl2br w:val="nil"/>
                    <w:tr2bl w:val="nil"/>
                  </w:tcBorders>
                  <w:shd w:val="clear" w:color="auto" w:fill="FFFFFF"/>
                  <w:vAlign w:val="center"/>
                </w:tcPr>
                <w:p w14:paraId="06C2F300">
                  <w:pPr>
                    <w:pStyle w:val="32"/>
                    <w:bidi w:val="0"/>
                    <w:rPr>
                      <w:rFonts w:hint="default"/>
                      <w:lang w:val="en-US" w:eastAsia="zh-CN"/>
                    </w:rPr>
                  </w:pPr>
                  <w:r>
                    <w:rPr>
                      <w:rFonts w:hint="eastAsia"/>
                      <w:lang w:val="en-US" w:eastAsia="zh-CN"/>
                    </w:rPr>
                    <w:t>24.0</w:t>
                  </w:r>
                </w:p>
              </w:tc>
            </w:tr>
            <w:tr w14:paraId="5BD43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3" w:hRule="exact"/>
                <w:jc w:val="center"/>
              </w:trPr>
              <w:tc>
                <w:tcPr>
                  <w:tcW w:w="8349" w:type="dxa"/>
                  <w:gridSpan w:val="9"/>
                  <w:tcBorders>
                    <w:tl2br w:val="nil"/>
                    <w:tr2bl w:val="nil"/>
                  </w:tcBorders>
                  <w:shd w:val="clear" w:color="auto" w:fill="FFFFFF"/>
                  <w:vAlign w:val="center"/>
                </w:tcPr>
                <w:p w14:paraId="0E3CA4BB">
                  <w:pPr>
                    <w:pStyle w:val="32"/>
                    <w:bidi w:val="0"/>
                  </w:pPr>
                  <w:r>
                    <w:rPr>
                      <w:rFonts w:hint="eastAsia"/>
                    </w:rPr>
                    <w:t>表中坐标以厂界中心（86.2519455</w:t>
                  </w:r>
                  <w:r>
                    <w:rPr>
                      <w:rFonts w:hint="eastAsia"/>
                      <w:lang w:eastAsia="zh-CN"/>
                    </w:rPr>
                    <w:t>，</w:t>
                  </w:r>
                  <w:r>
                    <w:rPr>
                      <w:rFonts w:hint="eastAsia"/>
                    </w:rPr>
                    <w:t>41.732303）为坐标原点，正东向为X轴正方向，正北向为Y轴正方向</w:t>
                  </w:r>
                </w:p>
              </w:tc>
            </w:tr>
          </w:tbl>
          <w:p w14:paraId="1EE9FA23">
            <w:pPr>
              <w:pStyle w:val="5"/>
              <w:keepNext/>
              <w:keepLines/>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snapToGrid w:val="0"/>
                <w:sz w:val="24"/>
                <w:szCs w:val="24"/>
                <w:highlight w:val="none"/>
                <w:lang w:val="en-US" w:eastAsia="zh-CN" w:bidi="ar-SA"/>
              </w:rPr>
            </w:pPr>
            <w:r>
              <w:rPr>
                <w:rFonts w:hint="eastAsia" w:ascii="Times New Roman" w:hAnsi="Times New Roman" w:eastAsia="宋体" w:cs="Times New Roman"/>
                <w:b/>
                <w:bCs/>
                <w:snapToGrid w:val="0"/>
                <w:sz w:val="24"/>
                <w:szCs w:val="24"/>
                <w:highlight w:val="none"/>
                <w:lang w:val="en-US" w:eastAsia="zh-CN" w:bidi="ar-SA"/>
              </w:rPr>
              <w:t>4.2.3.2噪声预测模式</w:t>
            </w:r>
          </w:p>
          <w:p w14:paraId="1654670B">
            <w:pPr>
              <w:ind w:firstLine="480"/>
              <w:rPr>
                <w:rFonts w:cs="Times New Roman"/>
              </w:rPr>
            </w:pPr>
            <w:r>
              <w:rPr>
                <w:rFonts w:cs="Times New Roman"/>
              </w:rPr>
              <w:t>为判定营运期厂界噪声达标情况，</w:t>
            </w:r>
            <w:r>
              <w:rPr>
                <w:rFonts w:cs="Times New Roman"/>
                <w:lang w:eastAsia="zh-CN"/>
              </w:rPr>
              <w:t>根据项目建设内容及《环境影响评价技术导则—声环境》（HJ2.4-2021）的要求，项目环评采用的模型为《环境影响评价技术导则 声环境》</w:t>
            </w:r>
            <w:r>
              <w:rPr>
                <w:rFonts w:hint="eastAsia" w:cs="Times New Roman"/>
                <w:lang w:eastAsia="zh-CN"/>
              </w:rPr>
              <w:t>（</w:t>
            </w:r>
            <w:r>
              <w:rPr>
                <w:rFonts w:cs="Times New Roman"/>
                <w:lang w:eastAsia="zh-CN"/>
              </w:rPr>
              <w:t>HJ2.4</w:t>
            </w:r>
            <w:r>
              <w:rPr>
                <w:rFonts w:hint="eastAsia" w:cs="Times New Roman"/>
                <w:lang w:val="en-US" w:eastAsia="zh-CN"/>
              </w:rPr>
              <w:t>-</w:t>
            </w:r>
            <w:r>
              <w:rPr>
                <w:rFonts w:cs="Times New Roman"/>
                <w:lang w:eastAsia="zh-CN"/>
              </w:rPr>
              <w:t>2021</w:t>
            </w:r>
            <w:r>
              <w:rPr>
                <w:rFonts w:hint="eastAsia" w:cs="Times New Roman"/>
                <w:lang w:eastAsia="zh-CN"/>
              </w:rPr>
              <w:t>）</w:t>
            </w:r>
            <w:r>
              <w:rPr>
                <w:rFonts w:cs="Times New Roman"/>
                <w:lang w:eastAsia="zh-CN"/>
              </w:rPr>
              <w:t>附</w:t>
            </w:r>
            <w:r>
              <w:rPr>
                <w:rFonts w:ascii="Times New Roman" w:hAnsi="Times New Roman" w:cs="Times New Roman" w:eastAsiaTheme="minorEastAsia"/>
                <w:color w:val="302116"/>
                <w:sz w:val="24"/>
                <w:szCs w:val="24"/>
                <w:lang w:eastAsia="zh-CN"/>
              </w:rPr>
              <w:t>录A（规范性附录）户外声传播的衰减和附录B（规范性附录）中</w:t>
            </w:r>
            <w:r>
              <w:rPr>
                <w:rFonts w:hint="eastAsia" w:cs="Times New Roman" w:eastAsiaTheme="minorEastAsia"/>
                <w:color w:val="302116"/>
                <w:sz w:val="24"/>
                <w:szCs w:val="24"/>
                <w:lang w:eastAsia="zh-CN"/>
              </w:rPr>
              <w:t>“</w:t>
            </w:r>
            <w:r>
              <w:rPr>
                <w:rFonts w:ascii="Times New Roman" w:hAnsi="Times New Roman" w:cs="Times New Roman" w:eastAsiaTheme="minorEastAsia"/>
                <w:color w:val="302116"/>
                <w:sz w:val="24"/>
                <w:szCs w:val="24"/>
                <w:lang w:eastAsia="zh-CN"/>
              </w:rPr>
              <w:t>B.1工业噪声预测计算模型</w:t>
            </w:r>
            <w:r>
              <w:rPr>
                <w:rFonts w:hint="eastAsia" w:cs="Times New Roman" w:eastAsiaTheme="minorEastAsia"/>
                <w:color w:val="302116"/>
                <w:sz w:val="24"/>
                <w:szCs w:val="24"/>
                <w:lang w:eastAsia="zh-CN"/>
              </w:rPr>
              <w:t>”</w:t>
            </w:r>
            <w:r>
              <w:rPr>
                <w:rFonts w:cs="Times New Roman"/>
              </w:rPr>
              <w:t>。</w:t>
            </w:r>
          </w:p>
          <w:p w14:paraId="7BC56BB4">
            <w:pPr>
              <w:widowControl/>
              <w:ind w:firstLine="480"/>
              <w:jc w:val="left"/>
              <w:rPr>
                <w:rFonts w:cs="Times New Roman"/>
                <w:bCs/>
              </w:rPr>
            </w:pPr>
            <w:r>
              <w:rPr>
                <w:rFonts w:cs="Times New Roman"/>
                <w:bCs/>
              </w:rPr>
              <w:t>对室外噪声源主要考虑噪声的几何发散衰减及</w:t>
            </w:r>
            <w:bookmarkStart w:id="15" w:name="OLE_LINK4"/>
            <w:r>
              <w:rPr>
                <w:rFonts w:cs="Times New Roman"/>
                <w:bCs/>
              </w:rPr>
              <w:t>环境因</w:t>
            </w:r>
            <w:bookmarkEnd w:id="15"/>
            <w:r>
              <w:rPr>
                <w:rFonts w:cs="Times New Roman"/>
                <w:bCs/>
              </w:rPr>
              <w:t>素衰减：</w:t>
            </w:r>
          </w:p>
          <w:p w14:paraId="560A57CA">
            <w:pPr>
              <w:widowControl/>
              <w:ind w:firstLine="199" w:firstLineChars="83"/>
              <w:jc w:val="center"/>
              <w:rPr>
                <w:rFonts w:hint="eastAsia" w:eastAsia="宋体" w:cs="Times New Roman"/>
                <w:bCs/>
                <w:lang w:eastAsia="zh-CN"/>
              </w:rPr>
            </w:pPr>
            <w:r>
              <w:rPr>
                <w:rFonts w:cs="Times New Roman"/>
                <w:bCs/>
              </w:rPr>
              <w:t>L</w:t>
            </w:r>
            <w:r>
              <w:rPr>
                <w:rFonts w:cs="Times New Roman"/>
                <w:bCs/>
                <w:vertAlign w:val="subscript"/>
              </w:rPr>
              <w:t>A</w:t>
            </w:r>
            <w:r>
              <w:rPr>
                <w:rFonts w:hint="eastAsia" w:cs="Times New Roman"/>
                <w:bCs/>
                <w:lang w:eastAsia="zh-CN"/>
              </w:rPr>
              <w:t>（</w:t>
            </w:r>
            <w:r>
              <w:rPr>
                <w:rFonts w:cs="Times New Roman"/>
                <w:bCs/>
              </w:rPr>
              <w:t>r</w:t>
            </w:r>
            <w:r>
              <w:rPr>
                <w:rFonts w:hint="eastAsia" w:cs="Times New Roman"/>
                <w:bCs/>
                <w:lang w:eastAsia="zh-CN"/>
              </w:rPr>
              <w:t>）</w:t>
            </w:r>
            <w:r>
              <w:rPr>
                <w:rFonts w:cs="Times New Roman"/>
                <w:bCs/>
              </w:rPr>
              <w:t>=LA</w:t>
            </w:r>
            <w:r>
              <w:rPr>
                <w:rFonts w:hint="eastAsia" w:cs="Times New Roman"/>
                <w:bCs/>
                <w:lang w:eastAsia="zh-CN"/>
              </w:rPr>
              <w:t>（</w:t>
            </w:r>
            <w:r>
              <w:rPr>
                <w:rFonts w:cs="Times New Roman"/>
                <w:bCs/>
              </w:rPr>
              <w:t>r</w:t>
            </w:r>
            <w:r>
              <w:rPr>
                <w:rFonts w:cs="Times New Roman"/>
                <w:bCs/>
                <w:vertAlign w:val="subscript"/>
              </w:rPr>
              <w:t>0</w:t>
            </w:r>
            <w:r>
              <w:rPr>
                <w:rFonts w:hint="eastAsia" w:cs="Times New Roman"/>
                <w:bCs/>
                <w:lang w:eastAsia="zh-CN"/>
              </w:rPr>
              <w:t>）</w:t>
            </w:r>
            <w:r>
              <w:rPr>
                <w:rFonts w:cs="Times New Roman"/>
                <w:bCs/>
              </w:rPr>
              <w:t>-20lg</w:t>
            </w:r>
            <w:r>
              <w:rPr>
                <w:rFonts w:hint="eastAsia" w:cs="Times New Roman"/>
                <w:bCs/>
                <w:lang w:eastAsia="zh-CN"/>
              </w:rPr>
              <w:t>（</w:t>
            </w:r>
            <w:r>
              <w:rPr>
                <w:rFonts w:cs="Times New Roman"/>
                <w:bCs/>
              </w:rPr>
              <w:t>r/r</w:t>
            </w:r>
            <w:r>
              <w:rPr>
                <w:rFonts w:cs="Times New Roman"/>
                <w:bCs/>
                <w:vertAlign w:val="subscript"/>
              </w:rPr>
              <w:t>0</w:t>
            </w:r>
            <w:r>
              <w:rPr>
                <w:rFonts w:hint="eastAsia" w:cs="Times New Roman"/>
                <w:bCs/>
                <w:lang w:eastAsia="zh-CN"/>
              </w:rPr>
              <w:t>）</w:t>
            </w:r>
          </w:p>
          <w:p w14:paraId="1DA0EDAF">
            <w:pPr>
              <w:widowControl/>
              <w:ind w:firstLine="480"/>
              <w:jc w:val="left"/>
              <w:rPr>
                <w:rFonts w:cs="Times New Roman"/>
                <w:bCs/>
              </w:rPr>
            </w:pPr>
            <w:r>
              <w:rPr>
                <w:rFonts w:cs="Times New Roman"/>
                <w:bCs/>
              </w:rPr>
              <w:t>式中：r，r</w:t>
            </w:r>
            <w:r>
              <w:rPr>
                <w:rFonts w:cs="Times New Roman"/>
                <w:bCs/>
                <w:vertAlign w:val="subscript"/>
              </w:rPr>
              <w:t>0</w:t>
            </w:r>
            <w:r>
              <w:rPr>
                <w:rFonts w:cs="Times New Roman"/>
                <w:bCs/>
              </w:rPr>
              <w:t>——</w:t>
            </w:r>
            <w:bookmarkStart w:id="16" w:name="OLE_LINK5"/>
            <w:r>
              <w:rPr>
                <w:rFonts w:cs="Times New Roman"/>
                <w:bCs/>
              </w:rPr>
              <w:t>分别为距声源的距离</w:t>
            </w:r>
            <w:bookmarkEnd w:id="16"/>
            <w:r>
              <w:rPr>
                <w:rFonts w:cs="Times New Roman"/>
                <w:bCs/>
              </w:rPr>
              <w:t>，m；</w:t>
            </w:r>
          </w:p>
          <w:p w14:paraId="61117554">
            <w:pPr>
              <w:ind w:firstLine="1200" w:firstLineChars="500"/>
              <w:rPr>
                <w:bCs/>
              </w:rPr>
            </w:pPr>
            <w:r>
              <w:rPr>
                <w:rFonts w:cs="Times New Roman"/>
                <w:bCs/>
              </w:rPr>
              <w:t>L</w:t>
            </w:r>
            <w:r>
              <w:rPr>
                <w:rFonts w:hint="eastAsia" w:cs="Times New Roman"/>
                <w:bCs/>
                <w:lang w:eastAsia="zh-CN"/>
              </w:rPr>
              <w:t>（</w:t>
            </w:r>
            <w:r>
              <w:rPr>
                <w:rFonts w:cs="Times New Roman"/>
                <w:bCs/>
              </w:rPr>
              <w:t>r</w:t>
            </w:r>
            <w:r>
              <w:rPr>
                <w:rFonts w:hint="eastAsia" w:cs="Times New Roman"/>
                <w:bCs/>
                <w:lang w:eastAsia="zh-CN"/>
              </w:rPr>
              <w:t>）</w:t>
            </w:r>
            <w:r>
              <w:rPr>
                <w:rFonts w:cs="Times New Roman"/>
                <w:bCs/>
              </w:rPr>
              <w:t>，LA</w:t>
            </w:r>
            <w:r>
              <w:rPr>
                <w:rFonts w:hint="eastAsia" w:cs="Times New Roman"/>
                <w:bCs/>
                <w:lang w:eastAsia="zh-CN"/>
              </w:rPr>
              <w:t>（</w:t>
            </w:r>
            <w:r>
              <w:rPr>
                <w:rFonts w:cs="Times New Roman"/>
                <w:bCs/>
              </w:rPr>
              <w:t>r</w:t>
            </w:r>
            <w:r>
              <w:rPr>
                <w:rFonts w:cs="Times New Roman"/>
                <w:bCs/>
                <w:vertAlign w:val="subscript"/>
              </w:rPr>
              <w:t>0</w:t>
            </w:r>
            <w:r>
              <w:rPr>
                <w:rFonts w:hint="eastAsia" w:cs="Times New Roman"/>
                <w:bCs/>
                <w:lang w:eastAsia="zh-CN"/>
              </w:rPr>
              <w:t>）</w:t>
            </w:r>
            <w:r>
              <w:rPr>
                <w:rFonts w:cs="Times New Roman"/>
                <w:bCs/>
              </w:rPr>
              <w:t>——分别为r与r</w:t>
            </w:r>
            <w:r>
              <w:rPr>
                <w:rFonts w:cs="Times New Roman"/>
                <w:bCs/>
                <w:vertAlign w:val="subscript"/>
              </w:rPr>
              <w:t>0</w:t>
            </w:r>
            <w:r>
              <w:rPr>
                <w:rFonts w:cs="Times New Roman"/>
                <w:bCs/>
              </w:rPr>
              <w:t>处的等效声级，dB</w:t>
            </w:r>
            <w:r>
              <w:rPr>
                <w:rFonts w:hint="eastAsia" w:cs="Times New Roman"/>
                <w:bCs/>
                <w:lang w:eastAsia="zh-CN"/>
              </w:rPr>
              <w:t>（</w:t>
            </w:r>
            <w:r>
              <w:rPr>
                <w:rFonts w:cs="Times New Roman"/>
                <w:bCs/>
              </w:rPr>
              <w:t>A</w:t>
            </w:r>
            <w:r>
              <w:rPr>
                <w:rFonts w:hint="eastAsia" w:cs="Times New Roman"/>
                <w:bCs/>
                <w:lang w:eastAsia="zh-CN"/>
              </w:rPr>
              <w:t>）</w:t>
            </w:r>
            <w:r>
              <w:rPr>
                <w:rFonts w:cs="Times New Roman"/>
                <w:bCs/>
              </w:rPr>
              <w:t>。</w:t>
            </w:r>
          </w:p>
          <w:p w14:paraId="7CC4BEA1">
            <w:pPr>
              <w:ind w:firstLine="480"/>
              <w:rPr>
                <w:rFonts w:cs="Times New Roman"/>
                <w:snapToGrid w:val="0"/>
                <w:kern w:val="0"/>
              </w:rPr>
            </w:pPr>
            <w:r>
              <w:rPr>
                <w:rFonts w:cs="Times New Roman"/>
                <w:snapToGrid w:val="0"/>
                <w:kern w:val="0"/>
              </w:rPr>
              <w:t>对两个以上多个声源同时存在时，其预测点总声压级采用下面公式：</w:t>
            </w:r>
          </w:p>
          <w:p w14:paraId="52DDECFB">
            <w:pPr>
              <w:ind w:firstLine="480"/>
              <w:jc w:val="center"/>
              <w:rPr>
                <w:rFonts w:hint="eastAsia" w:eastAsia="宋体" w:cs="Times New Roman"/>
                <w:snapToGrid w:val="0"/>
                <w:kern w:val="0"/>
                <w:lang w:eastAsia="zh-CN"/>
              </w:rPr>
            </w:pPr>
            <w:r>
              <w:rPr>
                <w:rFonts w:cs="Times New Roman"/>
                <w:snapToGrid w:val="0"/>
                <w:kern w:val="0"/>
              </w:rPr>
              <w:t>L</w:t>
            </w:r>
            <w:r>
              <w:rPr>
                <w:rFonts w:cs="Times New Roman"/>
                <w:snapToGrid w:val="0"/>
                <w:kern w:val="0"/>
                <w:vertAlign w:val="subscript"/>
              </w:rPr>
              <w:t>eq</w:t>
            </w:r>
            <w:r>
              <w:rPr>
                <w:rFonts w:cs="Times New Roman"/>
                <w:snapToGrid w:val="0"/>
                <w:kern w:val="0"/>
              </w:rPr>
              <w:t>=10lg</w:t>
            </w:r>
            <w:r>
              <w:rPr>
                <w:rFonts w:hint="eastAsia" w:cs="Times New Roman"/>
                <w:snapToGrid w:val="0"/>
                <w:kern w:val="0"/>
                <w:lang w:eastAsia="zh-CN"/>
              </w:rPr>
              <w:t>（</w:t>
            </w:r>
            <w:r>
              <w:rPr>
                <w:rFonts w:cs="Times New Roman"/>
                <w:snapToGrid w:val="0"/>
                <w:kern w:val="0"/>
              </w:rPr>
              <w:t>100.1Li</w:t>
            </w:r>
            <w:r>
              <w:rPr>
                <w:rFonts w:hint="eastAsia" w:cs="Times New Roman"/>
                <w:snapToGrid w:val="0"/>
                <w:kern w:val="0"/>
                <w:lang w:eastAsia="zh-CN"/>
              </w:rPr>
              <w:t>）</w:t>
            </w:r>
          </w:p>
          <w:p w14:paraId="502E1CC1">
            <w:pPr>
              <w:ind w:firstLine="480"/>
              <w:rPr>
                <w:rFonts w:cs="Times New Roman"/>
                <w:snapToGrid w:val="0"/>
                <w:kern w:val="0"/>
              </w:rPr>
            </w:pPr>
            <w:r>
              <w:rPr>
                <w:rFonts w:cs="Times New Roman"/>
                <w:snapToGrid w:val="0"/>
                <w:kern w:val="0"/>
              </w:rPr>
              <w:t>式中：L</w:t>
            </w:r>
            <w:r>
              <w:rPr>
                <w:rFonts w:cs="Times New Roman"/>
                <w:snapToGrid w:val="0"/>
                <w:kern w:val="0"/>
                <w:vertAlign w:val="subscript"/>
              </w:rPr>
              <w:t>eq</w:t>
            </w:r>
            <w:r>
              <w:rPr>
                <w:rFonts w:cs="Times New Roman"/>
                <w:snapToGrid w:val="0"/>
                <w:kern w:val="0"/>
              </w:rPr>
              <w:t>-----预测点的总等效声级，dB</w:t>
            </w:r>
            <w:r>
              <w:rPr>
                <w:rFonts w:hint="eastAsia" w:cs="Times New Roman"/>
                <w:snapToGrid w:val="0"/>
                <w:kern w:val="0"/>
                <w:lang w:eastAsia="zh-CN"/>
              </w:rPr>
              <w:t>（</w:t>
            </w:r>
            <w:r>
              <w:rPr>
                <w:rFonts w:cs="Times New Roman"/>
                <w:snapToGrid w:val="0"/>
                <w:kern w:val="0"/>
              </w:rPr>
              <w:t>A</w:t>
            </w:r>
            <w:r>
              <w:rPr>
                <w:rFonts w:hint="eastAsia" w:cs="Times New Roman"/>
                <w:snapToGrid w:val="0"/>
                <w:kern w:val="0"/>
                <w:lang w:eastAsia="zh-CN"/>
              </w:rPr>
              <w:t>）</w:t>
            </w:r>
            <w:r>
              <w:rPr>
                <w:rFonts w:cs="Times New Roman"/>
                <w:snapToGrid w:val="0"/>
                <w:kern w:val="0"/>
              </w:rPr>
              <w:t>；</w:t>
            </w:r>
          </w:p>
          <w:p w14:paraId="6795CBA7">
            <w:pPr>
              <w:ind w:firstLine="1200" w:firstLineChars="500"/>
              <w:rPr>
                <w:rFonts w:cs="Times New Roman"/>
                <w:snapToGrid w:val="0"/>
                <w:kern w:val="0"/>
              </w:rPr>
            </w:pPr>
            <w:r>
              <w:rPr>
                <w:rFonts w:cs="Times New Roman"/>
                <w:snapToGrid w:val="0"/>
                <w:kern w:val="0"/>
              </w:rPr>
              <w:t>Li-----第i个声源对预测点的声级影响，dB</w:t>
            </w:r>
            <w:r>
              <w:rPr>
                <w:rFonts w:hint="eastAsia" w:cs="Times New Roman"/>
                <w:snapToGrid w:val="0"/>
                <w:kern w:val="0"/>
                <w:lang w:eastAsia="zh-CN"/>
              </w:rPr>
              <w:t>（</w:t>
            </w:r>
            <w:r>
              <w:rPr>
                <w:rFonts w:cs="Times New Roman"/>
                <w:snapToGrid w:val="0"/>
                <w:kern w:val="0"/>
              </w:rPr>
              <w:t>A</w:t>
            </w:r>
            <w:r>
              <w:rPr>
                <w:rFonts w:hint="eastAsia" w:cs="Times New Roman"/>
                <w:snapToGrid w:val="0"/>
                <w:kern w:val="0"/>
                <w:lang w:eastAsia="zh-CN"/>
              </w:rPr>
              <w:t>）</w:t>
            </w:r>
            <w:r>
              <w:rPr>
                <w:rFonts w:cs="Times New Roman"/>
                <w:snapToGrid w:val="0"/>
                <w:kern w:val="0"/>
              </w:rPr>
              <w:t>。</w:t>
            </w:r>
          </w:p>
          <w:p w14:paraId="7C7AB468">
            <w:pPr>
              <w:ind w:firstLine="480"/>
              <w:rPr>
                <w:rFonts w:cs="Times New Roman"/>
                <w:b w:val="0"/>
                <w:bCs w:val="0"/>
                <w:snapToGrid w:val="0"/>
                <w:kern w:val="0"/>
              </w:rPr>
            </w:pPr>
            <w:r>
              <w:rPr>
                <w:rFonts w:cs="Times New Roman"/>
                <w:b w:val="0"/>
                <w:bCs w:val="0"/>
                <w:snapToGrid w:val="0"/>
                <w:kern w:val="0"/>
              </w:rPr>
              <w:t>根据预测模式，分析本项目噪声对项目附近声环境质量的影响程度和范围。</w:t>
            </w:r>
          </w:p>
          <w:p w14:paraId="16A54215">
            <w:pPr>
              <w:pStyle w:val="5"/>
              <w:keepNext/>
              <w:keepLines/>
              <w:pageBreakBefore w:val="0"/>
              <w:widowControl w:val="0"/>
              <w:kinsoku/>
              <w:wordWrap/>
              <w:overflowPunct/>
              <w:topLinePunct w:val="0"/>
              <w:autoSpaceDE/>
              <w:autoSpaceDN/>
              <w:bidi w:val="0"/>
              <w:adjustRightInd/>
              <w:snapToGrid/>
              <w:spacing w:before="100" w:after="100"/>
              <w:textAlignment w:val="auto"/>
              <w:rPr>
                <w:rFonts w:hint="default" w:ascii="Times New Roman" w:hAnsi="Times New Roman" w:eastAsia="宋体" w:cs="Times New Roman"/>
                <w:b/>
                <w:bCs/>
                <w:snapToGrid w:val="0"/>
                <w:sz w:val="24"/>
                <w:szCs w:val="24"/>
                <w:highlight w:val="none"/>
                <w:lang w:val="en-US" w:eastAsia="zh-CN" w:bidi="ar-SA"/>
              </w:rPr>
            </w:pPr>
            <w:r>
              <w:rPr>
                <w:rFonts w:hint="eastAsia" w:ascii="Times New Roman" w:hAnsi="Times New Roman" w:eastAsia="宋体" w:cs="Times New Roman"/>
                <w:b/>
                <w:bCs/>
                <w:snapToGrid w:val="0"/>
                <w:sz w:val="24"/>
                <w:szCs w:val="24"/>
                <w:highlight w:val="none"/>
                <w:lang w:val="en-US" w:eastAsia="zh-CN" w:bidi="ar-SA"/>
              </w:rPr>
              <w:t>4.2.3.3噪声预测结果</w:t>
            </w:r>
          </w:p>
          <w:p w14:paraId="7F8A6552">
            <w:pPr>
              <w:ind w:firstLine="480"/>
              <w:rPr>
                <w:rFonts w:hint="eastAsia"/>
                <w:color w:val="000000" w:themeColor="text1"/>
                <w14:textFill>
                  <w14:solidFill>
                    <w14:schemeClr w14:val="tx1"/>
                  </w14:solidFill>
                </w14:textFill>
              </w:rPr>
            </w:pPr>
            <w:r>
              <w:rPr>
                <w:rFonts w:cs="Times New Roman"/>
                <w:snapToGrid w:val="0"/>
                <w:kern w:val="0"/>
              </w:rPr>
              <w:t>本次对项目边界噪声预测，边界的噪声预测结果</w:t>
            </w:r>
            <w:r>
              <w:rPr>
                <w:rFonts w:hint="eastAsia" w:cs="Times New Roman"/>
                <w:snapToGrid w:val="0"/>
                <w:kern w:val="0"/>
                <w:lang w:val="en-US" w:eastAsia="zh-CN"/>
              </w:rPr>
              <w:t>如下</w:t>
            </w:r>
            <w:r>
              <w:rPr>
                <w:rFonts w:cs="Times New Roman"/>
                <w:snapToGrid w:val="0"/>
                <w:kern w:val="0"/>
              </w:rPr>
              <w:t>表</w:t>
            </w:r>
            <w:r>
              <w:rPr>
                <w:rFonts w:hint="eastAsia"/>
                <w:color w:val="000000" w:themeColor="text1"/>
                <w14:textFill>
                  <w14:solidFill>
                    <w14:schemeClr w14:val="tx1"/>
                  </w14:solidFill>
                </w14:textFill>
              </w:rPr>
              <w:t>。</w:t>
            </w:r>
          </w:p>
          <w:p w14:paraId="694BF8BD">
            <w:pPr>
              <w:pStyle w:val="28"/>
              <w:keepNext/>
              <w:keepLines w:val="0"/>
              <w:pageBreakBefore w:val="0"/>
              <w:widowControl w:val="0"/>
              <w:kinsoku/>
              <w:wordWrap/>
              <w:overflowPunct/>
              <w:topLinePunct w:val="0"/>
              <w:autoSpaceDE/>
              <w:autoSpaceDN/>
              <w:bidi w:val="0"/>
              <w:adjustRightInd/>
              <w:snapToGrid/>
              <w:spacing w:before="0" w:beforeLines="0"/>
              <w:textAlignment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表4</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声环境预测结果</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w:t>
            </w:r>
            <w:r>
              <w:rPr>
                <w:color w:val="000000" w:themeColor="text1"/>
                <w14:textFill>
                  <w14:solidFill>
                    <w14:schemeClr w14:val="tx1"/>
                  </w14:solidFill>
                </w14:textFill>
              </w:rPr>
              <w:t>dB</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747"/>
              <w:gridCol w:w="747"/>
              <w:gridCol w:w="1198"/>
              <w:gridCol w:w="720"/>
              <w:gridCol w:w="1074"/>
              <w:gridCol w:w="1320"/>
              <w:gridCol w:w="1106"/>
            </w:tblGrid>
            <w:tr w14:paraId="2BC0E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320" w:type="dxa"/>
                  <w:vMerge w:val="restart"/>
                  <w:tcBorders>
                    <w:tl2br w:val="nil"/>
                    <w:tr2bl w:val="nil"/>
                  </w:tcBorders>
                  <w:vAlign w:val="center"/>
                </w:tcPr>
                <w:p w14:paraId="0605751C">
                  <w:pPr>
                    <w:pStyle w:val="32"/>
                    <w:bidi w:val="0"/>
                  </w:pPr>
                  <w:r>
                    <w:t>预测方位</w:t>
                  </w:r>
                </w:p>
              </w:tc>
              <w:tc>
                <w:tcPr>
                  <w:tcW w:w="2692" w:type="dxa"/>
                  <w:gridSpan w:val="3"/>
                  <w:tcBorders>
                    <w:tl2br w:val="nil"/>
                    <w:tr2bl w:val="nil"/>
                  </w:tcBorders>
                  <w:vAlign w:val="center"/>
                </w:tcPr>
                <w:p w14:paraId="7C7F89B7">
                  <w:pPr>
                    <w:pStyle w:val="32"/>
                    <w:bidi w:val="0"/>
                  </w:pPr>
                  <w:r>
                    <w:rPr>
                      <w:rFonts w:hint="eastAsia"/>
                      <w:lang w:val="en-US" w:eastAsia="zh-CN"/>
                    </w:rPr>
                    <w:t>最大值点</w:t>
                  </w:r>
                  <w:r>
                    <w:t>空间相对位置/m</w:t>
                  </w:r>
                </w:p>
              </w:tc>
              <w:tc>
                <w:tcPr>
                  <w:tcW w:w="720" w:type="dxa"/>
                  <w:vMerge w:val="restart"/>
                  <w:tcBorders>
                    <w:tl2br w:val="nil"/>
                    <w:tr2bl w:val="nil"/>
                  </w:tcBorders>
                  <w:vAlign w:val="center"/>
                </w:tcPr>
                <w:p w14:paraId="6AD7DAAE">
                  <w:pPr>
                    <w:pStyle w:val="32"/>
                    <w:bidi w:val="0"/>
                  </w:pPr>
                  <w:r>
                    <w:t>时段</w:t>
                  </w:r>
                </w:p>
              </w:tc>
              <w:tc>
                <w:tcPr>
                  <w:tcW w:w="1074" w:type="dxa"/>
                  <w:vMerge w:val="restart"/>
                  <w:tcBorders>
                    <w:tl2br w:val="nil"/>
                    <w:tr2bl w:val="nil"/>
                  </w:tcBorders>
                  <w:vAlign w:val="center"/>
                </w:tcPr>
                <w:p w14:paraId="6F8ADA49">
                  <w:pPr>
                    <w:pStyle w:val="32"/>
                    <w:bidi w:val="0"/>
                  </w:pPr>
                  <w:r>
                    <w:rPr>
                      <w:rFonts w:hint="eastAsia"/>
                    </w:rPr>
                    <w:t>贡献值</w:t>
                  </w:r>
                  <w:r>
                    <w:t>（dB(A)）</w:t>
                  </w:r>
                </w:p>
              </w:tc>
              <w:tc>
                <w:tcPr>
                  <w:tcW w:w="1320" w:type="dxa"/>
                  <w:vMerge w:val="restart"/>
                  <w:tcBorders>
                    <w:tl2br w:val="nil"/>
                    <w:tr2bl w:val="nil"/>
                  </w:tcBorders>
                  <w:vAlign w:val="center"/>
                </w:tcPr>
                <w:p w14:paraId="2941088B">
                  <w:pPr>
                    <w:pStyle w:val="32"/>
                    <w:bidi w:val="0"/>
                  </w:pPr>
                  <w:r>
                    <w:t>标准限值（dB(A)）</w:t>
                  </w:r>
                </w:p>
              </w:tc>
              <w:tc>
                <w:tcPr>
                  <w:tcW w:w="1106" w:type="dxa"/>
                  <w:vMerge w:val="restart"/>
                  <w:tcBorders>
                    <w:tl2br w:val="nil"/>
                    <w:tr2bl w:val="nil"/>
                  </w:tcBorders>
                  <w:vAlign w:val="center"/>
                </w:tcPr>
                <w:p w14:paraId="47D20D78">
                  <w:pPr>
                    <w:pStyle w:val="32"/>
                    <w:bidi w:val="0"/>
                  </w:pPr>
                  <w:r>
                    <w:t>达标情况</w:t>
                  </w:r>
                </w:p>
              </w:tc>
            </w:tr>
            <w:tr w14:paraId="52659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20" w:type="dxa"/>
                  <w:vMerge w:val="continue"/>
                  <w:tcBorders>
                    <w:tl2br w:val="nil"/>
                    <w:tr2bl w:val="nil"/>
                  </w:tcBorders>
                  <w:shd w:val="clear" w:color="auto" w:fill="FFFFFF"/>
                  <w:vAlign w:val="center"/>
                </w:tcPr>
                <w:p w14:paraId="63E150A0">
                  <w:pPr>
                    <w:pStyle w:val="32"/>
                    <w:bidi w:val="0"/>
                  </w:pPr>
                </w:p>
              </w:tc>
              <w:tc>
                <w:tcPr>
                  <w:tcW w:w="747" w:type="dxa"/>
                  <w:tcBorders>
                    <w:tl2br w:val="nil"/>
                    <w:tr2bl w:val="nil"/>
                  </w:tcBorders>
                  <w:shd w:val="clear" w:color="auto" w:fill="FFFFFF"/>
                  <w:vAlign w:val="center"/>
                </w:tcPr>
                <w:p w14:paraId="507D40F9">
                  <w:pPr>
                    <w:pStyle w:val="32"/>
                    <w:bidi w:val="0"/>
                  </w:pPr>
                  <w:r>
                    <w:t>X</w:t>
                  </w:r>
                </w:p>
              </w:tc>
              <w:tc>
                <w:tcPr>
                  <w:tcW w:w="747" w:type="dxa"/>
                  <w:tcBorders>
                    <w:tl2br w:val="nil"/>
                    <w:tr2bl w:val="nil"/>
                  </w:tcBorders>
                  <w:shd w:val="clear" w:color="auto" w:fill="FFFFFF"/>
                  <w:vAlign w:val="center"/>
                </w:tcPr>
                <w:p w14:paraId="6E8E5F00">
                  <w:pPr>
                    <w:pStyle w:val="32"/>
                    <w:bidi w:val="0"/>
                  </w:pPr>
                  <w:r>
                    <w:t>Y</w:t>
                  </w:r>
                </w:p>
              </w:tc>
              <w:tc>
                <w:tcPr>
                  <w:tcW w:w="1198" w:type="dxa"/>
                  <w:tcBorders>
                    <w:tl2br w:val="nil"/>
                    <w:tr2bl w:val="nil"/>
                  </w:tcBorders>
                  <w:shd w:val="clear" w:color="auto" w:fill="FFFFFF"/>
                  <w:vAlign w:val="center"/>
                </w:tcPr>
                <w:p w14:paraId="6A16A397">
                  <w:pPr>
                    <w:pStyle w:val="32"/>
                    <w:bidi w:val="0"/>
                  </w:pPr>
                  <w:r>
                    <w:t>Z</w:t>
                  </w:r>
                </w:p>
              </w:tc>
              <w:tc>
                <w:tcPr>
                  <w:tcW w:w="720" w:type="dxa"/>
                  <w:vMerge w:val="continue"/>
                  <w:tcBorders>
                    <w:tl2br w:val="nil"/>
                    <w:tr2bl w:val="nil"/>
                  </w:tcBorders>
                  <w:shd w:val="clear" w:color="auto" w:fill="FFFFFF"/>
                  <w:vAlign w:val="center"/>
                </w:tcPr>
                <w:p w14:paraId="5DB4AFC5">
                  <w:pPr>
                    <w:pStyle w:val="32"/>
                    <w:bidi w:val="0"/>
                  </w:pPr>
                </w:p>
              </w:tc>
              <w:tc>
                <w:tcPr>
                  <w:tcW w:w="1074" w:type="dxa"/>
                  <w:vMerge w:val="continue"/>
                  <w:tcBorders>
                    <w:tl2br w:val="nil"/>
                    <w:tr2bl w:val="nil"/>
                  </w:tcBorders>
                  <w:shd w:val="clear" w:color="auto" w:fill="FFFFFF"/>
                  <w:vAlign w:val="center"/>
                </w:tcPr>
                <w:p w14:paraId="2A543FD5">
                  <w:pPr>
                    <w:pStyle w:val="32"/>
                    <w:bidi w:val="0"/>
                  </w:pPr>
                </w:p>
              </w:tc>
              <w:tc>
                <w:tcPr>
                  <w:tcW w:w="1320" w:type="dxa"/>
                  <w:vMerge w:val="continue"/>
                  <w:tcBorders>
                    <w:tl2br w:val="nil"/>
                    <w:tr2bl w:val="nil"/>
                  </w:tcBorders>
                  <w:shd w:val="clear" w:color="auto" w:fill="FFFFFF"/>
                  <w:vAlign w:val="center"/>
                </w:tcPr>
                <w:p w14:paraId="2C39DAA6">
                  <w:pPr>
                    <w:pStyle w:val="32"/>
                    <w:bidi w:val="0"/>
                  </w:pPr>
                </w:p>
              </w:tc>
              <w:tc>
                <w:tcPr>
                  <w:tcW w:w="1106" w:type="dxa"/>
                  <w:vMerge w:val="continue"/>
                  <w:tcBorders>
                    <w:tl2br w:val="nil"/>
                    <w:tr2bl w:val="nil"/>
                  </w:tcBorders>
                  <w:shd w:val="clear" w:color="auto" w:fill="FFFFFF"/>
                  <w:vAlign w:val="center"/>
                </w:tcPr>
                <w:p w14:paraId="7E06E4BF">
                  <w:pPr>
                    <w:pStyle w:val="32"/>
                    <w:bidi w:val="0"/>
                  </w:pPr>
                </w:p>
              </w:tc>
            </w:tr>
            <w:tr w14:paraId="7F87D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6" w:hRule="exact"/>
                <w:jc w:val="center"/>
              </w:trPr>
              <w:tc>
                <w:tcPr>
                  <w:tcW w:w="1320" w:type="dxa"/>
                  <w:vMerge w:val="restart"/>
                  <w:tcBorders>
                    <w:tl2br w:val="nil"/>
                    <w:tr2bl w:val="nil"/>
                  </w:tcBorders>
                  <w:shd w:val="clear" w:color="auto" w:fill="FFFFFF"/>
                  <w:vAlign w:val="center"/>
                </w:tcPr>
                <w:p w14:paraId="105B8416">
                  <w:pPr>
                    <w:pStyle w:val="32"/>
                    <w:bidi w:val="0"/>
                  </w:pPr>
                  <w:r>
                    <w:t>东侧</w:t>
                  </w:r>
                </w:p>
              </w:tc>
              <w:tc>
                <w:tcPr>
                  <w:tcW w:w="747" w:type="dxa"/>
                  <w:tcBorders>
                    <w:tl2br w:val="nil"/>
                    <w:tr2bl w:val="nil"/>
                  </w:tcBorders>
                  <w:shd w:val="clear" w:color="auto" w:fill="FFFFFF"/>
                  <w:vAlign w:val="center"/>
                </w:tcPr>
                <w:p w14:paraId="66DE3644">
                  <w:pPr>
                    <w:pStyle w:val="32"/>
                    <w:bidi w:val="0"/>
                  </w:pPr>
                  <w:r>
                    <w:t>49</w:t>
                  </w:r>
                </w:p>
              </w:tc>
              <w:tc>
                <w:tcPr>
                  <w:tcW w:w="747" w:type="dxa"/>
                  <w:tcBorders>
                    <w:tl2br w:val="nil"/>
                    <w:tr2bl w:val="nil"/>
                  </w:tcBorders>
                  <w:shd w:val="clear" w:color="auto" w:fill="FFFFFF"/>
                  <w:vAlign w:val="center"/>
                </w:tcPr>
                <w:p w14:paraId="1986E43C">
                  <w:pPr>
                    <w:pStyle w:val="32"/>
                    <w:bidi w:val="0"/>
                  </w:pPr>
                  <w:r>
                    <w:t>24.3</w:t>
                  </w:r>
                </w:p>
              </w:tc>
              <w:tc>
                <w:tcPr>
                  <w:tcW w:w="1198" w:type="dxa"/>
                  <w:tcBorders>
                    <w:tl2br w:val="nil"/>
                    <w:tr2bl w:val="nil"/>
                  </w:tcBorders>
                  <w:shd w:val="clear" w:color="auto" w:fill="FFFFFF"/>
                  <w:vAlign w:val="center"/>
                </w:tcPr>
                <w:p w14:paraId="717AD7B6">
                  <w:pPr>
                    <w:pStyle w:val="32"/>
                    <w:bidi w:val="0"/>
                  </w:pPr>
                  <w:r>
                    <w:t>1.2</w:t>
                  </w:r>
                </w:p>
              </w:tc>
              <w:tc>
                <w:tcPr>
                  <w:tcW w:w="720" w:type="dxa"/>
                  <w:tcBorders>
                    <w:tl2br w:val="nil"/>
                    <w:tr2bl w:val="nil"/>
                  </w:tcBorders>
                  <w:shd w:val="clear" w:color="auto" w:fill="FFFFFF"/>
                  <w:vAlign w:val="center"/>
                </w:tcPr>
                <w:p w14:paraId="5AFC199F">
                  <w:pPr>
                    <w:pStyle w:val="32"/>
                    <w:bidi w:val="0"/>
                  </w:pPr>
                  <w:r>
                    <w:t>昼间</w:t>
                  </w:r>
                </w:p>
              </w:tc>
              <w:tc>
                <w:tcPr>
                  <w:tcW w:w="1074" w:type="dxa"/>
                  <w:tcBorders>
                    <w:tl2br w:val="nil"/>
                    <w:tr2bl w:val="nil"/>
                  </w:tcBorders>
                  <w:shd w:val="clear" w:color="auto" w:fill="FFFFFF"/>
                  <w:vAlign w:val="center"/>
                </w:tcPr>
                <w:p w14:paraId="2FB803F5">
                  <w:pPr>
                    <w:pStyle w:val="32"/>
                    <w:bidi w:val="0"/>
                  </w:pPr>
                  <w:r>
                    <w:t>25.7</w:t>
                  </w:r>
                </w:p>
              </w:tc>
              <w:tc>
                <w:tcPr>
                  <w:tcW w:w="1320" w:type="dxa"/>
                  <w:tcBorders>
                    <w:tl2br w:val="nil"/>
                    <w:tr2bl w:val="nil"/>
                  </w:tcBorders>
                  <w:shd w:val="clear" w:color="auto" w:fill="FFFFFF"/>
                  <w:vAlign w:val="center"/>
                </w:tcPr>
                <w:p w14:paraId="779E3665">
                  <w:pPr>
                    <w:pStyle w:val="32"/>
                    <w:bidi w:val="0"/>
                  </w:pPr>
                  <w:r>
                    <w:t>60</w:t>
                  </w:r>
                </w:p>
              </w:tc>
              <w:tc>
                <w:tcPr>
                  <w:tcW w:w="1106" w:type="dxa"/>
                  <w:tcBorders>
                    <w:tl2br w:val="nil"/>
                    <w:tr2bl w:val="nil"/>
                  </w:tcBorders>
                  <w:shd w:val="clear" w:color="auto" w:fill="FFFFFF"/>
                  <w:vAlign w:val="center"/>
                </w:tcPr>
                <w:p w14:paraId="0228AD67">
                  <w:pPr>
                    <w:pStyle w:val="32"/>
                    <w:bidi w:val="0"/>
                  </w:pPr>
                  <w:r>
                    <w:t>达标</w:t>
                  </w:r>
                </w:p>
              </w:tc>
            </w:tr>
            <w:tr w14:paraId="0DB5E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6" w:hRule="exact"/>
                <w:jc w:val="center"/>
              </w:trPr>
              <w:tc>
                <w:tcPr>
                  <w:tcW w:w="1320" w:type="dxa"/>
                  <w:vMerge w:val="continue"/>
                  <w:tcBorders>
                    <w:tl2br w:val="nil"/>
                    <w:tr2bl w:val="nil"/>
                  </w:tcBorders>
                  <w:shd w:val="clear" w:color="auto" w:fill="FFFFFF"/>
                  <w:vAlign w:val="center"/>
                </w:tcPr>
                <w:p w14:paraId="1EDBEC10">
                  <w:pPr>
                    <w:pStyle w:val="32"/>
                    <w:bidi w:val="0"/>
                  </w:pPr>
                </w:p>
              </w:tc>
              <w:tc>
                <w:tcPr>
                  <w:tcW w:w="747" w:type="dxa"/>
                  <w:tcBorders>
                    <w:tl2br w:val="nil"/>
                    <w:tr2bl w:val="nil"/>
                  </w:tcBorders>
                  <w:shd w:val="clear" w:color="auto" w:fill="FFFFFF"/>
                  <w:vAlign w:val="center"/>
                </w:tcPr>
                <w:p w14:paraId="4353DF01">
                  <w:pPr>
                    <w:pStyle w:val="32"/>
                    <w:bidi w:val="0"/>
                  </w:pPr>
                  <w:r>
                    <w:t>49</w:t>
                  </w:r>
                </w:p>
              </w:tc>
              <w:tc>
                <w:tcPr>
                  <w:tcW w:w="747" w:type="dxa"/>
                  <w:tcBorders>
                    <w:tl2br w:val="nil"/>
                    <w:tr2bl w:val="nil"/>
                  </w:tcBorders>
                  <w:shd w:val="clear" w:color="auto" w:fill="FFFFFF"/>
                  <w:vAlign w:val="center"/>
                </w:tcPr>
                <w:p w14:paraId="25DAD350">
                  <w:pPr>
                    <w:pStyle w:val="32"/>
                    <w:bidi w:val="0"/>
                  </w:pPr>
                  <w:r>
                    <w:t>24.3</w:t>
                  </w:r>
                </w:p>
              </w:tc>
              <w:tc>
                <w:tcPr>
                  <w:tcW w:w="1198" w:type="dxa"/>
                  <w:tcBorders>
                    <w:tl2br w:val="nil"/>
                    <w:tr2bl w:val="nil"/>
                  </w:tcBorders>
                  <w:shd w:val="clear" w:color="auto" w:fill="FFFFFF"/>
                  <w:vAlign w:val="center"/>
                </w:tcPr>
                <w:p w14:paraId="05033D0C">
                  <w:pPr>
                    <w:pStyle w:val="32"/>
                    <w:bidi w:val="0"/>
                  </w:pPr>
                  <w:r>
                    <w:t>1.2</w:t>
                  </w:r>
                </w:p>
              </w:tc>
              <w:tc>
                <w:tcPr>
                  <w:tcW w:w="720" w:type="dxa"/>
                  <w:tcBorders>
                    <w:tl2br w:val="nil"/>
                    <w:tr2bl w:val="nil"/>
                  </w:tcBorders>
                  <w:shd w:val="clear" w:color="auto" w:fill="FFFFFF"/>
                  <w:vAlign w:val="center"/>
                </w:tcPr>
                <w:p w14:paraId="0A0324B3">
                  <w:pPr>
                    <w:pStyle w:val="32"/>
                    <w:bidi w:val="0"/>
                  </w:pPr>
                  <w:r>
                    <w:t>夜间</w:t>
                  </w:r>
                </w:p>
              </w:tc>
              <w:tc>
                <w:tcPr>
                  <w:tcW w:w="1074" w:type="dxa"/>
                  <w:tcBorders>
                    <w:tl2br w:val="nil"/>
                    <w:tr2bl w:val="nil"/>
                  </w:tcBorders>
                  <w:shd w:val="clear" w:color="auto" w:fill="FFFFFF"/>
                  <w:vAlign w:val="center"/>
                </w:tcPr>
                <w:p w14:paraId="79B42154">
                  <w:pPr>
                    <w:pStyle w:val="32"/>
                    <w:bidi w:val="0"/>
                  </w:pPr>
                  <w:r>
                    <w:t>25.7</w:t>
                  </w:r>
                </w:p>
              </w:tc>
              <w:tc>
                <w:tcPr>
                  <w:tcW w:w="1320" w:type="dxa"/>
                  <w:tcBorders>
                    <w:tl2br w:val="nil"/>
                    <w:tr2bl w:val="nil"/>
                  </w:tcBorders>
                  <w:shd w:val="clear" w:color="auto" w:fill="FFFFFF"/>
                  <w:vAlign w:val="center"/>
                </w:tcPr>
                <w:p w14:paraId="4AB4DDCD">
                  <w:pPr>
                    <w:pStyle w:val="32"/>
                    <w:bidi w:val="0"/>
                  </w:pPr>
                  <w:r>
                    <w:t>50</w:t>
                  </w:r>
                </w:p>
              </w:tc>
              <w:tc>
                <w:tcPr>
                  <w:tcW w:w="1106" w:type="dxa"/>
                  <w:tcBorders>
                    <w:tl2br w:val="nil"/>
                    <w:tr2bl w:val="nil"/>
                  </w:tcBorders>
                  <w:shd w:val="clear" w:color="auto" w:fill="FFFFFF"/>
                  <w:vAlign w:val="center"/>
                </w:tcPr>
                <w:p w14:paraId="71DE699A">
                  <w:pPr>
                    <w:pStyle w:val="32"/>
                    <w:bidi w:val="0"/>
                  </w:pPr>
                  <w:r>
                    <w:t>达标</w:t>
                  </w:r>
                </w:p>
              </w:tc>
            </w:tr>
            <w:tr w14:paraId="5F2F4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6" w:hRule="exact"/>
                <w:jc w:val="center"/>
              </w:trPr>
              <w:tc>
                <w:tcPr>
                  <w:tcW w:w="1320" w:type="dxa"/>
                  <w:vMerge w:val="restart"/>
                  <w:tcBorders>
                    <w:tl2br w:val="nil"/>
                    <w:tr2bl w:val="nil"/>
                  </w:tcBorders>
                  <w:shd w:val="clear" w:color="auto" w:fill="FFFFFF"/>
                  <w:vAlign w:val="center"/>
                </w:tcPr>
                <w:p w14:paraId="5172B560">
                  <w:pPr>
                    <w:pStyle w:val="32"/>
                    <w:bidi w:val="0"/>
                  </w:pPr>
                  <w:r>
                    <w:t>南侧</w:t>
                  </w:r>
                </w:p>
              </w:tc>
              <w:tc>
                <w:tcPr>
                  <w:tcW w:w="747" w:type="dxa"/>
                  <w:tcBorders>
                    <w:tl2br w:val="nil"/>
                    <w:tr2bl w:val="nil"/>
                  </w:tcBorders>
                  <w:shd w:val="clear" w:color="auto" w:fill="FFFFFF"/>
                  <w:vAlign w:val="center"/>
                </w:tcPr>
                <w:p w14:paraId="613CD7F7">
                  <w:pPr>
                    <w:pStyle w:val="32"/>
                    <w:bidi w:val="0"/>
                  </w:pPr>
                  <w:r>
                    <w:t>4.5</w:t>
                  </w:r>
                </w:p>
              </w:tc>
              <w:tc>
                <w:tcPr>
                  <w:tcW w:w="747" w:type="dxa"/>
                  <w:tcBorders>
                    <w:tl2br w:val="nil"/>
                    <w:tr2bl w:val="nil"/>
                  </w:tcBorders>
                  <w:shd w:val="clear" w:color="auto" w:fill="FFFFFF"/>
                  <w:vAlign w:val="center"/>
                </w:tcPr>
                <w:p w14:paraId="7CB7CD9C">
                  <w:pPr>
                    <w:pStyle w:val="32"/>
                    <w:bidi w:val="0"/>
                  </w:pPr>
                  <w:r>
                    <w:t>-3.9</w:t>
                  </w:r>
                </w:p>
              </w:tc>
              <w:tc>
                <w:tcPr>
                  <w:tcW w:w="1198" w:type="dxa"/>
                  <w:tcBorders>
                    <w:tl2br w:val="nil"/>
                    <w:tr2bl w:val="nil"/>
                  </w:tcBorders>
                  <w:shd w:val="clear" w:color="auto" w:fill="FFFFFF"/>
                  <w:vAlign w:val="center"/>
                </w:tcPr>
                <w:p w14:paraId="6B7D5ADA">
                  <w:pPr>
                    <w:pStyle w:val="32"/>
                    <w:bidi w:val="0"/>
                  </w:pPr>
                  <w:r>
                    <w:t>1.2</w:t>
                  </w:r>
                </w:p>
              </w:tc>
              <w:tc>
                <w:tcPr>
                  <w:tcW w:w="720" w:type="dxa"/>
                  <w:tcBorders>
                    <w:tl2br w:val="nil"/>
                    <w:tr2bl w:val="nil"/>
                  </w:tcBorders>
                  <w:shd w:val="clear" w:color="auto" w:fill="FFFFFF"/>
                  <w:vAlign w:val="center"/>
                </w:tcPr>
                <w:p w14:paraId="060FE6DC">
                  <w:pPr>
                    <w:pStyle w:val="32"/>
                    <w:bidi w:val="0"/>
                  </w:pPr>
                  <w:r>
                    <w:t>昼间</w:t>
                  </w:r>
                </w:p>
              </w:tc>
              <w:tc>
                <w:tcPr>
                  <w:tcW w:w="1074" w:type="dxa"/>
                  <w:tcBorders>
                    <w:tl2br w:val="nil"/>
                    <w:tr2bl w:val="nil"/>
                  </w:tcBorders>
                  <w:shd w:val="clear" w:color="auto" w:fill="FFFFFF"/>
                  <w:vAlign w:val="center"/>
                </w:tcPr>
                <w:p w14:paraId="5B105A6B">
                  <w:pPr>
                    <w:pStyle w:val="32"/>
                    <w:bidi w:val="0"/>
                  </w:pPr>
                  <w:r>
                    <w:t>47</w:t>
                  </w:r>
                </w:p>
              </w:tc>
              <w:tc>
                <w:tcPr>
                  <w:tcW w:w="1320" w:type="dxa"/>
                  <w:tcBorders>
                    <w:tl2br w:val="nil"/>
                    <w:tr2bl w:val="nil"/>
                  </w:tcBorders>
                  <w:shd w:val="clear" w:color="auto" w:fill="FFFFFF"/>
                  <w:vAlign w:val="center"/>
                </w:tcPr>
                <w:p w14:paraId="6836447D">
                  <w:pPr>
                    <w:pStyle w:val="32"/>
                    <w:bidi w:val="0"/>
                  </w:pPr>
                  <w:r>
                    <w:t>60</w:t>
                  </w:r>
                </w:p>
              </w:tc>
              <w:tc>
                <w:tcPr>
                  <w:tcW w:w="1106" w:type="dxa"/>
                  <w:tcBorders>
                    <w:tl2br w:val="nil"/>
                    <w:tr2bl w:val="nil"/>
                  </w:tcBorders>
                  <w:shd w:val="clear" w:color="auto" w:fill="FFFFFF"/>
                  <w:vAlign w:val="center"/>
                </w:tcPr>
                <w:p w14:paraId="5155E053">
                  <w:pPr>
                    <w:pStyle w:val="32"/>
                    <w:bidi w:val="0"/>
                  </w:pPr>
                  <w:r>
                    <w:t>达标</w:t>
                  </w:r>
                </w:p>
              </w:tc>
            </w:tr>
            <w:tr w14:paraId="2596A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6" w:hRule="exact"/>
                <w:jc w:val="center"/>
              </w:trPr>
              <w:tc>
                <w:tcPr>
                  <w:tcW w:w="1320" w:type="dxa"/>
                  <w:vMerge w:val="continue"/>
                  <w:tcBorders>
                    <w:tl2br w:val="nil"/>
                    <w:tr2bl w:val="nil"/>
                  </w:tcBorders>
                  <w:shd w:val="clear" w:color="auto" w:fill="FFFFFF"/>
                  <w:vAlign w:val="center"/>
                </w:tcPr>
                <w:p w14:paraId="305144F1">
                  <w:pPr>
                    <w:pStyle w:val="32"/>
                    <w:bidi w:val="0"/>
                  </w:pPr>
                </w:p>
              </w:tc>
              <w:tc>
                <w:tcPr>
                  <w:tcW w:w="747" w:type="dxa"/>
                  <w:tcBorders>
                    <w:tl2br w:val="nil"/>
                    <w:tr2bl w:val="nil"/>
                  </w:tcBorders>
                  <w:shd w:val="clear" w:color="auto" w:fill="FFFFFF"/>
                  <w:vAlign w:val="center"/>
                </w:tcPr>
                <w:p w14:paraId="24B4F7D8">
                  <w:pPr>
                    <w:pStyle w:val="32"/>
                    <w:bidi w:val="0"/>
                  </w:pPr>
                  <w:r>
                    <w:t>4.5</w:t>
                  </w:r>
                </w:p>
              </w:tc>
              <w:tc>
                <w:tcPr>
                  <w:tcW w:w="747" w:type="dxa"/>
                  <w:tcBorders>
                    <w:tl2br w:val="nil"/>
                    <w:tr2bl w:val="nil"/>
                  </w:tcBorders>
                  <w:shd w:val="clear" w:color="auto" w:fill="FFFFFF"/>
                  <w:vAlign w:val="center"/>
                </w:tcPr>
                <w:p w14:paraId="0E2B0EE0">
                  <w:pPr>
                    <w:pStyle w:val="32"/>
                    <w:bidi w:val="0"/>
                  </w:pPr>
                  <w:r>
                    <w:t>-3.9</w:t>
                  </w:r>
                </w:p>
              </w:tc>
              <w:tc>
                <w:tcPr>
                  <w:tcW w:w="1198" w:type="dxa"/>
                  <w:tcBorders>
                    <w:tl2br w:val="nil"/>
                    <w:tr2bl w:val="nil"/>
                  </w:tcBorders>
                  <w:shd w:val="clear" w:color="auto" w:fill="FFFFFF"/>
                  <w:vAlign w:val="center"/>
                </w:tcPr>
                <w:p w14:paraId="3799FF4E">
                  <w:pPr>
                    <w:pStyle w:val="32"/>
                    <w:bidi w:val="0"/>
                  </w:pPr>
                  <w:r>
                    <w:t>1.2</w:t>
                  </w:r>
                </w:p>
              </w:tc>
              <w:tc>
                <w:tcPr>
                  <w:tcW w:w="720" w:type="dxa"/>
                  <w:tcBorders>
                    <w:tl2br w:val="nil"/>
                    <w:tr2bl w:val="nil"/>
                  </w:tcBorders>
                  <w:shd w:val="clear" w:color="auto" w:fill="FFFFFF"/>
                  <w:vAlign w:val="center"/>
                </w:tcPr>
                <w:p w14:paraId="013BE379">
                  <w:pPr>
                    <w:pStyle w:val="32"/>
                    <w:bidi w:val="0"/>
                  </w:pPr>
                  <w:r>
                    <w:t>夜间</w:t>
                  </w:r>
                </w:p>
              </w:tc>
              <w:tc>
                <w:tcPr>
                  <w:tcW w:w="1074" w:type="dxa"/>
                  <w:tcBorders>
                    <w:tl2br w:val="nil"/>
                    <w:tr2bl w:val="nil"/>
                  </w:tcBorders>
                  <w:shd w:val="clear" w:color="auto" w:fill="FFFFFF"/>
                  <w:vAlign w:val="center"/>
                </w:tcPr>
                <w:p w14:paraId="6EE610F6">
                  <w:pPr>
                    <w:pStyle w:val="32"/>
                    <w:bidi w:val="0"/>
                  </w:pPr>
                  <w:r>
                    <w:t>47</w:t>
                  </w:r>
                </w:p>
              </w:tc>
              <w:tc>
                <w:tcPr>
                  <w:tcW w:w="1320" w:type="dxa"/>
                  <w:tcBorders>
                    <w:tl2br w:val="nil"/>
                    <w:tr2bl w:val="nil"/>
                  </w:tcBorders>
                  <w:shd w:val="clear" w:color="auto" w:fill="FFFFFF"/>
                  <w:vAlign w:val="center"/>
                </w:tcPr>
                <w:p w14:paraId="12779EB3">
                  <w:pPr>
                    <w:pStyle w:val="32"/>
                    <w:bidi w:val="0"/>
                  </w:pPr>
                  <w:r>
                    <w:t>50</w:t>
                  </w:r>
                </w:p>
              </w:tc>
              <w:tc>
                <w:tcPr>
                  <w:tcW w:w="1106" w:type="dxa"/>
                  <w:tcBorders>
                    <w:tl2br w:val="nil"/>
                    <w:tr2bl w:val="nil"/>
                  </w:tcBorders>
                  <w:shd w:val="clear" w:color="auto" w:fill="FFFFFF"/>
                  <w:vAlign w:val="center"/>
                </w:tcPr>
                <w:p w14:paraId="44256D72">
                  <w:pPr>
                    <w:pStyle w:val="32"/>
                    <w:bidi w:val="0"/>
                  </w:pPr>
                  <w:r>
                    <w:t>达标</w:t>
                  </w:r>
                </w:p>
              </w:tc>
            </w:tr>
            <w:tr w14:paraId="78918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6" w:hRule="exact"/>
                <w:jc w:val="center"/>
              </w:trPr>
              <w:tc>
                <w:tcPr>
                  <w:tcW w:w="1320" w:type="dxa"/>
                  <w:vMerge w:val="restart"/>
                  <w:tcBorders>
                    <w:tl2br w:val="nil"/>
                    <w:tr2bl w:val="nil"/>
                  </w:tcBorders>
                  <w:shd w:val="clear" w:color="auto" w:fill="FFFFFF"/>
                  <w:vAlign w:val="center"/>
                </w:tcPr>
                <w:p w14:paraId="177DE330">
                  <w:pPr>
                    <w:pStyle w:val="32"/>
                    <w:bidi w:val="0"/>
                  </w:pPr>
                  <w:r>
                    <w:t>西侧</w:t>
                  </w:r>
                </w:p>
              </w:tc>
              <w:tc>
                <w:tcPr>
                  <w:tcW w:w="747" w:type="dxa"/>
                  <w:tcBorders>
                    <w:tl2br w:val="nil"/>
                    <w:tr2bl w:val="nil"/>
                  </w:tcBorders>
                  <w:shd w:val="clear" w:color="auto" w:fill="FFFFFF"/>
                  <w:vAlign w:val="center"/>
                </w:tcPr>
                <w:p w14:paraId="0214A41E">
                  <w:pPr>
                    <w:pStyle w:val="32"/>
                    <w:bidi w:val="0"/>
                  </w:pPr>
                  <w:r>
                    <w:t>-1</w:t>
                  </w:r>
                </w:p>
              </w:tc>
              <w:tc>
                <w:tcPr>
                  <w:tcW w:w="747" w:type="dxa"/>
                  <w:tcBorders>
                    <w:tl2br w:val="nil"/>
                    <w:tr2bl w:val="nil"/>
                  </w:tcBorders>
                  <w:shd w:val="clear" w:color="auto" w:fill="FFFFFF"/>
                  <w:vAlign w:val="center"/>
                </w:tcPr>
                <w:p w14:paraId="3D293CF6">
                  <w:pPr>
                    <w:pStyle w:val="32"/>
                    <w:bidi w:val="0"/>
                  </w:pPr>
                  <w:r>
                    <w:t>0.9</w:t>
                  </w:r>
                </w:p>
              </w:tc>
              <w:tc>
                <w:tcPr>
                  <w:tcW w:w="1198" w:type="dxa"/>
                  <w:tcBorders>
                    <w:tl2br w:val="nil"/>
                    <w:tr2bl w:val="nil"/>
                  </w:tcBorders>
                  <w:shd w:val="clear" w:color="auto" w:fill="FFFFFF"/>
                  <w:vAlign w:val="center"/>
                </w:tcPr>
                <w:p w14:paraId="248723F6">
                  <w:pPr>
                    <w:pStyle w:val="32"/>
                    <w:bidi w:val="0"/>
                  </w:pPr>
                  <w:r>
                    <w:t>1.2</w:t>
                  </w:r>
                </w:p>
              </w:tc>
              <w:tc>
                <w:tcPr>
                  <w:tcW w:w="720" w:type="dxa"/>
                  <w:tcBorders>
                    <w:tl2br w:val="nil"/>
                    <w:tr2bl w:val="nil"/>
                  </w:tcBorders>
                  <w:shd w:val="clear" w:color="auto" w:fill="FFFFFF"/>
                  <w:vAlign w:val="center"/>
                </w:tcPr>
                <w:p w14:paraId="43696385">
                  <w:pPr>
                    <w:pStyle w:val="32"/>
                    <w:bidi w:val="0"/>
                  </w:pPr>
                  <w:r>
                    <w:t>昼间</w:t>
                  </w:r>
                </w:p>
              </w:tc>
              <w:tc>
                <w:tcPr>
                  <w:tcW w:w="1074" w:type="dxa"/>
                  <w:tcBorders>
                    <w:tl2br w:val="nil"/>
                    <w:tr2bl w:val="nil"/>
                  </w:tcBorders>
                  <w:shd w:val="clear" w:color="auto" w:fill="FFFFFF"/>
                  <w:vAlign w:val="center"/>
                </w:tcPr>
                <w:p w14:paraId="44C27D22">
                  <w:pPr>
                    <w:pStyle w:val="32"/>
                    <w:bidi w:val="0"/>
                  </w:pPr>
                  <w:r>
                    <w:t>43.9</w:t>
                  </w:r>
                </w:p>
              </w:tc>
              <w:tc>
                <w:tcPr>
                  <w:tcW w:w="1320" w:type="dxa"/>
                  <w:tcBorders>
                    <w:tl2br w:val="nil"/>
                    <w:tr2bl w:val="nil"/>
                  </w:tcBorders>
                  <w:shd w:val="clear" w:color="auto" w:fill="FFFFFF"/>
                  <w:vAlign w:val="center"/>
                </w:tcPr>
                <w:p w14:paraId="2E562E77">
                  <w:pPr>
                    <w:pStyle w:val="32"/>
                    <w:bidi w:val="0"/>
                  </w:pPr>
                  <w:r>
                    <w:t>60</w:t>
                  </w:r>
                </w:p>
              </w:tc>
              <w:tc>
                <w:tcPr>
                  <w:tcW w:w="1106" w:type="dxa"/>
                  <w:tcBorders>
                    <w:tl2br w:val="nil"/>
                    <w:tr2bl w:val="nil"/>
                  </w:tcBorders>
                  <w:shd w:val="clear" w:color="auto" w:fill="FFFFFF"/>
                  <w:vAlign w:val="center"/>
                </w:tcPr>
                <w:p w14:paraId="298EE97F">
                  <w:pPr>
                    <w:pStyle w:val="32"/>
                    <w:bidi w:val="0"/>
                  </w:pPr>
                  <w:r>
                    <w:t>达标</w:t>
                  </w:r>
                </w:p>
              </w:tc>
            </w:tr>
            <w:tr w14:paraId="1325A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6" w:hRule="exact"/>
                <w:jc w:val="center"/>
              </w:trPr>
              <w:tc>
                <w:tcPr>
                  <w:tcW w:w="1320" w:type="dxa"/>
                  <w:vMerge w:val="continue"/>
                  <w:tcBorders>
                    <w:tl2br w:val="nil"/>
                    <w:tr2bl w:val="nil"/>
                  </w:tcBorders>
                  <w:shd w:val="clear" w:color="auto" w:fill="FFFFFF"/>
                  <w:vAlign w:val="center"/>
                </w:tcPr>
                <w:p w14:paraId="7230183D">
                  <w:pPr>
                    <w:pStyle w:val="32"/>
                    <w:bidi w:val="0"/>
                  </w:pPr>
                </w:p>
              </w:tc>
              <w:tc>
                <w:tcPr>
                  <w:tcW w:w="747" w:type="dxa"/>
                  <w:tcBorders>
                    <w:tl2br w:val="nil"/>
                    <w:tr2bl w:val="nil"/>
                  </w:tcBorders>
                  <w:shd w:val="clear" w:color="auto" w:fill="FFFFFF"/>
                  <w:vAlign w:val="center"/>
                </w:tcPr>
                <w:p w14:paraId="516E7296">
                  <w:pPr>
                    <w:pStyle w:val="32"/>
                    <w:bidi w:val="0"/>
                  </w:pPr>
                  <w:r>
                    <w:t>-1</w:t>
                  </w:r>
                </w:p>
              </w:tc>
              <w:tc>
                <w:tcPr>
                  <w:tcW w:w="747" w:type="dxa"/>
                  <w:tcBorders>
                    <w:tl2br w:val="nil"/>
                    <w:tr2bl w:val="nil"/>
                  </w:tcBorders>
                  <w:shd w:val="clear" w:color="auto" w:fill="FFFFFF"/>
                  <w:vAlign w:val="center"/>
                </w:tcPr>
                <w:p w14:paraId="41653B8F">
                  <w:pPr>
                    <w:pStyle w:val="32"/>
                    <w:bidi w:val="0"/>
                  </w:pPr>
                  <w:r>
                    <w:t>0.9</w:t>
                  </w:r>
                </w:p>
              </w:tc>
              <w:tc>
                <w:tcPr>
                  <w:tcW w:w="1198" w:type="dxa"/>
                  <w:tcBorders>
                    <w:tl2br w:val="nil"/>
                    <w:tr2bl w:val="nil"/>
                  </w:tcBorders>
                  <w:shd w:val="clear" w:color="auto" w:fill="FFFFFF"/>
                  <w:vAlign w:val="center"/>
                </w:tcPr>
                <w:p w14:paraId="6EF05D50">
                  <w:pPr>
                    <w:pStyle w:val="32"/>
                    <w:bidi w:val="0"/>
                  </w:pPr>
                  <w:r>
                    <w:t>1.2</w:t>
                  </w:r>
                </w:p>
              </w:tc>
              <w:tc>
                <w:tcPr>
                  <w:tcW w:w="720" w:type="dxa"/>
                  <w:tcBorders>
                    <w:tl2br w:val="nil"/>
                    <w:tr2bl w:val="nil"/>
                  </w:tcBorders>
                  <w:shd w:val="clear" w:color="auto" w:fill="FFFFFF"/>
                  <w:vAlign w:val="center"/>
                </w:tcPr>
                <w:p w14:paraId="20ACA74C">
                  <w:pPr>
                    <w:pStyle w:val="32"/>
                    <w:bidi w:val="0"/>
                  </w:pPr>
                  <w:r>
                    <w:t>夜间</w:t>
                  </w:r>
                </w:p>
              </w:tc>
              <w:tc>
                <w:tcPr>
                  <w:tcW w:w="1074" w:type="dxa"/>
                  <w:tcBorders>
                    <w:tl2br w:val="nil"/>
                    <w:tr2bl w:val="nil"/>
                  </w:tcBorders>
                  <w:shd w:val="clear" w:color="auto" w:fill="FFFFFF"/>
                  <w:vAlign w:val="center"/>
                </w:tcPr>
                <w:p w14:paraId="6E01DBD4">
                  <w:pPr>
                    <w:pStyle w:val="32"/>
                    <w:bidi w:val="0"/>
                  </w:pPr>
                  <w:r>
                    <w:t>43.9</w:t>
                  </w:r>
                </w:p>
              </w:tc>
              <w:tc>
                <w:tcPr>
                  <w:tcW w:w="1320" w:type="dxa"/>
                  <w:tcBorders>
                    <w:tl2br w:val="nil"/>
                    <w:tr2bl w:val="nil"/>
                  </w:tcBorders>
                  <w:shd w:val="clear" w:color="auto" w:fill="FFFFFF"/>
                  <w:vAlign w:val="center"/>
                </w:tcPr>
                <w:p w14:paraId="18FBB00E">
                  <w:pPr>
                    <w:pStyle w:val="32"/>
                    <w:bidi w:val="0"/>
                  </w:pPr>
                  <w:r>
                    <w:t>50</w:t>
                  </w:r>
                </w:p>
              </w:tc>
              <w:tc>
                <w:tcPr>
                  <w:tcW w:w="1106" w:type="dxa"/>
                  <w:tcBorders>
                    <w:tl2br w:val="nil"/>
                    <w:tr2bl w:val="nil"/>
                  </w:tcBorders>
                  <w:shd w:val="clear" w:color="auto" w:fill="FFFFFF"/>
                  <w:vAlign w:val="center"/>
                </w:tcPr>
                <w:p w14:paraId="27ACDE6F">
                  <w:pPr>
                    <w:pStyle w:val="32"/>
                    <w:bidi w:val="0"/>
                  </w:pPr>
                  <w:r>
                    <w:t>达标</w:t>
                  </w:r>
                </w:p>
              </w:tc>
            </w:tr>
            <w:tr w14:paraId="3A235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6" w:hRule="exact"/>
                <w:jc w:val="center"/>
              </w:trPr>
              <w:tc>
                <w:tcPr>
                  <w:tcW w:w="1320" w:type="dxa"/>
                  <w:vMerge w:val="restart"/>
                  <w:tcBorders>
                    <w:tl2br w:val="nil"/>
                    <w:tr2bl w:val="nil"/>
                  </w:tcBorders>
                  <w:shd w:val="clear" w:color="auto" w:fill="FFFFFF"/>
                  <w:vAlign w:val="center"/>
                </w:tcPr>
                <w:p w14:paraId="29B9DE84">
                  <w:pPr>
                    <w:pStyle w:val="32"/>
                    <w:bidi w:val="0"/>
                  </w:pPr>
                  <w:r>
                    <w:t>北侧</w:t>
                  </w:r>
                </w:p>
              </w:tc>
              <w:tc>
                <w:tcPr>
                  <w:tcW w:w="747" w:type="dxa"/>
                  <w:tcBorders>
                    <w:tl2br w:val="nil"/>
                    <w:tr2bl w:val="nil"/>
                  </w:tcBorders>
                  <w:shd w:val="clear" w:color="auto" w:fill="FFFFFF"/>
                  <w:vAlign w:val="center"/>
                </w:tcPr>
                <w:p w14:paraId="3F1C9AA8">
                  <w:pPr>
                    <w:pStyle w:val="32"/>
                    <w:bidi w:val="0"/>
                  </w:pPr>
                  <w:r>
                    <w:t>22.1</w:t>
                  </w:r>
                </w:p>
              </w:tc>
              <w:tc>
                <w:tcPr>
                  <w:tcW w:w="747" w:type="dxa"/>
                  <w:tcBorders>
                    <w:tl2br w:val="nil"/>
                    <w:tr2bl w:val="nil"/>
                  </w:tcBorders>
                  <w:shd w:val="clear" w:color="auto" w:fill="FFFFFF"/>
                  <w:vAlign w:val="center"/>
                </w:tcPr>
                <w:p w14:paraId="370E2986">
                  <w:pPr>
                    <w:pStyle w:val="32"/>
                    <w:bidi w:val="0"/>
                  </w:pPr>
                  <w:r>
                    <w:t>41.2</w:t>
                  </w:r>
                </w:p>
              </w:tc>
              <w:tc>
                <w:tcPr>
                  <w:tcW w:w="1198" w:type="dxa"/>
                  <w:tcBorders>
                    <w:tl2br w:val="nil"/>
                    <w:tr2bl w:val="nil"/>
                  </w:tcBorders>
                  <w:shd w:val="clear" w:color="auto" w:fill="FFFFFF"/>
                  <w:vAlign w:val="center"/>
                </w:tcPr>
                <w:p w14:paraId="49A944DC">
                  <w:pPr>
                    <w:pStyle w:val="32"/>
                    <w:bidi w:val="0"/>
                  </w:pPr>
                  <w:r>
                    <w:t>1.2</w:t>
                  </w:r>
                </w:p>
              </w:tc>
              <w:tc>
                <w:tcPr>
                  <w:tcW w:w="720" w:type="dxa"/>
                  <w:tcBorders>
                    <w:tl2br w:val="nil"/>
                    <w:tr2bl w:val="nil"/>
                  </w:tcBorders>
                  <w:shd w:val="clear" w:color="auto" w:fill="FFFFFF"/>
                  <w:vAlign w:val="center"/>
                </w:tcPr>
                <w:p w14:paraId="4F8F0E1E">
                  <w:pPr>
                    <w:pStyle w:val="32"/>
                    <w:bidi w:val="0"/>
                  </w:pPr>
                  <w:r>
                    <w:t>昼间</w:t>
                  </w:r>
                </w:p>
              </w:tc>
              <w:tc>
                <w:tcPr>
                  <w:tcW w:w="1074" w:type="dxa"/>
                  <w:tcBorders>
                    <w:tl2br w:val="nil"/>
                    <w:tr2bl w:val="nil"/>
                  </w:tcBorders>
                  <w:shd w:val="clear" w:color="auto" w:fill="FFFFFF"/>
                  <w:vAlign w:val="center"/>
                </w:tcPr>
                <w:p w14:paraId="32675282">
                  <w:pPr>
                    <w:pStyle w:val="32"/>
                    <w:bidi w:val="0"/>
                  </w:pPr>
                  <w:r>
                    <w:t>32.5</w:t>
                  </w:r>
                </w:p>
              </w:tc>
              <w:tc>
                <w:tcPr>
                  <w:tcW w:w="1320" w:type="dxa"/>
                  <w:tcBorders>
                    <w:tl2br w:val="nil"/>
                    <w:tr2bl w:val="nil"/>
                  </w:tcBorders>
                  <w:shd w:val="clear" w:color="auto" w:fill="FFFFFF"/>
                  <w:vAlign w:val="center"/>
                </w:tcPr>
                <w:p w14:paraId="04607B9B">
                  <w:pPr>
                    <w:pStyle w:val="32"/>
                    <w:bidi w:val="0"/>
                  </w:pPr>
                  <w:r>
                    <w:t>60</w:t>
                  </w:r>
                </w:p>
              </w:tc>
              <w:tc>
                <w:tcPr>
                  <w:tcW w:w="1106" w:type="dxa"/>
                  <w:tcBorders>
                    <w:tl2br w:val="nil"/>
                    <w:tr2bl w:val="nil"/>
                  </w:tcBorders>
                  <w:shd w:val="clear" w:color="auto" w:fill="FFFFFF"/>
                  <w:vAlign w:val="center"/>
                </w:tcPr>
                <w:p w14:paraId="535A053F">
                  <w:pPr>
                    <w:pStyle w:val="32"/>
                    <w:bidi w:val="0"/>
                  </w:pPr>
                  <w:r>
                    <w:t>达标</w:t>
                  </w:r>
                </w:p>
              </w:tc>
            </w:tr>
            <w:tr w14:paraId="3FEA4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5" w:hRule="exact"/>
                <w:jc w:val="center"/>
              </w:trPr>
              <w:tc>
                <w:tcPr>
                  <w:tcW w:w="1320" w:type="dxa"/>
                  <w:vMerge w:val="continue"/>
                  <w:tcBorders>
                    <w:tl2br w:val="nil"/>
                    <w:tr2bl w:val="nil"/>
                  </w:tcBorders>
                  <w:shd w:val="clear" w:color="auto" w:fill="FFFFFF"/>
                  <w:vAlign w:val="center"/>
                </w:tcPr>
                <w:p w14:paraId="79D943A2">
                  <w:pPr>
                    <w:pStyle w:val="32"/>
                    <w:bidi w:val="0"/>
                  </w:pPr>
                </w:p>
              </w:tc>
              <w:tc>
                <w:tcPr>
                  <w:tcW w:w="747" w:type="dxa"/>
                  <w:tcBorders>
                    <w:tl2br w:val="nil"/>
                    <w:tr2bl w:val="nil"/>
                  </w:tcBorders>
                  <w:shd w:val="clear" w:color="auto" w:fill="FFFFFF"/>
                  <w:vAlign w:val="center"/>
                </w:tcPr>
                <w:p w14:paraId="526844FF">
                  <w:pPr>
                    <w:pStyle w:val="32"/>
                    <w:bidi w:val="0"/>
                  </w:pPr>
                  <w:r>
                    <w:t>22.1</w:t>
                  </w:r>
                </w:p>
              </w:tc>
              <w:tc>
                <w:tcPr>
                  <w:tcW w:w="747" w:type="dxa"/>
                  <w:tcBorders>
                    <w:tl2br w:val="nil"/>
                    <w:tr2bl w:val="nil"/>
                  </w:tcBorders>
                  <w:shd w:val="clear" w:color="auto" w:fill="FFFFFF"/>
                  <w:vAlign w:val="center"/>
                </w:tcPr>
                <w:p w14:paraId="5634CB46">
                  <w:pPr>
                    <w:pStyle w:val="32"/>
                    <w:bidi w:val="0"/>
                  </w:pPr>
                  <w:r>
                    <w:t>41.2</w:t>
                  </w:r>
                </w:p>
              </w:tc>
              <w:tc>
                <w:tcPr>
                  <w:tcW w:w="1198" w:type="dxa"/>
                  <w:tcBorders>
                    <w:tl2br w:val="nil"/>
                    <w:tr2bl w:val="nil"/>
                  </w:tcBorders>
                  <w:shd w:val="clear" w:color="auto" w:fill="FFFFFF"/>
                  <w:vAlign w:val="center"/>
                </w:tcPr>
                <w:p w14:paraId="74A5078E">
                  <w:pPr>
                    <w:pStyle w:val="32"/>
                    <w:bidi w:val="0"/>
                  </w:pPr>
                  <w:r>
                    <w:t>1.2</w:t>
                  </w:r>
                </w:p>
              </w:tc>
              <w:tc>
                <w:tcPr>
                  <w:tcW w:w="720" w:type="dxa"/>
                  <w:tcBorders>
                    <w:tl2br w:val="nil"/>
                    <w:tr2bl w:val="nil"/>
                  </w:tcBorders>
                  <w:shd w:val="clear" w:color="auto" w:fill="FFFFFF"/>
                  <w:vAlign w:val="center"/>
                </w:tcPr>
                <w:p w14:paraId="0FA08ACF">
                  <w:pPr>
                    <w:pStyle w:val="32"/>
                    <w:bidi w:val="0"/>
                  </w:pPr>
                  <w:r>
                    <w:t>夜间</w:t>
                  </w:r>
                </w:p>
              </w:tc>
              <w:tc>
                <w:tcPr>
                  <w:tcW w:w="1074" w:type="dxa"/>
                  <w:tcBorders>
                    <w:tl2br w:val="nil"/>
                    <w:tr2bl w:val="nil"/>
                  </w:tcBorders>
                  <w:shd w:val="clear" w:color="auto" w:fill="FFFFFF"/>
                  <w:vAlign w:val="center"/>
                </w:tcPr>
                <w:p w14:paraId="61C84664">
                  <w:pPr>
                    <w:pStyle w:val="32"/>
                    <w:bidi w:val="0"/>
                  </w:pPr>
                  <w:r>
                    <w:t>32.5</w:t>
                  </w:r>
                </w:p>
              </w:tc>
              <w:tc>
                <w:tcPr>
                  <w:tcW w:w="1320" w:type="dxa"/>
                  <w:tcBorders>
                    <w:tl2br w:val="nil"/>
                    <w:tr2bl w:val="nil"/>
                  </w:tcBorders>
                  <w:shd w:val="clear" w:color="auto" w:fill="FFFFFF"/>
                  <w:vAlign w:val="center"/>
                </w:tcPr>
                <w:p w14:paraId="776A6D3E">
                  <w:pPr>
                    <w:pStyle w:val="32"/>
                    <w:bidi w:val="0"/>
                  </w:pPr>
                  <w:r>
                    <w:t>50</w:t>
                  </w:r>
                </w:p>
              </w:tc>
              <w:tc>
                <w:tcPr>
                  <w:tcW w:w="1106" w:type="dxa"/>
                  <w:tcBorders>
                    <w:tl2br w:val="nil"/>
                    <w:tr2bl w:val="nil"/>
                  </w:tcBorders>
                  <w:shd w:val="clear" w:color="auto" w:fill="FFFFFF"/>
                  <w:vAlign w:val="center"/>
                </w:tcPr>
                <w:p w14:paraId="4138C394">
                  <w:pPr>
                    <w:pStyle w:val="32"/>
                    <w:bidi w:val="0"/>
                  </w:pPr>
                  <w:r>
                    <w:t>达标</w:t>
                  </w:r>
                </w:p>
              </w:tc>
            </w:tr>
          </w:tbl>
          <w:p w14:paraId="2F0F0414">
            <w:pPr>
              <w:ind w:firstLine="480"/>
              <w:rPr>
                <w:rFonts w:cs="Times New Roman"/>
                <w:b w:val="0"/>
                <w:bCs w:val="0"/>
                <w:snapToGrid w:val="0"/>
                <w:kern w:val="0"/>
              </w:rPr>
            </w:pPr>
            <w:r>
              <w:rPr>
                <w:rFonts w:hint="eastAsia"/>
                <w:color w:val="000000" w:themeColor="text1"/>
                <w14:textFill>
                  <w14:solidFill>
                    <w14:schemeClr w14:val="tx1"/>
                  </w14:solidFill>
                </w14:textFill>
              </w:rPr>
              <w:t>根据上表可知，本项目噪声在距离衰减情况下，四周厂界可满足《工业企业厂界环境噪声排放标准》（</w:t>
            </w:r>
            <w:r>
              <w:rPr>
                <w:color w:val="000000" w:themeColor="text1"/>
                <w14:textFill>
                  <w14:solidFill>
                    <w14:schemeClr w14:val="tx1"/>
                  </w14:solidFill>
                </w14:textFill>
              </w:rPr>
              <w:t>GB12348-2008</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类昼间标准</w:t>
            </w:r>
            <w:r>
              <w:rPr>
                <w:rFonts w:hint="eastAsia"/>
                <w:color w:val="000000" w:themeColor="text1"/>
                <w:lang w:eastAsia="zh-CN"/>
                <w14:textFill>
                  <w14:solidFill>
                    <w14:schemeClr w14:val="tx1"/>
                  </w14:solidFill>
                </w14:textFill>
              </w:rPr>
              <w:t>，</w:t>
            </w:r>
            <w:r>
              <w:t>对</w:t>
            </w:r>
            <w:r>
              <w:rPr>
                <w:rFonts w:hint="eastAsia"/>
                <w:lang w:val="en-US" w:eastAsia="zh-CN"/>
              </w:rPr>
              <w:t>项目区周边</w:t>
            </w:r>
            <w:r>
              <w:t>声环境不会产生明显不利影响</w:t>
            </w:r>
            <w:r>
              <w:rPr>
                <w:rFonts w:hint="eastAsia"/>
                <w:color w:val="000000" w:themeColor="text1"/>
                <w14:textFill>
                  <w14:solidFill>
                    <w14:schemeClr w14:val="tx1"/>
                  </w14:solidFill>
                </w14:textFill>
              </w:rPr>
              <w:t>。</w:t>
            </w:r>
          </w:p>
          <w:p w14:paraId="17D28E92">
            <w:pPr>
              <w:ind w:firstLine="0" w:firstLineChars="0"/>
              <w:rPr>
                <w:b/>
              </w:rPr>
            </w:pPr>
            <w:r>
              <w:rPr>
                <w:rFonts w:hint="eastAsia"/>
                <w:b/>
              </w:rPr>
              <w:t>4.2.3.</w:t>
            </w:r>
            <w:r>
              <w:rPr>
                <w:rFonts w:hint="eastAsia"/>
                <w:b/>
                <w:lang w:val="en-US" w:eastAsia="zh-CN"/>
              </w:rPr>
              <w:t>4</w:t>
            </w:r>
            <w:r>
              <w:rPr>
                <w:b/>
              </w:rPr>
              <w:t>噪声控制措施：</w:t>
            </w:r>
          </w:p>
          <w:p w14:paraId="6CFEC97A">
            <w:pPr>
              <w:ind w:firstLine="480"/>
              <w:rPr>
                <w:bCs/>
              </w:rPr>
            </w:pPr>
            <w:r>
              <w:rPr>
                <w:bCs/>
              </w:rPr>
              <w:t>（1）加油站进入口设置限速、禁止鸣标志。</w:t>
            </w:r>
          </w:p>
          <w:p w14:paraId="15B04931">
            <w:pPr>
              <w:autoSpaceDE w:val="0"/>
              <w:autoSpaceDN w:val="0"/>
              <w:adjustRightInd w:val="0"/>
              <w:ind w:firstLine="480"/>
            </w:pPr>
            <w:r>
              <w:t>（2）选购低噪声设备，对主要噪声设备进行基座减振；</w:t>
            </w:r>
          </w:p>
          <w:p w14:paraId="5415E341">
            <w:pPr>
              <w:ind w:firstLine="480"/>
            </w:pPr>
            <w:r>
              <w:rPr>
                <w:bCs/>
              </w:rPr>
              <w:t>（3）油料</w:t>
            </w:r>
            <w:r>
              <w:t>装卸、灌装时间安排在昼间，且尽量避开昼间工作和休息时间进行。</w:t>
            </w:r>
          </w:p>
          <w:p w14:paraId="46CC1438">
            <w:pPr>
              <w:ind w:firstLine="0" w:firstLineChars="0"/>
              <w:rPr>
                <w:b/>
                <w:color w:val="000000"/>
                <w:szCs w:val="20"/>
              </w:rPr>
            </w:pPr>
            <w:r>
              <w:rPr>
                <w:b/>
                <w:color w:val="000000"/>
                <w:szCs w:val="20"/>
              </w:rPr>
              <w:t>4.2.4固体废物</w:t>
            </w:r>
          </w:p>
          <w:p w14:paraId="23F32EF7">
            <w:pPr>
              <w:autoSpaceDE w:val="0"/>
              <w:autoSpaceDN w:val="0"/>
              <w:adjustRightInd w:val="0"/>
              <w:ind w:firstLine="480"/>
            </w:pPr>
            <w:r>
              <w:t>本项目固体废物</w:t>
            </w:r>
            <w:r>
              <w:rPr>
                <w:rFonts w:hint="eastAsia"/>
                <w:lang w:val="en-US" w:eastAsia="zh-CN"/>
              </w:rPr>
              <w:t>主要包括生活垃圾</w:t>
            </w:r>
            <w:r>
              <w:t>和危险废物。</w:t>
            </w:r>
          </w:p>
          <w:p w14:paraId="45700296">
            <w:pPr>
              <w:tabs>
                <w:tab w:val="left" w:pos="180"/>
              </w:tabs>
              <w:ind w:firstLine="480"/>
              <w:rPr>
                <w:rFonts w:hint="eastAsia"/>
                <w:lang w:val="en-US" w:eastAsia="zh-CN"/>
              </w:rPr>
            </w:pPr>
            <w:r>
              <w:t>（1）</w:t>
            </w:r>
            <w:r>
              <w:rPr>
                <w:rFonts w:hint="eastAsia"/>
                <w:lang w:val="en-US" w:eastAsia="zh-CN"/>
              </w:rPr>
              <w:t>生活垃圾</w:t>
            </w:r>
          </w:p>
          <w:p w14:paraId="1244B1BF">
            <w:pPr>
              <w:tabs>
                <w:tab w:val="left" w:pos="180"/>
              </w:tabs>
              <w:ind w:firstLine="480"/>
            </w:pPr>
            <w:r>
              <w:rPr>
                <w:rFonts w:cs="Times New Roman"/>
                <w:szCs w:val="24"/>
              </w:rPr>
              <w:t>生活垃圾</w:t>
            </w:r>
            <w:r>
              <w:rPr>
                <w:rFonts w:hint="eastAsia" w:cs="Times New Roman"/>
                <w:szCs w:val="24"/>
                <w:lang w:val="en-US" w:eastAsia="zh-CN"/>
              </w:rPr>
              <w:t>产生量按</w:t>
            </w:r>
            <w:r>
              <w:rPr>
                <w:rFonts w:cs="Times New Roman"/>
                <w:szCs w:val="24"/>
              </w:rPr>
              <w:t>0.5kg</w:t>
            </w:r>
            <w:r>
              <w:rPr>
                <w:rFonts w:hint="eastAsia" w:cs="Times New Roman"/>
                <w:szCs w:val="24"/>
                <w:lang w:val="en-US" w:eastAsia="zh-CN"/>
              </w:rPr>
              <w:t>/d·人计</w:t>
            </w:r>
            <w:r>
              <w:t>，则</w:t>
            </w:r>
            <w:r>
              <w:rPr>
                <w:rFonts w:hint="eastAsia"/>
                <w:lang w:val="en-US" w:eastAsia="zh-CN"/>
              </w:rPr>
              <w:t>12</w:t>
            </w:r>
            <w:r>
              <w:t>人排放量为</w:t>
            </w:r>
            <w:r>
              <w:rPr>
                <w:rFonts w:hint="eastAsia"/>
              </w:rPr>
              <w:t>6</w:t>
            </w:r>
            <w:r>
              <w:t>kg/d，</w:t>
            </w:r>
            <w:r>
              <w:rPr>
                <w:rFonts w:hint="eastAsia"/>
                <w:lang w:val="en-US" w:eastAsia="zh-CN"/>
              </w:rPr>
              <w:t>2.19</w:t>
            </w:r>
            <w:r>
              <w:t>t/a。</w:t>
            </w:r>
          </w:p>
          <w:p w14:paraId="71DF65DF">
            <w:pPr>
              <w:adjustRightInd w:val="0"/>
              <w:snapToGrid w:val="0"/>
              <w:ind w:firstLine="480"/>
              <w:rPr>
                <w:rFonts w:hint="eastAsia" w:eastAsia="宋体"/>
                <w:lang w:eastAsia="zh-CN"/>
              </w:rPr>
            </w:pPr>
            <w:r>
              <w:t>（2）危险</w:t>
            </w:r>
            <w:r>
              <w:rPr>
                <w:rFonts w:hint="eastAsia"/>
                <w:lang w:val="en-US" w:eastAsia="zh-CN"/>
              </w:rPr>
              <w:t>废物</w:t>
            </w:r>
          </w:p>
          <w:p w14:paraId="6A8C68C7">
            <w:pPr>
              <w:adjustRightInd w:val="0"/>
              <w:snapToGrid w:val="0"/>
              <w:ind w:firstLine="480" w:firstLineChars="0"/>
              <w:textAlignment w:val="auto"/>
              <w:rPr>
                <w:rFonts w:cs="Times New Roman"/>
                <w:kern w:val="0"/>
                <w:szCs w:val="24"/>
              </w:rPr>
            </w:pPr>
            <w:r>
              <w:rPr>
                <w:rFonts w:hint="eastAsia" w:ascii="宋体" w:hAnsi="宋体" w:cs="宋体"/>
                <w:snapToGrid w:val="0"/>
                <w:kern w:val="0"/>
                <w:szCs w:val="24"/>
              </w:rPr>
              <w:t>①</w:t>
            </w:r>
            <w:r>
              <w:rPr>
                <w:rFonts w:cs="Times New Roman"/>
                <w:color w:val="000000"/>
              </w:rPr>
              <w:t>油罐油泥</w:t>
            </w:r>
            <w:r>
              <w:rPr>
                <w:rFonts w:cs="Times New Roman"/>
                <w:snapToGrid w:val="0"/>
                <w:kern w:val="0"/>
                <w:szCs w:val="24"/>
              </w:rPr>
              <w:t>：</w:t>
            </w:r>
            <w:r>
              <w:rPr>
                <w:rFonts w:cs="Times New Roman"/>
                <w:color w:val="000000"/>
              </w:rPr>
              <w:t>油罐每三年清洗一次，油罐清洗委托有危废资质单位的专业油罐清洗公司清洗。根据同类项目经验数据，每个油罐每次清洗油泥产生量约为20kg，</w:t>
            </w:r>
            <w:r>
              <w:rPr>
                <w:rFonts w:hint="eastAsia" w:cs="Times New Roman"/>
                <w:color w:val="000000"/>
                <w:lang w:val="en-US" w:eastAsia="zh-CN"/>
              </w:rPr>
              <w:t>本</w:t>
            </w:r>
            <w:r>
              <w:rPr>
                <w:rFonts w:cs="Times New Roman"/>
                <w:color w:val="000000"/>
              </w:rPr>
              <w:t>项目</w:t>
            </w:r>
            <w:r>
              <w:rPr>
                <w:rFonts w:hint="eastAsia" w:cs="Times New Roman"/>
                <w:color w:val="000000"/>
                <w:lang w:val="en-US" w:eastAsia="zh-CN"/>
              </w:rPr>
              <w:t>4</w:t>
            </w:r>
            <w:r>
              <w:rPr>
                <w:rFonts w:cs="Times New Roman"/>
                <w:color w:val="000000"/>
              </w:rPr>
              <w:t>个储油罐产生油泥0.08t/</w:t>
            </w:r>
            <w:bookmarkStart w:id="17" w:name="OLE_LINK37"/>
            <w:r>
              <w:rPr>
                <w:rFonts w:cs="Times New Roman"/>
                <w:color w:val="000000"/>
              </w:rPr>
              <w:t>3a</w:t>
            </w:r>
            <w:bookmarkEnd w:id="17"/>
            <w:r>
              <w:rPr>
                <w:rFonts w:cs="Times New Roman"/>
                <w:color w:val="000000"/>
              </w:rPr>
              <w:t>。油泥属于《国家危险废物名录》（2025年版）所列的HW08</w:t>
            </w:r>
            <w:r>
              <w:rPr>
                <w:rFonts w:cs="Times New Roman"/>
                <w:snapToGrid w:val="0"/>
                <w:kern w:val="0"/>
                <w:szCs w:val="24"/>
              </w:rPr>
              <w:t>非特定行业中</w:t>
            </w:r>
            <w:r>
              <w:rPr>
                <w:rFonts w:cs="Times New Roman"/>
                <w:color w:val="000000"/>
              </w:rPr>
              <w:t>900-221-08</w:t>
            </w:r>
            <w:r>
              <w:rPr>
                <w:rFonts w:hint="eastAsia" w:cs="Times New Roman"/>
                <w:snapToGrid w:val="0"/>
                <w:kern w:val="0"/>
                <w:szCs w:val="24"/>
                <w:lang w:eastAsia="zh-CN"/>
              </w:rPr>
              <w:t>“</w:t>
            </w:r>
            <w:r>
              <w:rPr>
                <w:rFonts w:cs="Times New Roman"/>
                <w:snapToGrid w:val="0"/>
                <w:kern w:val="0"/>
                <w:szCs w:val="24"/>
              </w:rPr>
              <w:t>废燃料油及燃料油储存过程中产生的油泥</w:t>
            </w:r>
            <w:r>
              <w:rPr>
                <w:rFonts w:hint="eastAsia" w:cs="Times New Roman"/>
                <w:snapToGrid w:val="0"/>
                <w:kern w:val="0"/>
                <w:szCs w:val="24"/>
                <w:lang w:eastAsia="zh-CN"/>
              </w:rPr>
              <w:t>”</w:t>
            </w:r>
            <w:r>
              <w:rPr>
                <w:rFonts w:cs="Times New Roman"/>
                <w:snapToGrid w:val="0"/>
                <w:kern w:val="0"/>
                <w:szCs w:val="24"/>
              </w:rPr>
              <w:t>，由专车运走交有处理资质单位进行妥善的环保处理，不在加油站内贮存</w:t>
            </w:r>
            <w:r>
              <w:rPr>
                <w:rFonts w:cs="Times New Roman"/>
                <w:kern w:val="0"/>
                <w:szCs w:val="24"/>
              </w:rPr>
              <w:t>。</w:t>
            </w:r>
          </w:p>
          <w:p w14:paraId="5B72567A">
            <w:pPr>
              <w:adjustRightInd w:val="0"/>
              <w:snapToGrid w:val="0"/>
              <w:ind w:firstLine="480"/>
              <w:textAlignment w:val="baseline"/>
              <w:rPr>
                <w:rFonts w:ascii="宋体" w:hAnsi="宋体" w:cs="宋体"/>
                <w:kern w:val="0"/>
                <w:szCs w:val="24"/>
              </w:rPr>
            </w:pPr>
            <w:r>
              <w:rPr>
                <w:rFonts w:hint="eastAsia" w:ascii="宋体" w:hAnsi="宋体" w:cs="宋体"/>
                <w:kern w:val="0"/>
                <w:szCs w:val="24"/>
              </w:rPr>
              <w:t>②</w:t>
            </w:r>
            <w:r>
              <w:rPr>
                <w:rFonts w:cs="Times New Roman"/>
                <w:color w:val="000000"/>
              </w:rPr>
              <w:t>储油罐清洗废液：根据建设单位提供的资料，本项目共设置储油罐4个，容积分别为</w:t>
            </w:r>
            <w:r>
              <w:rPr>
                <w:rFonts w:hint="eastAsia" w:cs="Times New Roman"/>
                <w:color w:val="000000"/>
                <w:lang w:val="en-US" w:eastAsia="zh-CN"/>
              </w:rPr>
              <w:t>3</w:t>
            </w:r>
            <w:r>
              <w:rPr>
                <w:rFonts w:cs="Times New Roman"/>
                <w:color w:val="000000"/>
              </w:rPr>
              <w:t>0m</w:t>
            </w:r>
            <w:r>
              <w:rPr>
                <w:rFonts w:cs="Times New Roman"/>
                <w:color w:val="000000"/>
                <w:vertAlign w:val="superscript"/>
              </w:rPr>
              <w:t>3</w:t>
            </w:r>
            <w:r>
              <w:rPr>
                <w:rFonts w:cs="Times New Roman"/>
                <w:color w:val="000000"/>
              </w:rPr>
              <w:t>、</w:t>
            </w:r>
            <w:r>
              <w:rPr>
                <w:rFonts w:hint="eastAsia" w:cs="Times New Roman"/>
                <w:color w:val="000000"/>
                <w:lang w:val="en-US" w:eastAsia="zh-CN"/>
              </w:rPr>
              <w:t>3</w:t>
            </w:r>
            <w:r>
              <w:rPr>
                <w:rFonts w:cs="Times New Roman"/>
                <w:color w:val="000000"/>
              </w:rPr>
              <w:t>0m</w:t>
            </w:r>
            <w:r>
              <w:rPr>
                <w:rFonts w:cs="Times New Roman"/>
                <w:color w:val="000000"/>
                <w:vertAlign w:val="superscript"/>
              </w:rPr>
              <w:t>3</w:t>
            </w:r>
            <w:r>
              <w:rPr>
                <w:rFonts w:cs="Times New Roman"/>
                <w:color w:val="000000"/>
              </w:rPr>
              <w:t>、</w:t>
            </w:r>
            <w:r>
              <w:rPr>
                <w:rFonts w:hint="eastAsia" w:cs="Times New Roman"/>
                <w:color w:val="000000"/>
                <w:lang w:val="en-US" w:eastAsia="zh-CN"/>
              </w:rPr>
              <w:t>3</w:t>
            </w:r>
            <w:r>
              <w:rPr>
                <w:rFonts w:cs="Times New Roman"/>
                <w:color w:val="000000"/>
              </w:rPr>
              <w:t>0m</w:t>
            </w:r>
            <w:r>
              <w:rPr>
                <w:rFonts w:cs="Times New Roman"/>
                <w:color w:val="000000"/>
                <w:vertAlign w:val="superscript"/>
              </w:rPr>
              <w:t>3</w:t>
            </w:r>
            <w:r>
              <w:rPr>
                <w:rFonts w:cs="Times New Roman"/>
                <w:color w:val="000000"/>
              </w:rPr>
              <w:t>、</w:t>
            </w:r>
            <w:r>
              <w:rPr>
                <w:rFonts w:hint="eastAsia" w:cs="Times New Roman"/>
                <w:color w:val="000000"/>
                <w:lang w:val="en-US" w:eastAsia="zh-CN"/>
              </w:rPr>
              <w:t>25</w:t>
            </w:r>
            <w:r>
              <w:rPr>
                <w:rFonts w:cs="Times New Roman"/>
                <w:color w:val="000000"/>
              </w:rPr>
              <w:t>m</w:t>
            </w:r>
            <w:r>
              <w:rPr>
                <w:rFonts w:cs="Times New Roman"/>
                <w:color w:val="000000"/>
                <w:vertAlign w:val="superscript"/>
              </w:rPr>
              <w:t>3</w:t>
            </w:r>
            <w:r>
              <w:rPr>
                <w:rFonts w:cs="Times New Roman"/>
                <w:color w:val="000000"/>
              </w:rPr>
              <w:t>，每三年进行一次油罐清洗，各储油罐的清洗时间分别约为40min、40min、40min、40min，热水高压清洗机输水能力约为5L/min，则本项目储油罐清洗废液产生量约为0.8t/3a，储油罐清洗委托专业公司进行作业，产生的清洗废液由专业清洁公司转移处置，不在站区内贮存。属于《国家危险废物名录》（2025版）所列的HW08</w:t>
            </w:r>
            <w:r>
              <w:rPr>
                <w:rFonts w:cs="Times New Roman"/>
                <w:snapToGrid w:val="0"/>
                <w:kern w:val="0"/>
                <w:szCs w:val="24"/>
              </w:rPr>
              <w:t>非特定行业中</w:t>
            </w:r>
            <w:r>
              <w:rPr>
                <w:rFonts w:cs="Times New Roman"/>
                <w:color w:val="000000"/>
              </w:rPr>
              <w:t>900-</w:t>
            </w:r>
            <w:r>
              <w:rPr>
                <w:rFonts w:hint="eastAsia" w:cs="Times New Roman"/>
                <w:color w:val="000000"/>
                <w:lang w:val="en-US" w:eastAsia="zh-CN"/>
              </w:rPr>
              <w:t>007</w:t>
            </w:r>
            <w:r>
              <w:rPr>
                <w:rFonts w:cs="Times New Roman"/>
                <w:color w:val="000000"/>
              </w:rPr>
              <w:t>-0</w:t>
            </w:r>
            <w:r>
              <w:rPr>
                <w:rFonts w:hint="eastAsia" w:cs="Times New Roman"/>
                <w:color w:val="000000"/>
                <w:lang w:val="en-US" w:eastAsia="zh-CN"/>
              </w:rPr>
              <w:t>9</w:t>
            </w:r>
            <w:r>
              <w:rPr>
                <w:rFonts w:hint="eastAsia" w:cs="Times New Roman"/>
                <w:color w:val="000000"/>
                <w:lang w:eastAsia="zh-CN"/>
              </w:rPr>
              <w:t>“</w:t>
            </w:r>
            <w:r>
              <w:rPr>
                <w:rFonts w:hint="eastAsia" w:cs="Times New Roman"/>
                <w:color w:val="000000"/>
              </w:rPr>
              <w:t>其他工艺过程中产生的废弃的油/水、烃/水混合物或者乳化液</w:t>
            </w:r>
            <w:r>
              <w:rPr>
                <w:rFonts w:hint="eastAsia" w:cs="Times New Roman"/>
                <w:color w:val="000000"/>
                <w:lang w:eastAsia="zh-CN"/>
              </w:rPr>
              <w:t>”</w:t>
            </w:r>
            <w:r>
              <w:rPr>
                <w:rFonts w:hint="eastAsia" w:cs="Times New Roman"/>
                <w:kern w:val="0"/>
                <w:szCs w:val="24"/>
              </w:rPr>
              <w:t>。</w:t>
            </w:r>
          </w:p>
          <w:p w14:paraId="7922CAA8">
            <w:pPr>
              <w:adjustRightInd w:val="0"/>
              <w:snapToGrid w:val="0"/>
              <w:ind w:firstLine="480"/>
              <w:textAlignment w:val="baseline"/>
              <w:rPr>
                <w:rFonts w:cs="Times New Roman"/>
                <w:kern w:val="0"/>
                <w:szCs w:val="24"/>
              </w:rPr>
            </w:pPr>
            <w:r>
              <w:rPr>
                <w:rFonts w:cs="Times New Roman"/>
                <w:color w:val="000000"/>
              </w:rPr>
              <w:fldChar w:fldCharType="begin"/>
            </w:r>
            <w:r>
              <w:rPr>
                <w:rFonts w:cs="Times New Roman"/>
                <w:color w:val="000000"/>
              </w:rPr>
              <w:instrText xml:space="preserve"> = 3 \* GB3 </w:instrText>
            </w:r>
            <w:r>
              <w:rPr>
                <w:rFonts w:cs="Times New Roman"/>
                <w:color w:val="000000"/>
              </w:rPr>
              <w:fldChar w:fldCharType="separate"/>
            </w:r>
            <w:r>
              <w:rPr>
                <w:rFonts w:hint="eastAsia" w:cs="Times New Roman"/>
                <w:color w:val="000000"/>
              </w:rPr>
              <w:t>③</w:t>
            </w:r>
            <w:r>
              <w:rPr>
                <w:rFonts w:cs="Times New Roman"/>
                <w:color w:val="000000"/>
              </w:rPr>
              <w:fldChar w:fldCharType="end"/>
            </w:r>
            <w:r>
              <w:rPr>
                <w:rFonts w:cs="Times New Roman"/>
                <w:color w:val="000000"/>
              </w:rPr>
              <w:t>设备维修产生少量的含油棉纱，产生量约为0.05t/a，根据《国家危险废物名录（2025</w:t>
            </w:r>
            <w:r>
              <w:rPr>
                <w:rFonts w:cs="Times New Roman"/>
                <w:snapToGrid w:val="0"/>
                <w:kern w:val="0"/>
                <w:szCs w:val="24"/>
              </w:rPr>
              <w:t>年版）》</w:t>
            </w:r>
            <w:r>
              <w:rPr>
                <w:rFonts w:cs="Times New Roman"/>
                <w:kern w:val="0"/>
                <w:szCs w:val="24"/>
              </w:rPr>
              <w:t>中危险废物豁免管理清单中900-041-49废弃的含油抹布、劳保用品在全部环节不按危险废物管理，</w:t>
            </w:r>
            <w:r>
              <w:rPr>
                <w:rFonts w:hint="eastAsia"/>
              </w:rPr>
              <w:t>废</w:t>
            </w:r>
            <w:r>
              <w:rPr>
                <w:rFonts w:hint="eastAsia"/>
                <w:lang w:eastAsia="zh-CN"/>
              </w:rPr>
              <w:t>沾油手套</w:t>
            </w:r>
            <w:r>
              <w:t>、抹布收集后</w:t>
            </w:r>
            <w:r>
              <w:rPr>
                <w:rFonts w:hint="eastAsia"/>
                <w:lang w:val="en-US" w:eastAsia="zh-CN"/>
              </w:rPr>
              <w:t>贮存</w:t>
            </w:r>
            <w:r>
              <w:t>于</w:t>
            </w:r>
            <w:r>
              <w:rPr>
                <w:rFonts w:hint="eastAsia"/>
              </w:rPr>
              <w:t>危险废物贮存</w:t>
            </w:r>
            <w:r>
              <w:rPr>
                <w:rFonts w:hint="eastAsia"/>
                <w:lang w:val="en-US" w:eastAsia="zh-CN"/>
              </w:rPr>
              <w:t>点</w:t>
            </w:r>
            <w:r>
              <w:rPr>
                <w:rFonts w:hint="eastAsia"/>
              </w:rPr>
              <w:t>并</w:t>
            </w:r>
            <w:r>
              <w:t>委托有资质单位</w:t>
            </w:r>
            <w:r>
              <w:rPr>
                <w:rFonts w:hint="eastAsia"/>
                <w:lang w:val="en-US" w:eastAsia="zh-CN"/>
              </w:rPr>
              <w:t>拉运</w:t>
            </w:r>
            <w:r>
              <w:t>处置</w:t>
            </w:r>
            <w:r>
              <w:rPr>
                <w:rFonts w:cs="Times New Roman"/>
                <w:kern w:val="0"/>
                <w:szCs w:val="24"/>
              </w:rPr>
              <w:t>。</w:t>
            </w:r>
          </w:p>
          <w:p w14:paraId="1C51E685">
            <w:pPr>
              <w:autoSpaceDE w:val="0"/>
              <w:autoSpaceDN w:val="0"/>
              <w:ind w:firstLine="480"/>
              <w:rPr>
                <w:bCs/>
              </w:rPr>
            </w:pPr>
            <w:r>
              <w:rPr>
                <w:rFonts w:cs="Times New Roman"/>
                <w:snapToGrid w:val="0"/>
                <w:kern w:val="0"/>
                <w:szCs w:val="24"/>
              </w:rPr>
              <w:fldChar w:fldCharType="begin"/>
            </w:r>
            <w:r>
              <w:rPr>
                <w:rFonts w:cs="Times New Roman"/>
                <w:snapToGrid w:val="0"/>
                <w:kern w:val="0"/>
                <w:szCs w:val="24"/>
              </w:rPr>
              <w:instrText xml:space="preserve"> = 4 \* GB3 </w:instrText>
            </w:r>
            <w:r>
              <w:rPr>
                <w:rFonts w:cs="Times New Roman"/>
                <w:snapToGrid w:val="0"/>
                <w:kern w:val="0"/>
                <w:szCs w:val="24"/>
              </w:rPr>
              <w:fldChar w:fldCharType="separate"/>
            </w:r>
            <w:r>
              <w:rPr>
                <w:rFonts w:hint="eastAsia" w:cs="Times New Roman"/>
                <w:snapToGrid w:val="0"/>
                <w:kern w:val="0"/>
                <w:szCs w:val="24"/>
              </w:rPr>
              <w:t>④</w:t>
            </w:r>
            <w:r>
              <w:rPr>
                <w:rFonts w:cs="Times New Roman"/>
                <w:snapToGrid w:val="0"/>
                <w:kern w:val="0"/>
                <w:szCs w:val="24"/>
              </w:rPr>
              <w:fldChar w:fldCharType="end"/>
            </w:r>
            <w:r>
              <w:rPr>
                <w:rFonts w:cs="Times New Roman"/>
                <w:snapToGrid w:val="0"/>
                <w:kern w:val="0"/>
                <w:szCs w:val="24"/>
              </w:rPr>
              <w:t>废润滑油</w:t>
            </w:r>
            <w:r>
              <w:rPr>
                <w:rFonts w:hint="eastAsia" w:cs="Times New Roman"/>
                <w:snapToGrid w:val="0"/>
                <w:kern w:val="0"/>
                <w:szCs w:val="24"/>
              </w:rPr>
              <w:t>：</w:t>
            </w:r>
            <w:r>
              <w:rPr>
                <w:rFonts w:cs="Times New Roman"/>
                <w:snapToGrid w:val="0"/>
                <w:kern w:val="0"/>
                <w:szCs w:val="24"/>
              </w:rPr>
              <w:t>压缩机检维修时产生更换的废润滑油，产生量为0.1t/a，废润滑油属于《国家危险废物名录（2025年）》所列的HW08非特定行业中900-214-08</w:t>
            </w:r>
            <w:r>
              <w:rPr>
                <w:rFonts w:hint="eastAsia" w:cs="Times New Roman"/>
                <w:snapToGrid w:val="0"/>
                <w:kern w:val="0"/>
                <w:szCs w:val="24"/>
                <w:lang w:eastAsia="zh-CN"/>
              </w:rPr>
              <w:t>“</w:t>
            </w:r>
            <w:r>
              <w:rPr>
                <w:rFonts w:cs="Times New Roman"/>
                <w:snapToGrid w:val="0"/>
                <w:kern w:val="0"/>
                <w:szCs w:val="24"/>
              </w:rPr>
              <w:t>车辆、轮船及其它机械维修过程中产生的废发动机油、制动器油、自动变速器油、齿轮油等废润滑油</w:t>
            </w:r>
            <w:r>
              <w:rPr>
                <w:rFonts w:hint="eastAsia" w:cs="Times New Roman"/>
                <w:snapToGrid w:val="0"/>
                <w:kern w:val="0"/>
                <w:szCs w:val="24"/>
                <w:lang w:eastAsia="zh-CN"/>
              </w:rPr>
              <w:t>”</w:t>
            </w:r>
            <w:r>
              <w:rPr>
                <w:rFonts w:cs="Times New Roman"/>
                <w:snapToGrid w:val="0"/>
                <w:kern w:val="0"/>
                <w:szCs w:val="24"/>
              </w:rPr>
              <w:t>，集中收集后</w:t>
            </w:r>
            <w:r>
              <w:rPr>
                <w:rFonts w:hint="eastAsia" w:cs="Times New Roman"/>
                <w:snapToGrid w:val="0"/>
                <w:kern w:val="0"/>
                <w:szCs w:val="24"/>
                <w:lang w:val="en-US" w:eastAsia="zh-CN"/>
              </w:rPr>
              <w:t>贮存</w:t>
            </w:r>
            <w:r>
              <w:rPr>
                <w:rFonts w:cs="Times New Roman"/>
                <w:snapToGrid w:val="0"/>
                <w:kern w:val="0"/>
                <w:szCs w:val="24"/>
              </w:rPr>
              <w:t>于危险废物</w:t>
            </w:r>
            <w:r>
              <w:rPr>
                <w:rFonts w:hint="eastAsia" w:cs="Times New Roman"/>
                <w:snapToGrid w:val="0"/>
                <w:kern w:val="0"/>
                <w:szCs w:val="24"/>
                <w:lang w:eastAsia="zh-CN"/>
              </w:rPr>
              <w:t>贮存点</w:t>
            </w:r>
            <w:r>
              <w:rPr>
                <w:rFonts w:cs="Times New Roman"/>
                <w:snapToGrid w:val="0"/>
                <w:kern w:val="0"/>
                <w:szCs w:val="24"/>
              </w:rPr>
              <w:t>后委托有资质单位</w:t>
            </w:r>
            <w:r>
              <w:rPr>
                <w:rFonts w:hint="eastAsia" w:cs="Times New Roman"/>
                <w:snapToGrid w:val="0"/>
                <w:kern w:val="0"/>
                <w:szCs w:val="24"/>
                <w:lang w:val="en-US" w:eastAsia="zh-CN"/>
              </w:rPr>
              <w:t>拉运</w:t>
            </w:r>
            <w:r>
              <w:rPr>
                <w:rFonts w:cs="Times New Roman"/>
                <w:snapToGrid w:val="0"/>
                <w:kern w:val="0"/>
                <w:szCs w:val="24"/>
              </w:rPr>
              <w:t>处置</w:t>
            </w:r>
            <w:r>
              <w:rPr>
                <w:rFonts w:hint="eastAsia" w:cs="Times New Roman"/>
                <w:snapToGrid w:val="0"/>
                <w:kern w:val="0"/>
                <w:szCs w:val="24"/>
                <w:lang w:eastAsia="zh-CN"/>
              </w:rPr>
              <w:t>。</w:t>
            </w:r>
            <w:r>
              <w:rPr>
                <w:rFonts w:hint="eastAsia"/>
                <w:bCs/>
                <w:lang w:val="en-US" w:eastAsia="zh-CN"/>
              </w:rPr>
              <w:t>本</w:t>
            </w:r>
            <w:r>
              <w:rPr>
                <w:bCs/>
              </w:rPr>
              <w:t>项目固体废物产生及排放情况见表</w:t>
            </w:r>
            <w:r>
              <w:rPr>
                <w:rFonts w:hint="eastAsia"/>
                <w:bCs/>
              </w:rPr>
              <w:t>4</w:t>
            </w:r>
            <w:r>
              <w:rPr>
                <w:rFonts w:hint="eastAsia"/>
                <w:bCs/>
                <w:lang w:val="en-US" w:eastAsia="zh-CN"/>
              </w:rPr>
              <w:t>-9</w:t>
            </w:r>
            <w:r>
              <w:rPr>
                <w:bCs/>
              </w:rPr>
              <w:t>。</w:t>
            </w:r>
          </w:p>
          <w:p w14:paraId="008E1817">
            <w:pPr>
              <w:pStyle w:val="28"/>
              <w:spacing w:before="120"/>
              <w:ind w:firstLine="422"/>
            </w:pPr>
            <w:r>
              <w:t>表</w:t>
            </w:r>
            <w:r>
              <w:rPr>
                <w:rFonts w:hint="eastAsia"/>
              </w:rPr>
              <w:t>4</w:t>
            </w:r>
            <w:r>
              <w:rPr>
                <w:rFonts w:hint="eastAsia"/>
                <w:lang w:val="en-US" w:eastAsia="zh-CN"/>
              </w:rPr>
              <w:t xml:space="preserve">-9 </w:t>
            </w:r>
            <w:r>
              <w:t xml:space="preserve"> 固体废物产生及排放情况</w:t>
            </w:r>
            <w:r>
              <w:rPr>
                <w:rFonts w:hint="eastAsia"/>
                <w:lang w:val="en-US" w:eastAsia="zh-CN"/>
              </w:rPr>
              <w:t>一览</w:t>
            </w:r>
            <w:r>
              <w:t>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3"/>
              <w:gridCol w:w="694"/>
              <w:gridCol w:w="547"/>
              <w:gridCol w:w="736"/>
              <w:gridCol w:w="823"/>
              <w:gridCol w:w="545"/>
              <w:gridCol w:w="640"/>
              <w:gridCol w:w="655"/>
              <w:gridCol w:w="700"/>
              <w:gridCol w:w="848"/>
              <w:gridCol w:w="747"/>
              <w:gridCol w:w="975"/>
            </w:tblGrid>
            <w:tr w14:paraId="369BA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7" w:type="pct"/>
                  <w:vAlign w:val="center"/>
                </w:tcPr>
                <w:p w14:paraId="13DB7DFC">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产生环节</w:t>
                  </w:r>
                </w:p>
              </w:tc>
              <w:tc>
                <w:tcPr>
                  <w:tcW w:w="416" w:type="pct"/>
                  <w:vAlign w:val="center"/>
                </w:tcPr>
                <w:p w14:paraId="478E525F">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名称</w:t>
                  </w:r>
                </w:p>
              </w:tc>
              <w:tc>
                <w:tcPr>
                  <w:tcW w:w="328" w:type="pct"/>
                  <w:vAlign w:val="center"/>
                </w:tcPr>
                <w:p w14:paraId="399B3712">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属性</w:t>
                  </w:r>
                </w:p>
              </w:tc>
              <w:tc>
                <w:tcPr>
                  <w:tcW w:w="442" w:type="pct"/>
                  <w:vAlign w:val="center"/>
                </w:tcPr>
                <w:p w14:paraId="527D1860">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有毒有害</w:t>
                  </w:r>
                  <w:r>
                    <w:rPr>
                      <w:rFonts w:hint="eastAsia" w:cs="Times New Roman"/>
                      <w:snapToGrid w:val="0"/>
                      <w:kern w:val="0"/>
                      <w:sz w:val="21"/>
                      <w:szCs w:val="24"/>
                    </w:rPr>
                    <w:t>物质</w:t>
                  </w:r>
                  <w:r>
                    <w:rPr>
                      <w:rFonts w:cs="Times New Roman"/>
                      <w:snapToGrid w:val="0"/>
                      <w:kern w:val="0"/>
                      <w:sz w:val="21"/>
                      <w:szCs w:val="24"/>
                    </w:rPr>
                    <w:t>名称</w:t>
                  </w:r>
                </w:p>
              </w:tc>
              <w:tc>
                <w:tcPr>
                  <w:tcW w:w="494" w:type="pct"/>
                  <w:vAlign w:val="center"/>
                </w:tcPr>
                <w:p w14:paraId="1C9C86FC">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危险废物</w:t>
                  </w:r>
                  <w:r>
                    <w:rPr>
                      <w:rFonts w:hint="eastAsia" w:cs="Times New Roman"/>
                      <w:snapToGrid w:val="0"/>
                      <w:kern w:val="0"/>
                      <w:sz w:val="21"/>
                      <w:szCs w:val="24"/>
                    </w:rPr>
                    <w:t>类别</w:t>
                  </w:r>
                  <w:r>
                    <w:rPr>
                      <w:rFonts w:cs="Times New Roman"/>
                      <w:snapToGrid w:val="0"/>
                      <w:kern w:val="0"/>
                      <w:sz w:val="21"/>
                      <w:szCs w:val="24"/>
                    </w:rPr>
                    <w:t>及编码</w:t>
                  </w:r>
                </w:p>
              </w:tc>
              <w:tc>
                <w:tcPr>
                  <w:tcW w:w="327" w:type="pct"/>
                  <w:vAlign w:val="center"/>
                </w:tcPr>
                <w:p w14:paraId="0ED5F30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物理形状</w:t>
                  </w:r>
                </w:p>
              </w:tc>
              <w:tc>
                <w:tcPr>
                  <w:tcW w:w="384" w:type="pct"/>
                  <w:vAlign w:val="center"/>
                </w:tcPr>
                <w:p w14:paraId="57C5E5E9">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环境危险特性</w:t>
                  </w:r>
                </w:p>
              </w:tc>
              <w:tc>
                <w:tcPr>
                  <w:tcW w:w="393" w:type="pct"/>
                  <w:vAlign w:val="center"/>
                </w:tcPr>
                <w:p w14:paraId="586F4DA3">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产生量(t/a)</w:t>
                  </w:r>
                </w:p>
              </w:tc>
              <w:tc>
                <w:tcPr>
                  <w:tcW w:w="420" w:type="pct"/>
                  <w:vAlign w:val="center"/>
                </w:tcPr>
                <w:p w14:paraId="1AB58717">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贮存方式</w:t>
                  </w:r>
                </w:p>
              </w:tc>
              <w:tc>
                <w:tcPr>
                  <w:tcW w:w="508" w:type="pct"/>
                  <w:vAlign w:val="center"/>
                </w:tcPr>
                <w:p w14:paraId="661BD177">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利用处置方式和去向</w:t>
                  </w:r>
                </w:p>
              </w:tc>
              <w:tc>
                <w:tcPr>
                  <w:tcW w:w="448" w:type="pct"/>
                  <w:vAlign w:val="center"/>
                </w:tcPr>
                <w:p w14:paraId="4471AC33">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利用或处置量(t/a)</w:t>
                  </w:r>
                </w:p>
              </w:tc>
              <w:tc>
                <w:tcPr>
                  <w:tcW w:w="585" w:type="pct"/>
                  <w:vAlign w:val="center"/>
                </w:tcPr>
                <w:p w14:paraId="2869F9FF">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环境管理要求</w:t>
                  </w:r>
                </w:p>
              </w:tc>
            </w:tr>
            <w:tr w14:paraId="7D9BE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7" w:type="pct"/>
                  <w:vMerge w:val="restart"/>
                  <w:vAlign w:val="center"/>
                </w:tcPr>
                <w:p w14:paraId="259D017D">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生产中</w:t>
                  </w:r>
                </w:p>
              </w:tc>
              <w:tc>
                <w:tcPr>
                  <w:tcW w:w="416" w:type="pct"/>
                  <w:vAlign w:val="center"/>
                </w:tcPr>
                <w:p w14:paraId="6662FF15">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油罐油泥</w:t>
                  </w:r>
                </w:p>
              </w:tc>
              <w:tc>
                <w:tcPr>
                  <w:tcW w:w="328" w:type="pct"/>
                  <w:vAlign w:val="center"/>
                </w:tcPr>
                <w:p w14:paraId="649EA209">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危险废物</w:t>
                  </w:r>
                </w:p>
              </w:tc>
              <w:tc>
                <w:tcPr>
                  <w:tcW w:w="442" w:type="pct"/>
                  <w:vAlign w:val="center"/>
                </w:tcPr>
                <w:p w14:paraId="4E16CA1E">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废矿物油与含矿物油废物</w:t>
                  </w:r>
                </w:p>
              </w:tc>
              <w:tc>
                <w:tcPr>
                  <w:tcW w:w="494" w:type="pct"/>
                  <w:vAlign w:val="center"/>
                </w:tcPr>
                <w:p w14:paraId="0C82624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HW08</w:t>
                  </w:r>
                </w:p>
                <w:p w14:paraId="4F2A604D">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r>
                    <w:rPr>
                      <w:rFonts w:cs="Times New Roman"/>
                      <w:snapToGrid w:val="0"/>
                      <w:kern w:val="0"/>
                      <w:sz w:val="21"/>
                      <w:szCs w:val="24"/>
                    </w:rPr>
                    <w:t>900-221-08</w:t>
                  </w:r>
                  <w:r>
                    <w:rPr>
                      <w:rFonts w:hint="eastAsia" w:cs="Times New Roman"/>
                      <w:snapToGrid w:val="0"/>
                      <w:kern w:val="0"/>
                      <w:sz w:val="21"/>
                      <w:szCs w:val="24"/>
                    </w:rPr>
                    <w:t>）</w:t>
                  </w:r>
                </w:p>
              </w:tc>
              <w:tc>
                <w:tcPr>
                  <w:tcW w:w="327" w:type="pct"/>
                  <w:vAlign w:val="center"/>
                </w:tcPr>
                <w:p w14:paraId="7191BECF">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固</w:t>
                  </w:r>
                  <w:r>
                    <w:rPr>
                      <w:rFonts w:hint="eastAsia" w:cs="Times New Roman"/>
                      <w:snapToGrid w:val="0"/>
                      <w:kern w:val="0"/>
                      <w:sz w:val="21"/>
                      <w:szCs w:val="24"/>
                    </w:rPr>
                    <w:t>液</w:t>
                  </w:r>
                  <w:r>
                    <w:rPr>
                      <w:rFonts w:cs="Times New Roman"/>
                      <w:snapToGrid w:val="0"/>
                      <w:kern w:val="0"/>
                      <w:sz w:val="21"/>
                      <w:szCs w:val="24"/>
                    </w:rPr>
                    <w:t>态</w:t>
                  </w:r>
                </w:p>
              </w:tc>
              <w:tc>
                <w:tcPr>
                  <w:tcW w:w="384" w:type="pct"/>
                  <w:vAlign w:val="center"/>
                </w:tcPr>
                <w:p w14:paraId="049742B7">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T，I</w:t>
                  </w:r>
                </w:p>
              </w:tc>
              <w:tc>
                <w:tcPr>
                  <w:tcW w:w="393" w:type="pct"/>
                  <w:vAlign w:val="center"/>
                </w:tcPr>
                <w:p w14:paraId="3D8267F7">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0.08</w:t>
                  </w:r>
                  <w:r>
                    <w:rPr>
                      <w:rFonts w:hint="eastAsia" w:cs="Times New Roman"/>
                      <w:snapToGrid w:val="0"/>
                      <w:kern w:val="0"/>
                      <w:sz w:val="21"/>
                      <w:szCs w:val="24"/>
                    </w:rPr>
                    <w:t>t/3a</w:t>
                  </w:r>
                </w:p>
              </w:tc>
              <w:tc>
                <w:tcPr>
                  <w:tcW w:w="420" w:type="pct"/>
                  <w:vAlign w:val="center"/>
                </w:tcPr>
                <w:p w14:paraId="6912016C">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不在站区</w:t>
                  </w:r>
                  <w:r>
                    <w:rPr>
                      <w:rFonts w:hint="eastAsia" w:cs="Times New Roman"/>
                      <w:snapToGrid w:val="0"/>
                      <w:kern w:val="0"/>
                      <w:sz w:val="21"/>
                      <w:szCs w:val="24"/>
                      <w:lang w:val="en-US" w:eastAsia="zh-CN"/>
                    </w:rPr>
                    <w:t>贮存</w:t>
                  </w:r>
                </w:p>
              </w:tc>
              <w:tc>
                <w:tcPr>
                  <w:tcW w:w="508" w:type="pct"/>
                  <w:vAlign w:val="center"/>
                </w:tcPr>
                <w:p w14:paraId="64FF42DB">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委托有资质单位进行处理</w:t>
                  </w:r>
                </w:p>
              </w:tc>
              <w:tc>
                <w:tcPr>
                  <w:tcW w:w="448" w:type="pct"/>
                  <w:vAlign w:val="center"/>
                </w:tcPr>
                <w:p w14:paraId="3D5E41FB">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0</w:t>
                  </w:r>
                </w:p>
              </w:tc>
              <w:tc>
                <w:tcPr>
                  <w:tcW w:w="585" w:type="pct"/>
                  <w:vMerge w:val="restart"/>
                  <w:vAlign w:val="center"/>
                </w:tcPr>
                <w:p w14:paraId="10CBA591">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《危险废物贮存污染控制标准》（</w:t>
                  </w:r>
                  <w:r>
                    <w:rPr>
                      <w:rFonts w:hint="eastAsia" w:cs="Times New Roman"/>
                      <w:snapToGrid w:val="0"/>
                      <w:kern w:val="0"/>
                      <w:sz w:val="21"/>
                      <w:szCs w:val="24"/>
                    </w:rPr>
                    <w:t>GB18597-2023</w:t>
                  </w:r>
                  <w:r>
                    <w:rPr>
                      <w:rFonts w:cs="Times New Roman"/>
                      <w:snapToGrid w:val="0"/>
                      <w:kern w:val="0"/>
                      <w:sz w:val="21"/>
                      <w:szCs w:val="24"/>
                    </w:rPr>
                    <w:t>）</w:t>
                  </w:r>
                </w:p>
              </w:tc>
            </w:tr>
            <w:tr w14:paraId="505E9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7" w:type="pct"/>
                  <w:vMerge w:val="continue"/>
                  <w:vAlign w:val="center"/>
                </w:tcPr>
                <w:p w14:paraId="1CF18793">
                  <w:pPr>
                    <w:spacing w:line="240" w:lineRule="auto"/>
                    <w:ind w:firstLine="0" w:firstLineChars="0"/>
                    <w:jc w:val="center"/>
                    <w:textAlignment w:val="auto"/>
                    <w:rPr>
                      <w:rFonts w:cs="Times New Roman"/>
                      <w:snapToGrid w:val="0"/>
                      <w:kern w:val="0"/>
                      <w:sz w:val="21"/>
                      <w:szCs w:val="24"/>
                    </w:rPr>
                  </w:pPr>
                </w:p>
              </w:tc>
              <w:tc>
                <w:tcPr>
                  <w:tcW w:w="416" w:type="pct"/>
                  <w:vAlign w:val="center"/>
                </w:tcPr>
                <w:p w14:paraId="10032155">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储油罐清洗废液</w:t>
                  </w:r>
                </w:p>
              </w:tc>
              <w:tc>
                <w:tcPr>
                  <w:tcW w:w="328" w:type="pct"/>
                  <w:vAlign w:val="center"/>
                </w:tcPr>
                <w:p w14:paraId="67113106">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危险废物</w:t>
                  </w:r>
                </w:p>
              </w:tc>
              <w:tc>
                <w:tcPr>
                  <w:tcW w:w="442" w:type="pct"/>
                  <w:vAlign w:val="center"/>
                </w:tcPr>
                <w:p w14:paraId="33B66624">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废矿物油与含矿物</w:t>
                  </w:r>
                </w:p>
                <w:p w14:paraId="5D70E258">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油废物</w:t>
                  </w:r>
                </w:p>
              </w:tc>
              <w:tc>
                <w:tcPr>
                  <w:tcW w:w="494" w:type="pct"/>
                  <w:vAlign w:val="center"/>
                </w:tcPr>
                <w:p w14:paraId="2E0EFE7C">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HW08</w:t>
                  </w:r>
                </w:p>
                <w:p w14:paraId="3EC12759">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r>
                    <w:rPr>
                      <w:rFonts w:cs="Times New Roman"/>
                      <w:snapToGrid w:val="0"/>
                      <w:kern w:val="0"/>
                      <w:sz w:val="21"/>
                      <w:szCs w:val="24"/>
                    </w:rPr>
                    <w:t>900-</w:t>
                  </w:r>
                  <w:r>
                    <w:rPr>
                      <w:rFonts w:hint="eastAsia" w:cs="Times New Roman"/>
                      <w:snapToGrid w:val="0"/>
                      <w:kern w:val="0"/>
                      <w:sz w:val="21"/>
                      <w:szCs w:val="24"/>
                      <w:lang w:val="en-US" w:eastAsia="zh-CN"/>
                    </w:rPr>
                    <w:t>007</w:t>
                  </w:r>
                  <w:r>
                    <w:rPr>
                      <w:rFonts w:cs="Times New Roman"/>
                      <w:snapToGrid w:val="0"/>
                      <w:kern w:val="0"/>
                      <w:sz w:val="21"/>
                      <w:szCs w:val="24"/>
                    </w:rPr>
                    <w:t>-0</w:t>
                  </w:r>
                  <w:r>
                    <w:rPr>
                      <w:rFonts w:hint="eastAsia" w:cs="Times New Roman"/>
                      <w:snapToGrid w:val="0"/>
                      <w:kern w:val="0"/>
                      <w:sz w:val="21"/>
                      <w:szCs w:val="24"/>
                      <w:lang w:val="en-US" w:eastAsia="zh-CN"/>
                    </w:rPr>
                    <w:t>9</w:t>
                  </w:r>
                  <w:r>
                    <w:rPr>
                      <w:rFonts w:hint="eastAsia" w:cs="Times New Roman"/>
                      <w:snapToGrid w:val="0"/>
                      <w:kern w:val="0"/>
                      <w:sz w:val="21"/>
                      <w:szCs w:val="24"/>
                    </w:rPr>
                    <w:t>）</w:t>
                  </w:r>
                </w:p>
              </w:tc>
              <w:tc>
                <w:tcPr>
                  <w:tcW w:w="327" w:type="pct"/>
                  <w:vAlign w:val="center"/>
                </w:tcPr>
                <w:p w14:paraId="60748D48">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固</w:t>
                  </w:r>
                  <w:r>
                    <w:rPr>
                      <w:rFonts w:hint="eastAsia" w:cs="Times New Roman"/>
                      <w:snapToGrid w:val="0"/>
                      <w:kern w:val="0"/>
                      <w:sz w:val="21"/>
                      <w:szCs w:val="24"/>
                    </w:rPr>
                    <w:t>液</w:t>
                  </w:r>
                  <w:r>
                    <w:rPr>
                      <w:rFonts w:cs="Times New Roman"/>
                      <w:snapToGrid w:val="0"/>
                      <w:kern w:val="0"/>
                      <w:sz w:val="21"/>
                      <w:szCs w:val="24"/>
                    </w:rPr>
                    <w:t>态</w:t>
                  </w:r>
                </w:p>
              </w:tc>
              <w:tc>
                <w:tcPr>
                  <w:tcW w:w="384" w:type="pct"/>
                  <w:vAlign w:val="center"/>
                </w:tcPr>
                <w:p w14:paraId="1383173E">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T，I</w:t>
                  </w:r>
                </w:p>
              </w:tc>
              <w:tc>
                <w:tcPr>
                  <w:tcW w:w="393" w:type="pct"/>
                  <w:vAlign w:val="center"/>
                </w:tcPr>
                <w:p w14:paraId="085FFF3C">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0</w:t>
                  </w:r>
                  <w:r>
                    <w:rPr>
                      <w:rFonts w:cs="Times New Roman"/>
                      <w:snapToGrid w:val="0"/>
                      <w:kern w:val="0"/>
                      <w:sz w:val="21"/>
                      <w:szCs w:val="24"/>
                    </w:rPr>
                    <w:t>.8</w:t>
                  </w:r>
                  <w:r>
                    <w:rPr>
                      <w:rFonts w:hint="eastAsia" w:cs="Times New Roman"/>
                      <w:snapToGrid w:val="0"/>
                      <w:kern w:val="0"/>
                      <w:sz w:val="21"/>
                      <w:szCs w:val="24"/>
                    </w:rPr>
                    <w:t>t/3a</w:t>
                  </w:r>
                </w:p>
              </w:tc>
              <w:tc>
                <w:tcPr>
                  <w:tcW w:w="420" w:type="pct"/>
                  <w:vAlign w:val="center"/>
                </w:tcPr>
                <w:p w14:paraId="5D9938F2">
                  <w:pPr>
                    <w:spacing w:line="240" w:lineRule="auto"/>
                    <w:ind w:firstLine="0" w:firstLineChars="0"/>
                    <w:jc w:val="center"/>
                    <w:textAlignment w:val="auto"/>
                    <w:rPr>
                      <w:rFonts w:hint="eastAsia" w:eastAsia="宋体" w:cs="Times New Roman"/>
                      <w:snapToGrid w:val="0"/>
                      <w:kern w:val="0"/>
                      <w:sz w:val="21"/>
                      <w:szCs w:val="24"/>
                      <w:lang w:eastAsia="zh-CN"/>
                    </w:rPr>
                  </w:pPr>
                  <w:r>
                    <w:rPr>
                      <w:rFonts w:cs="Times New Roman"/>
                      <w:snapToGrid w:val="0"/>
                      <w:kern w:val="0"/>
                      <w:sz w:val="21"/>
                      <w:szCs w:val="24"/>
                    </w:rPr>
                    <w:t>不在站区</w:t>
                  </w:r>
                  <w:r>
                    <w:rPr>
                      <w:rFonts w:hint="eastAsia" w:cs="Times New Roman"/>
                      <w:snapToGrid w:val="0"/>
                      <w:kern w:val="0"/>
                      <w:sz w:val="21"/>
                      <w:szCs w:val="24"/>
                      <w:lang w:val="en-US" w:eastAsia="zh-CN"/>
                    </w:rPr>
                    <w:t>贮存</w:t>
                  </w:r>
                </w:p>
              </w:tc>
              <w:tc>
                <w:tcPr>
                  <w:tcW w:w="508" w:type="pct"/>
                  <w:vAlign w:val="center"/>
                </w:tcPr>
                <w:p w14:paraId="7F4CEEAE">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委托有资质单位进行处理</w:t>
                  </w:r>
                </w:p>
              </w:tc>
              <w:tc>
                <w:tcPr>
                  <w:tcW w:w="448" w:type="pct"/>
                  <w:vAlign w:val="center"/>
                </w:tcPr>
                <w:p w14:paraId="735FDEF4">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0</w:t>
                  </w:r>
                </w:p>
              </w:tc>
              <w:tc>
                <w:tcPr>
                  <w:tcW w:w="585" w:type="pct"/>
                  <w:vMerge w:val="continue"/>
                  <w:vAlign w:val="center"/>
                </w:tcPr>
                <w:p w14:paraId="5B3BB162">
                  <w:pPr>
                    <w:spacing w:line="240" w:lineRule="auto"/>
                    <w:ind w:firstLine="0" w:firstLineChars="0"/>
                    <w:jc w:val="center"/>
                    <w:textAlignment w:val="auto"/>
                    <w:rPr>
                      <w:rFonts w:cs="Times New Roman"/>
                      <w:snapToGrid w:val="0"/>
                      <w:kern w:val="0"/>
                      <w:sz w:val="21"/>
                      <w:szCs w:val="24"/>
                    </w:rPr>
                  </w:pPr>
                </w:p>
              </w:tc>
            </w:tr>
            <w:tr w14:paraId="62A5D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7" w:type="pct"/>
                  <w:vMerge w:val="continue"/>
                  <w:vAlign w:val="center"/>
                </w:tcPr>
                <w:p w14:paraId="182C02C0">
                  <w:pPr>
                    <w:spacing w:line="240" w:lineRule="auto"/>
                    <w:ind w:firstLine="0" w:firstLineChars="0"/>
                    <w:jc w:val="center"/>
                    <w:textAlignment w:val="auto"/>
                    <w:rPr>
                      <w:rFonts w:cs="Times New Roman"/>
                      <w:snapToGrid w:val="0"/>
                      <w:kern w:val="0"/>
                      <w:sz w:val="21"/>
                      <w:szCs w:val="24"/>
                    </w:rPr>
                  </w:pPr>
                </w:p>
              </w:tc>
              <w:tc>
                <w:tcPr>
                  <w:tcW w:w="416" w:type="pct"/>
                  <w:vAlign w:val="center"/>
                </w:tcPr>
                <w:p w14:paraId="313E4F2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废润滑油</w:t>
                  </w:r>
                </w:p>
              </w:tc>
              <w:tc>
                <w:tcPr>
                  <w:tcW w:w="328" w:type="pct"/>
                  <w:vAlign w:val="center"/>
                </w:tcPr>
                <w:p w14:paraId="445383D8">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危险废物</w:t>
                  </w:r>
                </w:p>
              </w:tc>
              <w:tc>
                <w:tcPr>
                  <w:tcW w:w="442" w:type="pct"/>
                  <w:vAlign w:val="center"/>
                </w:tcPr>
                <w:p w14:paraId="30A570F0">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废矿物油与含矿物油废物</w:t>
                  </w:r>
                </w:p>
              </w:tc>
              <w:tc>
                <w:tcPr>
                  <w:tcW w:w="494" w:type="pct"/>
                  <w:vAlign w:val="center"/>
                </w:tcPr>
                <w:p w14:paraId="5B083A1E">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HW08</w:t>
                  </w:r>
                </w:p>
                <w:p w14:paraId="1321B430">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r>
                    <w:rPr>
                      <w:rFonts w:cs="Times New Roman"/>
                      <w:snapToGrid w:val="0"/>
                      <w:kern w:val="0"/>
                      <w:sz w:val="21"/>
                      <w:szCs w:val="24"/>
                    </w:rPr>
                    <w:t>900-214-08</w:t>
                  </w:r>
                  <w:r>
                    <w:rPr>
                      <w:rFonts w:hint="eastAsia" w:cs="Times New Roman"/>
                      <w:snapToGrid w:val="0"/>
                      <w:kern w:val="0"/>
                      <w:sz w:val="21"/>
                      <w:szCs w:val="24"/>
                    </w:rPr>
                    <w:t>）</w:t>
                  </w:r>
                </w:p>
              </w:tc>
              <w:tc>
                <w:tcPr>
                  <w:tcW w:w="327" w:type="pct"/>
                  <w:vAlign w:val="center"/>
                </w:tcPr>
                <w:p w14:paraId="1580081B">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液态</w:t>
                  </w:r>
                </w:p>
              </w:tc>
              <w:tc>
                <w:tcPr>
                  <w:tcW w:w="384" w:type="pct"/>
                  <w:vAlign w:val="center"/>
                </w:tcPr>
                <w:p w14:paraId="13587214">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T，I</w:t>
                  </w:r>
                </w:p>
              </w:tc>
              <w:tc>
                <w:tcPr>
                  <w:tcW w:w="393" w:type="pct"/>
                  <w:vAlign w:val="center"/>
                </w:tcPr>
                <w:p w14:paraId="325B17BC">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0.</w:t>
                  </w:r>
                  <w:r>
                    <w:rPr>
                      <w:rFonts w:hint="eastAsia" w:cs="Times New Roman"/>
                      <w:snapToGrid w:val="0"/>
                      <w:kern w:val="0"/>
                      <w:sz w:val="21"/>
                      <w:szCs w:val="24"/>
                    </w:rPr>
                    <w:t>1</w:t>
                  </w:r>
                </w:p>
              </w:tc>
              <w:tc>
                <w:tcPr>
                  <w:tcW w:w="420" w:type="pct"/>
                  <w:vAlign w:val="center"/>
                </w:tcPr>
                <w:p w14:paraId="35C28887">
                  <w:pPr>
                    <w:spacing w:line="240" w:lineRule="auto"/>
                    <w:ind w:firstLine="0" w:firstLineChars="0"/>
                    <w:jc w:val="center"/>
                    <w:textAlignment w:val="auto"/>
                    <w:rPr>
                      <w:rFonts w:hint="eastAsia" w:eastAsia="宋体" w:cs="Times New Roman"/>
                      <w:snapToGrid w:val="0"/>
                      <w:kern w:val="0"/>
                      <w:sz w:val="21"/>
                      <w:szCs w:val="24"/>
                      <w:lang w:eastAsia="zh-CN"/>
                    </w:rPr>
                  </w:pPr>
                  <w:r>
                    <w:rPr>
                      <w:rFonts w:hint="eastAsia" w:cs="Times New Roman"/>
                      <w:snapToGrid w:val="0"/>
                      <w:kern w:val="0"/>
                      <w:sz w:val="21"/>
                      <w:szCs w:val="24"/>
                      <w:lang w:val="en-US" w:eastAsia="zh-CN"/>
                    </w:rPr>
                    <w:t>贮存</w:t>
                  </w:r>
                  <w:r>
                    <w:rPr>
                      <w:rFonts w:cs="Times New Roman"/>
                      <w:snapToGrid w:val="0"/>
                      <w:kern w:val="0"/>
                      <w:sz w:val="21"/>
                      <w:szCs w:val="24"/>
                    </w:rPr>
                    <w:t>于</w:t>
                  </w:r>
                  <w:r>
                    <w:rPr>
                      <w:rFonts w:hint="eastAsia" w:cs="Times New Roman"/>
                      <w:snapToGrid w:val="0"/>
                      <w:kern w:val="0"/>
                      <w:sz w:val="21"/>
                      <w:szCs w:val="24"/>
                      <w:lang w:eastAsia="zh-CN"/>
                    </w:rPr>
                    <w:t>危险废物贮存点</w:t>
                  </w:r>
                </w:p>
              </w:tc>
              <w:tc>
                <w:tcPr>
                  <w:tcW w:w="508" w:type="pct"/>
                  <w:vAlign w:val="center"/>
                </w:tcPr>
                <w:p w14:paraId="513D5FC9">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委托有资质单位进行处理</w:t>
                  </w:r>
                </w:p>
              </w:tc>
              <w:tc>
                <w:tcPr>
                  <w:tcW w:w="448" w:type="pct"/>
                  <w:vAlign w:val="center"/>
                </w:tcPr>
                <w:p w14:paraId="0C9ECD7F">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0.1</w:t>
                  </w:r>
                </w:p>
              </w:tc>
              <w:tc>
                <w:tcPr>
                  <w:tcW w:w="585" w:type="pct"/>
                  <w:vMerge w:val="continue"/>
                  <w:vAlign w:val="center"/>
                </w:tcPr>
                <w:p w14:paraId="4B71641E">
                  <w:pPr>
                    <w:spacing w:line="240" w:lineRule="auto"/>
                    <w:ind w:firstLine="0" w:firstLineChars="0"/>
                    <w:jc w:val="center"/>
                    <w:textAlignment w:val="auto"/>
                    <w:rPr>
                      <w:rFonts w:cs="Times New Roman"/>
                      <w:snapToGrid w:val="0"/>
                      <w:kern w:val="0"/>
                      <w:sz w:val="21"/>
                      <w:szCs w:val="24"/>
                    </w:rPr>
                  </w:pPr>
                </w:p>
              </w:tc>
            </w:tr>
            <w:tr w14:paraId="624E6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47" w:type="pct"/>
                  <w:vMerge w:val="continue"/>
                  <w:vAlign w:val="center"/>
                </w:tcPr>
                <w:p w14:paraId="1C780822">
                  <w:pPr>
                    <w:spacing w:line="240" w:lineRule="auto"/>
                    <w:ind w:firstLine="0" w:firstLineChars="0"/>
                    <w:jc w:val="center"/>
                    <w:textAlignment w:val="auto"/>
                    <w:rPr>
                      <w:rFonts w:cs="Times New Roman"/>
                      <w:snapToGrid w:val="0"/>
                      <w:kern w:val="0"/>
                      <w:sz w:val="21"/>
                      <w:szCs w:val="24"/>
                    </w:rPr>
                  </w:pPr>
                </w:p>
              </w:tc>
              <w:tc>
                <w:tcPr>
                  <w:tcW w:w="416" w:type="pct"/>
                  <w:vAlign w:val="center"/>
                </w:tcPr>
                <w:p w14:paraId="7713F728">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lang w:eastAsia="zh-CN"/>
                    </w:rPr>
                    <w:t>废弃的沾油手套、抹布</w:t>
                  </w:r>
                </w:p>
              </w:tc>
              <w:tc>
                <w:tcPr>
                  <w:tcW w:w="328" w:type="pct"/>
                  <w:vAlign w:val="center"/>
                </w:tcPr>
                <w:p w14:paraId="1DD167D7">
                  <w:pPr>
                    <w:spacing w:line="240" w:lineRule="auto"/>
                    <w:ind w:firstLine="0" w:firstLineChars="0"/>
                    <w:jc w:val="center"/>
                    <w:textAlignment w:val="auto"/>
                    <w:rPr>
                      <w:rFonts w:hint="eastAsia" w:eastAsia="宋体" w:cs="Times New Roman"/>
                      <w:snapToGrid w:val="0"/>
                      <w:kern w:val="0"/>
                      <w:sz w:val="21"/>
                      <w:szCs w:val="24"/>
                      <w:lang w:eastAsia="zh-CN"/>
                    </w:rPr>
                  </w:pPr>
                  <w:r>
                    <w:rPr>
                      <w:rFonts w:hint="eastAsia" w:cs="Times New Roman"/>
                      <w:snapToGrid w:val="0"/>
                      <w:kern w:val="0"/>
                      <w:sz w:val="21"/>
                      <w:szCs w:val="24"/>
                      <w:lang w:val="en-US" w:eastAsia="zh-CN" w:bidi="ar-SA"/>
                    </w:rPr>
                    <w:t>危</w:t>
                  </w:r>
                  <w:r>
                    <w:rPr>
                      <w:rFonts w:hint="eastAsia" w:ascii="Times New Roman" w:hAnsi="Times New Roman" w:eastAsia="宋体" w:cs="Times New Roman"/>
                      <w:snapToGrid w:val="0"/>
                      <w:kern w:val="0"/>
                      <w:sz w:val="21"/>
                      <w:szCs w:val="24"/>
                      <w:lang w:val="en-US" w:eastAsia="zh-CN" w:bidi="ar-SA"/>
                    </w:rPr>
                    <w:t>险废物</w:t>
                  </w:r>
                  <w:r>
                    <w:rPr>
                      <w:rFonts w:hint="eastAsia" w:cs="Times New Roman"/>
                      <w:snapToGrid w:val="0"/>
                      <w:kern w:val="0"/>
                      <w:sz w:val="21"/>
                      <w:szCs w:val="24"/>
                      <w:lang w:val="en-US" w:eastAsia="zh-CN" w:bidi="ar-SA"/>
                    </w:rPr>
                    <w:t>（已豁免）</w:t>
                  </w:r>
                </w:p>
              </w:tc>
              <w:tc>
                <w:tcPr>
                  <w:tcW w:w="442" w:type="pct"/>
                  <w:vAlign w:val="center"/>
                </w:tcPr>
                <w:p w14:paraId="612C1E32">
                  <w:pPr>
                    <w:pStyle w:val="32"/>
                    <w:rPr>
                      <w:rFonts w:hint="eastAsia" w:eastAsia="宋体" w:cs="Times New Roman"/>
                      <w:snapToGrid w:val="0"/>
                      <w:kern w:val="0"/>
                      <w:sz w:val="21"/>
                      <w:szCs w:val="24"/>
                      <w:lang w:eastAsia="zh-CN"/>
                    </w:rPr>
                  </w:pPr>
                  <w:r>
                    <w:rPr>
                      <w:rFonts w:cs="Times New Roman"/>
                      <w:snapToGrid w:val="0"/>
                      <w:kern w:val="0"/>
                      <w:szCs w:val="24"/>
                    </w:rPr>
                    <w:t>废矿物油与含矿物</w:t>
                  </w:r>
                  <w:r>
                    <w:rPr>
                      <w:rFonts w:cs="Times New Roman"/>
                      <w:snapToGrid w:val="0"/>
                      <w:kern w:val="0"/>
                      <w:sz w:val="21"/>
                      <w:szCs w:val="24"/>
                    </w:rPr>
                    <w:t>油废物</w:t>
                  </w:r>
                </w:p>
              </w:tc>
              <w:tc>
                <w:tcPr>
                  <w:tcW w:w="494" w:type="pct"/>
                  <w:vAlign w:val="center"/>
                </w:tcPr>
                <w:p w14:paraId="40E0C369">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w:t>
                  </w:r>
                </w:p>
              </w:tc>
              <w:tc>
                <w:tcPr>
                  <w:tcW w:w="327" w:type="pct"/>
                  <w:vAlign w:val="center"/>
                </w:tcPr>
                <w:p w14:paraId="1A9B2350">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固态</w:t>
                  </w:r>
                </w:p>
              </w:tc>
              <w:tc>
                <w:tcPr>
                  <w:tcW w:w="384" w:type="pct"/>
                  <w:vAlign w:val="center"/>
                </w:tcPr>
                <w:p w14:paraId="175F551F">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无</w:t>
                  </w:r>
                </w:p>
              </w:tc>
              <w:tc>
                <w:tcPr>
                  <w:tcW w:w="393" w:type="pct"/>
                  <w:vAlign w:val="center"/>
                </w:tcPr>
                <w:p w14:paraId="00F53B36">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0.05</w:t>
                  </w:r>
                </w:p>
              </w:tc>
              <w:tc>
                <w:tcPr>
                  <w:tcW w:w="420" w:type="pct"/>
                  <w:vAlign w:val="center"/>
                </w:tcPr>
                <w:p w14:paraId="0E8C878C">
                  <w:pPr>
                    <w:spacing w:line="240" w:lineRule="auto"/>
                    <w:ind w:firstLine="0" w:firstLineChars="0"/>
                    <w:jc w:val="center"/>
                    <w:textAlignment w:val="auto"/>
                    <w:rPr>
                      <w:rFonts w:hint="eastAsia" w:eastAsia="宋体" w:cs="Times New Roman"/>
                      <w:snapToGrid w:val="0"/>
                      <w:kern w:val="0"/>
                      <w:sz w:val="21"/>
                      <w:szCs w:val="24"/>
                      <w:lang w:eastAsia="zh-CN"/>
                    </w:rPr>
                  </w:pPr>
                  <w:r>
                    <w:rPr>
                      <w:rFonts w:hint="eastAsia" w:cs="Times New Roman"/>
                      <w:snapToGrid w:val="0"/>
                      <w:kern w:val="0"/>
                      <w:sz w:val="21"/>
                      <w:szCs w:val="24"/>
                      <w:lang w:val="en-US" w:eastAsia="zh-CN"/>
                    </w:rPr>
                    <w:t>贮存</w:t>
                  </w:r>
                  <w:r>
                    <w:rPr>
                      <w:rFonts w:cs="Times New Roman"/>
                      <w:snapToGrid w:val="0"/>
                      <w:kern w:val="0"/>
                      <w:sz w:val="21"/>
                      <w:szCs w:val="24"/>
                    </w:rPr>
                    <w:t>于</w:t>
                  </w:r>
                  <w:r>
                    <w:rPr>
                      <w:rFonts w:hint="eastAsia" w:cs="Times New Roman"/>
                      <w:snapToGrid w:val="0"/>
                      <w:kern w:val="0"/>
                      <w:sz w:val="21"/>
                      <w:szCs w:val="24"/>
                      <w:lang w:eastAsia="zh-CN"/>
                    </w:rPr>
                    <w:t>危险废物贮存点</w:t>
                  </w:r>
                </w:p>
              </w:tc>
              <w:tc>
                <w:tcPr>
                  <w:tcW w:w="508" w:type="pct"/>
                  <w:vAlign w:val="center"/>
                </w:tcPr>
                <w:p w14:paraId="5392D42E">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委托有资质单位进行处理</w:t>
                  </w:r>
                </w:p>
              </w:tc>
              <w:tc>
                <w:tcPr>
                  <w:tcW w:w="448" w:type="pct"/>
                  <w:vAlign w:val="center"/>
                </w:tcPr>
                <w:p w14:paraId="0B82310E">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0.05</w:t>
                  </w:r>
                </w:p>
              </w:tc>
              <w:tc>
                <w:tcPr>
                  <w:tcW w:w="585" w:type="pct"/>
                  <w:vMerge w:val="continue"/>
                  <w:vAlign w:val="center"/>
                </w:tcPr>
                <w:p w14:paraId="1FD98DAD">
                  <w:pPr>
                    <w:spacing w:line="240" w:lineRule="auto"/>
                    <w:ind w:firstLine="0" w:firstLineChars="0"/>
                    <w:jc w:val="center"/>
                    <w:textAlignment w:val="auto"/>
                    <w:rPr>
                      <w:rFonts w:cs="Times New Roman"/>
                      <w:snapToGrid w:val="0"/>
                      <w:kern w:val="0"/>
                      <w:sz w:val="21"/>
                      <w:szCs w:val="24"/>
                    </w:rPr>
                  </w:pPr>
                </w:p>
              </w:tc>
            </w:tr>
            <w:tr w14:paraId="2E44B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7" w:type="pct"/>
                  <w:vMerge w:val="continue"/>
                  <w:vAlign w:val="center"/>
                </w:tcPr>
                <w:p w14:paraId="4DD16B05">
                  <w:pPr>
                    <w:spacing w:line="240" w:lineRule="auto"/>
                    <w:ind w:firstLine="0" w:firstLineChars="0"/>
                    <w:jc w:val="center"/>
                    <w:textAlignment w:val="auto"/>
                    <w:rPr>
                      <w:rFonts w:cs="Times New Roman"/>
                      <w:snapToGrid w:val="0"/>
                      <w:kern w:val="0"/>
                      <w:sz w:val="21"/>
                      <w:szCs w:val="24"/>
                    </w:rPr>
                  </w:pPr>
                </w:p>
              </w:tc>
              <w:tc>
                <w:tcPr>
                  <w:tcW w:w="416" w:type="pct"/>
                  <w:vAlign w:val="center"/>
                </w:tcPr>
                <w:p w14:paraId="55C5AF23">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生活垃圾</w:t>
                  </w:r>
                </w:p>
              </w:tc>
              <w:tc>
                <w:tcPr>
                  <w:tcW w:w="328" w:type="pct"/>
                  <w:vAlign w:val="center"/>
                </w:tcPr>
                <w:p w14:paraId="49002818">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w:t>
                  </w:r>
                </w:p>
              </w:tc>
              <w:tc>
                <w:tcPr>
                  <w:tcW w:w="442" w:type="pct"/>
                  <w:vAlign w:val="center"/>
                </w:tcPr>
                <w:p w14:paraId="4E2B50E8">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无</w:t>
                  </w:r>
                </w:p>
              </w:tc>
              <w:tc>
                <w:tcPr>
                  <w:tcW w:w="494" w:type="pct"/>
                  <w:vAlign w:val="center"/>
                </w:tcPr>
                <w:p w14:paraId="19621131">
                  <w:pPr>
                    <w:spacing w:line="240" w:lineRule="auto"/>
                    <w:ind w:firstLine="0" w:firstLineChars="0"/>
                    <w:jc w:val="center"/>
                    <w:textAlignment w:val="auto"/>
                    <w:rPr>
                      <w:rFonts w:cs="Times New Roman"/>
                      <w:snapToGrid w:val="0"/>
                      <w:kern w:val="0"/>
                      <w:sz w:val="21"/>
                      <w:szCs w:val="24"/>
                    </w:rPr>
                  </w:pPr>
                  <w:r>
                    <w:rPr>
                      <w:rFonts w:cs="Times New Roman"/>
                      <w:color w:val="000000"/>
                      <w:sz w:val="21"/>
                      <w:szCs w:val="21"/>
                    </w:rPr>
                    <w:t>900-099-S64</w:t>
                  </w:r>
                </w:p>
              </w:tc>
              <w:tc>
                <w:tcPr>
                  <w:tcW w:w="327" w:type="pct"/>
                  <w:vAlign w:val="center"/>
                </w:tcPr>
                <w:p w14:paraId="3B76A92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固态</w:t>
                  </w:r>
                </w:p>
              </w:tc>
              <w:tc>
                <w:tcPr>
                  <w:tcW w:w="384" w:type="pct"/>
                  <w:vAlign w:val="center"/>
                </w:tcPr>
                <w:p w14:paraId="204C10D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无</w:t>
                  </w:r>
                </w:p>
              </w:tc>
              <w:tc>
                <w:tcPr>
                  <w:tcW w:w="393" w:type="pct"/>
                  <w:vAlign w:val="center"/>
                </w:tcPr>
                <w:p w14:paraId="6C127404">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2.19</w:t>
                  </w:r>
                </w:p>
              </w:tc>
              <w:tc>
                <w:tcPr>
                  <w:tcW w:w="420" w:type="pct"/>
                  <w:vAlign w:val="center"/>
                </w:tcPr>
                <w:p w14:paraId="007BCE11">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集中收集</w:t>
                  </w:r>
                </w:p>
              </w:tc>
              <w:tc>
                <w:tcPr>
                  <w:tcW w:w="508" w:type="pct"/>
                  <w:vAlign w:val="center"/>
                </w:tcPr>
                <w:p w14:paraId="3D356216">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交由环卫部门统一清运</w:t>
                  </w:r>
                </w:p>
              </w:tc>
              <w:tc>
                <w:tcPr>
                  <w:tcW w:w="448" w:type="pct"/>
                  <w:vAlign w:val="center"/>
                </w:tcPr>
                <w:p w14:paraId="0E964568">
                  <w:pPr>
                    <w:spacing w:line="240" w:lineRule="auto"/>
                    <w:ind w:firstLine="0" w:firstLineChars="0"/>
                    <w:jc w:val="center"/>
                    <w:textAlignment w:val="auto"/>
                    <w:rPr>
                      <w:rFonts w:hint="default" w:eastAsia="宋体" w:cs="Times New Roman"/>
                      <w:snapToGrid w:val="0"/>
                      <w:kern w:val="0"/>
                      <w:sz w:val="21"/>
                      <w:szCs w:val="24"/>
                      <w:lang w:val="en-US" w:eastAsia="zh-CN"/>
                    </w:rPr>
                  </w:pPr>
                  <w:r>
                    <w:rPr>
                      <w:rFonts w:hint="eastAsia" w:cs="Times New Roman"/>
                      <w:snapToGrid w:val="0"/>
                      <w:kern w:val="0"/>
                      <w:sz w:val="21"/>
                      <w:szCs w:val="24"/>
                      <w:lang w:val="en-US" w:eastAsia="zh-CN"/>
                    </w:rPr>
                    <w:t>2.19</w:t>
                  </w:r>
                </w:p>
              </w:tc>
              <w:tc>
                <w:tcPr>
                  <w:tcW w:w="585" w:type="pct"/>
                  <w:vAlign w:val="center"/>
                </w:tcPr>
                <w:p w14:paraId="2C8C951A">
                  <w:pPr>
                    <w:spacing w:line="240" w:lineRule="auto"/>
                    <w:ind w:firstLine="0" w:firstLineChars="0"/>
                    <w:jc w:val="center"/>
                    <w:textAlignment w:val="auto"/>
                    <w:rPr>
                      <w:rFonts w:cs="Times New Roman"/>
                      <w:snapToGrid w:val="0"/>
                      <w:kern w:val="0"/>
                      <w:sz w:val="21"/>
                      <w:szCs w:val="24"/>
                    </w:rPr>
                  </w:pPr>
                  <w:r>
                    <w:rPr>
                      <w:rFonts w:hint="eastAsia" w:cs="Times New Roman"/>
                      <w:sz w:val="21"/>
                      <w:szCs w:val="21"/>
                    </w:rPr>
                    <w:t>《生活垃圾填埋场污染控制标准》（GB16889-20</w:t>
                  </w:r>
                  <w:r>
                    <w:rPr>
                      <w:rFonts w:hint="eastAsia" w:cs="Times New Roman"/>
                      <w:sz w:val="21"/>
                      <w:szCs w:val="21"/>
                      <w:lang w:val="en-US" w:eastAsia="zh-CN"/>
                    </w:rPr>
                    <w:t>24</w:t>
                  </w:r>
                  <w:r>
                    <w:rPr>
                      <w:rFonts w:hint="eastAsia" w:cs="Times New Roman"/>
                      <w:sz w:val="21"/>
                      <w:szCs w:val="21"/>
                    </w:rPr>
                    <w:t>）</w:t>
                  </w:r>
                </w:p>
              </w:tc>
            </w:tr>
          </w:tbl>
          <w:p w14:paraId="1E854034">
            <w:pPr>
              <w:ind w:firstLine="0" w:firstLineChars="0"/>
              <w:rPr>
                <w:b/>
                <w:bCs/>
                <w:color w:val="000000"/>
              </w:rPr>
            </w:pPr>
            <w:r>
              <w:rPr>
                <w:rFonts w:hint="eastAsia"/>
                <w:b/>
                <w:bCs/>
                <w:color w:val="000000"/>
              </w:rPr>
              <w:t>4.2.4.1</w:t>
            </w:r>
            <w:r>
              <w:rPr>
                <w:b/>
                <w:bCs/>
                <w:color w:val="000000"/>
              </w:rPr>
              <w:t>危险废物管理要求</w:t>
            </w:r>
          </w:p>
          <w:p w14:paraId="30835C8D">
            <w:pPr>
              <w:ind w:firstLine="480"/>
            </w:pPr>
            <w:r>
              <w:rPr>
                <w:rFonts w:hint="eastAsia"/>
                <w:lang w:val="en-US" w:eastAsia="zh-CN"/>
              </w:rPr>
              <w:t>危险废物贮存点</w:t>
            </w:r>
            <w:r>
              <w:t>严格按照《危险废物贮存污染控制标准》（GB18</w:t>
            </w:r>
            <w:r>
              <w:rPr>
                <w:rFonts w:hint="eastAsia"/>
                <w:lang w:val="en-US" w:eastAsia="zh-CN"/>
              </w:rPr>
              <w:t>597</w:t>
            </w:r>
            <w:r>
              <w:t>-20</w:t>
            </w:r>
            <w:r>
              <w:rPr>
                <w:rFonts w:hint="eastAsia"/>
              </w:rPr>
              <w:t>23</w:t>
            </w:r>
            <w:r>
              <w:t>）中有关规定进行</w:t>
            </w:r>
            <w:r>
              <w:rPr>
                <w:rFonts w:hint="eastAsia"/>
                <w:lang w:val="en-US" w:eastAsia="zh-CN"/>
              </w:rPr>
              <w:t>建设</w:t>
            </w:r>
            <w:r>
              <w:t>。</w:t>
            </w:r>
          </w:p>
          <w:p w14:paraId="47C1AC0F">
            <w:pPr>
              <w:ind w:firstLine="480"/>
              <w:rPr>
                <w:rFonts w:hint="default" w:ascii="Times New Roman" w:hAnsi="Times New Roman" w:eastAsia="宋体" w:cs="Times New Roman"/>
                <w:lang w:val="en-US" w:eastAsia="zh-CN"/>
              </w:rPr>
            </w:pPr>
            <w:r>
              <w:rPr>
                <w:rFonts w:hint="eastAsia" w:ascii="Times New Roman" w:hAnsi="Times New Roman"/>
                <w:szCs w:val="21"/>
              </w:rPr>
              <w:t>废弃的</w:t>
            </w:r>
            <w:r>
              <w:rPr>
                <w:rFonts w:hint="eastAsia" w:ascii="Times New Roman" w:hAnsi="Times New Roman"/>
                <w:szCs w:val="21"/>
                <w:lang w:eastAsia="zh-CN"/>
              </w:rPr>
              <w:t>沾油手套</w:t>
            </w:r>
            <w:r>
              <w:rPr>
                <w:rFonts w:hint="eastAsia" w:ascii="Times New Roman" w:hAnsi="Times New Roman"/>
                <w:szCs w:val="21"/>
              </w:rPr>
              <w:t>、抹布</w:t>
            </w:r>
            <w:r>
              <w:rPr>
                <w:rFonts w:hint="eastAsia"/>
                <w:lang w:val="en-US" w:eastAsia="zh-CN"/>
              </w:rPr>
              <w:t>已豁免，但仍然按照危险废物管理</w:t>
            </w:r>
            <w:r>
              <w:rPr>
                <w:rFonts w:hint="eastAsia"/>
                <w:lang w:eastAsia="zh-CN"/>
              </w:rPr>
              <w:t>、</w:t>
            </w:r>
            <w:r>
              <w:rPr>
                <w:rFonts w:cs="Times New Roman"/>
                <w:snapToGrid w:val="0"/>
                <w:kern w:val="0"/>
                <w:szCs w:val="24"/>
              </w:rPr>
              <w:t>废润滑油集中收集后</w:t>
            </w:r>
            <w:r>
              <w:rPr>
                <w:rFonts w:hint="eastAsia" w:cs="Times New Roman"/>
                <w:snapToGrid w:val="0"/>
                <w:kern w:val="0"/>
                <w:szCs w:val="24"/>
                <w:lang w:val="en-US" w:eastAsia="zh-CN"/>
              </w:rPr>
              <w:t>贮存</w:t>
            </w:r>
            <w:r>
              <w:rPr>
                <w:rFonts w:cs="Times New Roman"/>
                <w:snapToGrid w:val="0"/>
                <w:kern w:val="0"/>
                <w:szCs w:val="24"/>
              </w:rPr>
              <w:t>于</w:t>
            </w:r>
            <w:r>
              <w:rPr>
                <w:rFonts w:hint="eastAsia"/>
                <w:lang w:val="en-US" w:eastAsia="zh-CN"/>
              </w:rPr>
              <w:t>危险废物贮存点，</w:t>
            </w:r>
            <w:r>
              <w:rPr>
                <w:rFonts w:hint="eastAsia"/>
              </w:rPr>
              <w:t>并</w:t>
            </w:r>
            <w:r>
              <w:t>委托有资质单位</w:t>
            </w:r>
            <w:r>
              <w:rPr>
                <w:rFonts w:hint="eastAsia"/>
                <w:lang w:val="en-US" w:eastAsia="zh-CN"/>
              </w:rPr>
              <w:t>拉运</w:t>
            </w:r>
            <w:r>
              <w:t>处置</w:t>
            </w:r>
            <w:r>
              <w:rPr>
                <w:rFonts w:hint="eastAsia"/>
                <w:lang w:eastAsia="zh-CN"/>
              </w:rPr>
              <w:t>。</w:t>
            </w:r>
            <w:r>
              <w:rPr>
                <w:rFonts w:hint="eastAsia"/>
                <w:lang w:val="en-US" w:eastAsia="zh-CN"/>
              </w:rPr>
              <w:t>危险废物贮存期限低于1年，危险废物运输过程应防止泄漏，</w:t>
            </w:r>
            <w:r>
              <w:rPr>
                <w:rFonts w:hint="eastAsia" w:ascii="Times New Roman" w:hAnsi="Times New Roman" w:eastAsia="宋体" w:cs="Times New Roman"/>
                <w:lang w:val="en-US" w:eastAsia="zh-CN"/>
              </w:rPr>
              <w:t>危险废物管理人员为运输过程责任主体。</w:t>
            </w:r>
          </w:p>
          <w:p w14:paraId="56089417">
            <w:pPr>
              <w:ind w:firstLine="482"/>
              <w:rPr>
                <w:b/>
                <w:bCs/>
              </w:rPr>
            </w:pPr>
            <w:r>
              <w:rPr>
                <w:b/>
                <w:bCs/>
              </w:rPr>
              <w:t>危险废物贮存容器应满足：</w:t>
            </w:r>
          </w:p>
          <w:p w14:paraId="79608BEB">
            <w:pPr>
              <w:ind w:firstLine="480"/>
            </w:pPr>
            <w:r>
              <w:rPr>
                <w:rFonts w:hint="eastAsia" w:ascii="宋体" w:hAnsi="宋体" w:cs="宋体"/>
              </w:rPr>
              <w:t>①</w:t>
            </w:r>
            <w:r>
              <w:t>使用符合标准的容器盛装危险废物；应定期对暂时贮存危险废物包装及设施进行检查，发现破损，及时采取措施清理更换；</w:t>
            </w:r>
          </w:p>
          <w:p w14:paraId="262858DD">
            <w:pPr>
              <w:ind w:firstLine="480"/>
            </w:pPr>
            <w:r>
              <w:rPr>
                <w:rFonts w:hint="eastAsia" w:ascii="宋体" w:hAnsi="宋体" w:cs="宋体"/>
              </w:rPr>
              <w:t>②</w:t>
            </w:r>
            <w:r>
              <w:t>装载危险废物的容器及材质要满足相应的强度要求；</w:t>
            </w:r>
          </w:p>
          <w:p w14:paraId="25F33833">
            <w:pPr>
              <w:ind w:firstLine="480"/>
            </w:pPr>
            <w:r>
              <w:rPr>
                <w:rFonts w:hint="eastAsia" w:ascii="宋体" w:hAnsi="宋体" w:cs="宋体"/>
              </w:rPr>
              <w:t>③</w:t>
            </w:r>
            <w:r>
              <w:t>装载危险废物的容器必须完好无损；</w:t>
            </w:r>
          </w:p>
          <w:p w14:paraId="02B6624B">
            <w:pPr>
              <w:widowControl/>
              <w:ind w:firstLine="480"/>
              <w:jc w:val="left"/>
            </w:pPr>
            <w:r>
              <w:rPr>
                <w:rFonts w:hint="eastAsia" w:ascii="宋体" w:hAnsi="宋体" w:cs="宋体"/>
              </w:rPr>
              <w:t>④</w:t>
            </w:r>
            <w:r>
              <w:t>盛装危险废物的容器材质和衬里要与危险废物相容，不相互反应。危险废物堆放场所选址、平面布置、设计原则及危险废物的堆放要求等，必须满足《危险废物贮存污染控制标准》</w:t>
            </w:r>
            <w:r>
              <w:rPr>
                <w:rFonts w:hint="eastAsia"/>
                <w:lang w:eastAsia="zh-CN"/>
              </w:rPr>
              <w:t>（</w:t>
            </w:r>
            <w:r>
              <w:t>GB18597-20</w:t>
            </w:r>
            <w:r>
              <w:rPr>
                <w:rFonts w:hint="eastAsia"/>
              </w:rPr>
              <w:t>23</w:t>
            </w:r>
            <w:r>
              <w:t>）相关要求。</w:t>
            </w:r>
            <w:r>
              <w:rPr>
                <w:rFonts w:hint="eastAsia"/>
                <w:lang w:eastAsia="zh-CN"/>
              </w:rPr>
              <w:t>危险废物贮存点</w:t>
            </w:r>
            <w:r>
              <w:t>必须按</w:t>
            </w:r>
            <w:r>
              <w:rPr>
                <w:rFonts w:hint="eastAsia"/>
              </w:rPr>
              <w:t>照</w:t>
            </w:r>
            <w:r>
              <w:t>《危险废物识别标志设置技术规范》（</w:t>
            </w:r>
            <w:r>
              <w:rPr>
                <w:rFonts w:hint="eastAsia"/>
              </w:rPr>
              <w:t>HJ1276</w:t>
            </w:r>
            <w:r>
              <w:t>-</w:t>
            </w:r>
            <w:r>
              <w:rPr>
                <w:rFonts w:hint="eastAsia"/>
              </w:rPr>
              <w:t>2022</w:t>
            </w:r>
            <w:r>
              <w:t>）的规定设置警示标志，周围应配备通讯设备、照明设施、安全防护服装及工具。</w:t>
            </w:r>
          </w:p>
          <w:p w14:paraId="75A252A2">
            <w:pPr>
              <w:ind w:firstLine="482"/>
              <w:rPr>
                <w:b/>
                <w:bCs/>
              </w:rPr>
            </w:pPr>
            <w:r>
              <w:rPr>
                <w:b/>
                <w:bCs/>
              </w:rPr>
              <w:t>对于危险废物的运输和转移，应根据</w:t>
            </w:r>
            <w:r>
              <w:rPr>
                <w:rFonts w:hint="eastAsia"/>
                <w:b/>
                <w:bCs/>
              </w:rPr>
              <w:t>《危险废物转移管理办法》（部令 第23号）</w:t>
            </w:r>
            <w:r>
              <w:rPr>
                <w:b/>
                <w:bCs/>
              </w:rPr>
              <w:t>：</w:t>
            </w:r>
          </w:p>
          <w:p w14:paraId="23CF7296">
            <w:pPr>
              <w:widowControl/>
              <w:ind w:firstLine="480"/>
              <w:jc w:val="left"/>
            </w:pPr>
            <w:r>
              <w:rPr>
                <w:rFonts w:hint="eastAsia" w:ascii="宋体" w:hAnsi="宋体" w:cs="宋体"/>
              </w:rPr>
              <w:t>①</w:t>
            </w:r>
            <w:r>
              <w:t>危险废物运输和转移前，</w:t>
            </w:r>
            <w:r>
              <w:rPr>
                <w:rFonts w:hint="eastAsia" w:ascii="宋体" w:hAnsi="宋体" w:cs="宋体"/>
                <w:color w:val="000000"/>
                <w:kern w:val="0"/>
                <w:lang w:bidi="ar"/>
              </w:rPr>
              <w:t>应当通过国家危险废物信息管理系统（以下简称信息系统）填写、运行危险废物电子转移联单，并依照国家有关规定公开危险废物转移相关污染环境防治信息。</w:t>
            </w:r>
          </w:p>
          <w:p w14:paraId="318686B2">
            <w:pPr>
              <w:widowControl/>
              <w:ind w:firstLine="480"/>
              <w:jc w:val="left"/>
              <w:rPr>
                <w:rFonts w:ascii="宋体" w:hAnsi="宋体" w:cs="宋体"/>
                <w:color w:val="000000"/>
                <w:kern w:val="0"/>
                <w:lang w:bidi="ar"/>
              </w:rPr>
            </w:pPr>
            <w:r>
              <w:rPr>
                <w:rFonts w:hint="eastAsia" w:ascii="宋体" w:hAnsi="宋体" w:cs="宋体"/>
              </w:rPr>
              <w:t>②</w:t>
            </w:r>
            <w:r>
              <w:rPr>
                <w:rFonts w:hint="eastAsia" w:ascii="宋体" w:hAnsi="宋体" w:cs="宋体"/>
                <w:color w:val="000000"/>
                <w:kern w:val="0"/>
                <w:lang w:bidi="ar"/>
              </w:rPr>
              <w:t>危险废物移出人、危险废物承运人、危险废物</w:t>
            </w:r>
            <w:r>
              <w:rPr>
                <w:rFonts w:hint="eastAsia" w:ascii="宋体" w:hAnsi="宋体" w:cs="宋体"/>
                <w:color w:val="000000"/>
                <w:kern w:val="0"/>
                <w:lang w:eastAsia="zh-CN" w:bidi="ar"/>
              </w:rPr>
              <w:t>接收人</w:t>
            </w:r>
            <w:r>
              <w:rPr>
                <w:rFonts w:hint="eastAsia" w:ascii="宋体" w:hAnsi="宋体" w:cs="宋体"/>
                <w:color w:val="000000"/>
                <w:kern w:val="0"/>
                <w:lang w:bidi="ar"/>
              </w:rPr>
              <w:t>（以下分别简称移出人、承运人和</w:t>
            </w:r>
            <w:r>
              <w:rPr>
                <w:rFonts w:hint="eastAsia" w:ascii="宋体" w:hAnsi="宋体" w:cs="宋体"/>
                <w:color w:val="000000"/>
                <w:kern w:val="0"/>
                <w:lang w:eastAsia="zh-CN" w:bidi="ar"/>
              </w:rPr>
              <w:t>接收人</w:t>
            </w:r>
            <w:r>
              <w:rPr>
                <w:rFonts w:hint="eastAsia" w:ascii="宋体" w:hAnsi="宋体" w:cs="宋体"/>
                <w:color w:val="000000"/>
                <w:kern w:val="0"/>
                <w:lang w:bidi="ar"/>
              </w:rPr>
              <w:t>）在危险废物转移过程中应当采取防扬散、防流失、防渗漏或者其他防止污染环境的措施，不得擅自倾倒、堆放、丢弃、遗撒危险废物，并对所造成的环境污染及生态破坏依法承担责任。</w:t>
            </w:r>
          </w:p>
          <w:p w14:paraId="507F1236">
            <w:pPr>
              <w:widowControl/>
              <w:ind w:firstLine="480"/>
              <w:jc w:val="left"/>
            </w:pPr>
            <w:r>
              <w:rPr>
                <w:rFonts w:hint="eastAsia" w:ascii="宋体" w:hAnsi="宋体" w:cs="宋体"/>
              </w:rPr>
              <w:t>③</w:t>
            </w:r>
            <w:r>
              <w:rPr>
                <w:rFonts w:hint="eastAsia" w:ascii="宋体" w:hAnsi="宋体" w:cs="宋体"/>
                <w:color w:val="000000"/>
                <w:kern w:val="0"/>
                <w:lang w:bidi="ar"/>
              </w:rPr>
              <w:t>移出人应当履行以下义务：</w:t>
            </w:r>
          </w:p>
          <w:p w14:paraId="2D600C54">
            <w:pPr>
              <w:widowControl/>
              <w:ind w:firstLine="480"/>
              <w:jc w:val="left"/>
              <w:rPr>
                <w:rFonts w:hint="default" w:ascii="Times New Roman" w:hAnsi="Times New Roman" w:cs="Times New Roman"/>
              </w:rPr>
            </w:pPr>
            <w:r>
              <w:rPr>
                <w:rFonts w:hint="default" w:ascii="Times New Roman" w:hAnsi="Times New Roman" w:cs="Times New Roman"/>
                <w:color w:val="000000"/>
                <w:kern w:val="0"/>
                <w:lang w:val="en-US" w:eastAsia="zh-CN" w:bidi="ar"/>
              </w:rPr>
              <w:t>a.</w:t>
            </w:r>
            <w:r>
              <w:rPr>
                <w:rFonts w:hint="default" w:ascii="Times New Roman" w:hAnsi="Times New Roman" w:cs="Times New Roman"/>
                <w:color w:val="000000"/>
                <w:kern w:val="0"/>
                <w:lang w:bidi="ar"/>
              </w:rPr>
              <w:t>对承运人或者</w:t>
            </w:r>
            <w:r>
              <w:rPr>
                <w:rFonts w:hint="eastAsia" w:cs="Times New Roman"/>
                <w:color w:val="000000"/>
                <w:kern w:val="0"/>
                <w:lang w:eastAsia="zh-CN" w:bidi="ar"/>
              </w:rPr>
              <w:t>接收人</w:t>
            </w:r>
            <w:r>
              <w:rPr>
                <w:rFonts w:hint="default" w:ascii="Times New Roman" w:hAnsi="Times New Roman" w:cs="Times New Roman"/>
                <w:color w:val="000000"/>
                <w:kern w:val="0"/>
                <w:lang w:bidi="ar"/>
              </w:rPr>
              <w:t>的主体资格和技术能力进行核实，依法签订书面合同，并在合同中约定运输、贮存、利用、处置危险废物的污染防治要求及相关责任；</w:t>
            </w:r>
          </w:p>
          <w:p w14:paraId="31A6B89F">
            <w:pPr>
              <w:widowControl/>
              <w:ind w:firstLine="480"/>
              <w:jc w:val="left"/>
              <w:rPr>
                <w:rFonts w:hint="default" w:ascii="Times New Roman" w:hAnsi="Times New Roman" w:cs="Times New Roman"/>
              </w:rPr>
            </w:pPr>
            <w:r>
              <w:rPr>
                <w:rFonts w:hint="default" w:ascii="Times New Roman" w:hAnsi="Times New Roman" w:cs="Times New Roman"/>
                <w:color w:val="000000"/>
                <w:kern w:val="0"/>
                <w:lang w:val="en-US" w:eastAsia="zh-CN" w:bidi="ar"/>
              </w:rPr>
              <w:t>b.</w:t>
            </w:r>
            <w:r>
              <w:rPr>
                <w:rFonts w:hint="default" w:ascii="Times New Roman" w:hAnsi="Times New Roman" w:cs="Times New Roman"/>
                <w:color w:val="000000"/>
                <w:kern w:val="0"/>
                <w:lang w:bidi="ar"/>
              </w:rPr>
              <w:t>制定危险废物管理计划，明确拟转移危险废物的种类、重量（数量）和流向等信息；</w:t>
            </w:r>
          </w:p>
          <w:p w14:paraId="003246FD">
            <w:pPr>
              <w:widowControl/>
              <w:ind w:firstLine="480"/>
              <w:jc w:val="left"/>
              <w:rPr>
                <w:rFonts w:hint="default" w:ascii="Times New Roman" w:hAnsi="Times New Roman" w:cs="Times New Roman"/>
              </w:rPr>
            </w:pPr>
            <w:r>
              <w:rPr>
                <w:rFonts w:hint="default" w:ascii="Times New Roman" w:hAnsi="Times New Roman" w:cs="Times New Roman"/>
                <w:color w:val="000000"/>
                <w:kern w:val="0"/>
                <w:lang w:val="en-US" w:eastAsia="zh-CN" w:bidi="ar"/>
              </w:rPr>
              <w:t>c.</w:t>
            </w:r>
            <w:r>
              <w:rPr>
                <w:rFonts w:hint="default" w:ascii="Times New Roman" w:hAnsi="Times New Roman" w:cs="Times New Roman"/>
                <w:color w:val="000000"/>
                <w:kern w:val="0"/>
                <w:lang w:bidi="ar"/>
              </w:rPr>
              <w:t>建立危险废物管理台账，对转移的危险废物进行计量称重，如实记录、妥善保管转移危险废物的种类、重量（数量）和</w:t>
            </w:r>
            <w:r>
              <w:rPr>
                <w:rFonts w:hint="eastAsia" w:cs="Times New Roman"/>
                <w:color w:val="000000"/>
                <w:kern w:val="0"/>
                <w:lang w:eastAsia="zh-CN" w:bidi="ar"/>
              </w:rPr>
              <w:t>接收人</w:t>
            </w:r>
            <w:r>
              <w:rPr>
                <w:rFonts w:hint="default" w:ascii="Times New Roman" w:hAnsi="Times New Roman" w:cs="Times New Roman"/>
                <w:color w:val="000000"/>
                <w:kern w:val="0"/>
                <w:lang w:bidi="ar"/>
              </w:rPr>
              <w:t>等相关信息；</w:t>
            </w:r>
          </w:p>
          <w:p w14:paraId="79FA5B41">
            <w:pPr>
              <w:widowControl/>
              <w:ind w:firstLine="480"/>
              <w:jc w:val="left"/>
              <w:rPr>
                <w:rFonts w:hint="default" w:ascii="Times New Roman" w:hAnsi="Times New Roman" w:cs="Times New Roman"/>
              </w:rPr>
            </w:pPr>
            <w:r>
              <w:rPr>
                <w:rFonts w:hint="default" w:ascii="Times New Roman" w:hAnsi="Times New Roman" w:cs="Times New Roman"/>
                <w:color w:val="000000"/>
                <w:kern w:val="0"/>
                <w:lang w:val="en-US" w:eastAsia="zh-CN" w:bidi="ar"/>
              </w:rPr>
              <w:t>d.</w:t>
            </w:r>
            <w:r>
              <w:rPr>
                <w:rFonts w:hint="default" w:ascii="Times New Roman" w:hAnsi="Times New Roman" w:cs="Times New Roman"/>
                <w:color w:val="000000"/>
                <w:kern w:val="0"/>
                <w:lang w:bidi="ar"/>
              </w:rPr>
              <w:t>填写、运行危险废物转移联单，在危险废物转移联单中如实填写移出人、承运人、</w:t>
            </w:r>
            <w:r>
              <w:rPr>
                <w:rFonts w:hint="eastAsia" w:cs="Times New Roman"/>
                <w:color w:val="000000"/>
                <w:kern w:val="0"/>
                <w:lang w:eastAsia="zh-CN" w:bidi="ar"/>
              </w:rPr>
              <w:t>接收人</w:t>
            </w:r>
            <w:r>
              <w:rPr>
                <w:rFonts w:hint="default" w:ascii="Times New Roman" w:hAnsi="Times New Roman" w:cs="Times New Roman"/>
                <w:color w:val="000000"/>
                <w:kern w:val="0"/>
                <w:lang w:bidi="ar"/>
              </w:rPr>
              <w:t>信息，转移危险废物的种类、重量（数量）、危险特性等信息，以及突发环境事件的防范措施等；</w:t>
            </w:r>
          </w:p>
          <w:p w14:paraId="3574A599">
            <w:pPr>
              <w:widowControl/>
              <w:ind w:firstLine="480"/>
              <w:jc w:val="left"/>
              <w:rPr>
                <w:rFonts w:hint="default" w:ascii="Times New Roman" w:hAnsi="Times New Roman" w:cs="Times New Roman"/>
                <w:color w:val="000000"/>
                <w:kern w:val="0"/>
                <w:lang w:bidi="ar"/>
              </w:rPr>
            </w:pPr>
            <w:r>
              <w:rPr>
                <w:rFonts w:hint="default" w:ascii="Times New Roman" w:hAnsi="Times New Roman" w:cs="Times New Roman"/>
                <w:color w:val="000000"/>
                <w:kern w:val="0"/>
                <w:lang w:val="en-US" w:eastAsia="zh-CN" w:bidi="ar"/>
              </w:rPr>
              <w:t>e.</w:t>
            </w:r>
            <w:r>
              <w:rPr>
                <w:rFonts w:hint="default" w:ascii="Times New Roman" w:hAnsi="Times New Roman" w:cs="Times New Roman"/>
                <w:color w:val="000000"/>
                <w:kern w:val="0"/>
                <w:lang w:bidi="ar"/>
              </w:rPr>
              <w:t>及时核实</w:t>
            </w:r>
            <w:r>
              <w:rPr>
                <w:rFonts w:hint="eastAsia" w:cs="Times New Roman"/>
                <w:color w:val="000000"/>
                <w:kern w:val="0"/>
                <w:lang w:eastAsia="zh-CN" w:bidi="ar"/>
              </w:rPr>
              <w:t>接收人</w:t>
            </w:r>
            <w:r>
              <w:rPr>
                <w:rFonts w:hint="default" w:ascii="Times New Roman" w:hAnsi="Times New Roman" w:cs="Times New Roman"/>
                <w:color w:val="000000"/>
                <w:kern w:val="0"/>
                <w:lang w:bidi="ar"/>
              </w:rPr>
              <w:t>贮存、利用或者处置相关危险废物情况；</w:t>
            </w:r>
          </w:p>
          <w:p w14:paraId="2BD73ED2">
            <w:pPr>
              <w:widowControl/>
              <w:ind w:firstLine="480"/>
              <w:jc w:val="left"/>
              <w:rPr>
                <w:rFonts w:ascii="宋体" w:hAnsi="宋体" w:cs="宋体"/>
                <w:color w:val="000000"/>
                <w:kern w:val="0"/>
                <w:lang w:bidi="ar"/>
              </w:rPr>
            </w:pPr>
            <w:r>
              <w:rPr>
                <w:rFonts w:hint="eastAsia" w:ascii="宋体" w:hAnsi="宋体" w:cs="宋体"/>
              </w:rPr>
              <w:t>④</w:t>
            </w:r>
            <w:r>
              <w:rPr>
                <w:rFonts w:hint="eastAsia" w:ascii="宋体" w:hAnsi="宋体" w:cs="宋体"/>
                <w:color w:val="000000"/>
                <w:kern w:val="0"/>
                <w:lang w:bidi="ar"/>
              </w:rPr>
              <w:t>危险废物转移联单应当根据危险废物管理计划中填报的危险废物转移等备案信息填写、运行。</w:t>
            </w:r>
          </w:p>
          <w:p w14:paraId="4EECB8CA">
            <w:pPr>
              <w:widowControl/>
              <w:ind w:firstLine="480"/>
              <w:jc w:val="left"/>
              <w:rPr>
                <w:rFonts w:ascii="宋体" w:hAnsi="宋体" w:cs="宋体"/>
                <w:color w:val="000000"/>
                <w:kern w:val="0"/>
                <w:lang w:bidi="ar"/>
              </w:rPr>
            </w:pPr>
            <w:r>
              <w:rPr>
                <w:rFonts w:hint="eastAsia" w:ascii="宋体" w:hAnsi="宋体" w:cs="宋体"/>
                <w:color w:val="000000"/>
                <w:kern w:val="0"/>
                <w:lang w:bidi="ar"/>
              </w:rPr>
              <w:t>⑤移出人每转移一车</w:t>
            </w:r>
            <w:r>
              <w:rPr>
                <w:rFonts w:hint="eastAsia" w:ascii="宋体" w:hAnsi="宋体" w:cs="宋体"/>
                <w:color w:val="000000"/>
                <w:kern w:val="0"/>
                <w:lang w:val="en-US" w:eastAsia="zh-CN" w:bidi="ar"/>
              </w:rPr>
              <w:t>/</w:t>
            </w:r>
            <w:r>
              <w:rPr>
                <w:rFonts w:hint="eastAsia" w:ascii="宋体" w:hAnsi="宋体" w:cs="宋体"/>
                <w:color w:val="000000"/>
                <w:kern w:val="0"/>
                <w:lang w:bidi="ar"/>
              </w:rPr>
              <w:t>次同类危险废物，应当填写、运行一份危险废物转移联单；每车</w:t>
            </w:r>
            <w:r>
              <w:rPr>
                <w:rFonts w:hint="eastAsia" w:ascii="宋体" w:hAnsi="宋体" w:cs="宋体"/>
                <w:color w:val="000000"/>
                <w:kern w:val="0"/>
                <w:lang w:val="en-US" w:eastAsia="zh-CN" w:bidi="ar"/>
              </w:rPr>
              <w:t>/</w:t>
            </w:r>
            <w:r>
              <w:rPr>
                <w:rFonts w:hint="eastAsia" w:ascii="宋体" w:hAnsi="宋体" w:cs="宋体"/>
                <w:color w:val="000000"/>
                <w:kern w:val="0"/>
                <w:lang w:bidi="ar"/>
              </w:rPr>
              <w:t>次转移多类危险废物的，可以填写、运行一份危险废物转移联单，也可以每一类危险废物填写、运行一份危险废物转移联单。</w:t>
            </w:r>
          </w:p>
          <w:p w14:paraId="5C408CF4">
            <w:pPr>
              <w:widowControl/>
              <w:ind w:firstLine="480"/>
              <w:jc w:val="left"/>
              <w:rPr>
                <w:rFonts w:ascii="宋体" w:hAnsi="宋体" w:cs="宋体"/>
                <w:color w:val="000000"/>
                <w:kern w:val="0"/>
                <w:lang w:bidi="ar"/>
              </w:rPr>
            </w:pPr>
            <w:r>
              <w:rPr>
                <w:rFonts w:hint="eastAsia" w:ascii="宋体" w:hAnsi="宋体" w:cs="宋体"/>
                <w:color w:val="000000"/>
                <w:kern w:val="0"/>
                <w:lang w:bidi="ar"/>
              </w:rPr>
              <w:t>⑥</w:t>
            </w:r>
            <w:r>
              <w:rPr>
                <w:rFonts w:hint="eastAsia" w:ascii="宋体" w:hAnsi="宋体" w:cs="宋体"/>
                <w:color w:val="000000"/>
                <w:kern w:val="0"/>
                <w:lang w:eastAsia="zh-CN" w:bidi="ar"/>
              </w:rPr>
              <w:t>接收人</w:t>
            </w:r>
            <w:r>
              <w:rPr>
                <w:rFonts w:hint="eastAsia" w:ascii="宋体" w:hAnsi="宋体" w:cs="宋体"/>
                <w:color w:val="000000"/>
                <w:kern w:val="0"/>
                <w:lang w:bidi="ar"/>
              </w:rPr>
              <w:t>应当对运抵的危险废物进行核实验收，并在接受之日起五个工作日内通过信息系统确认接受。运抵的危险废物的名称、数量、特性、形态、包装方式与危险废物转移联单填写内容不符的，</w:t>
            </w:r>
            <w:r>
              <w:rPr>
                <w:rFonts w:hint="eastAsia" w:ascii="宋体" w:hAnsi="宋体" w:cs="宋体"/>
                <w:color w:val="000000"/>
                <w:kern w:val="0"/>
                <w:lang w:eastAsia="zh-CN" w:bidi="ar"/>
              </w:rPr>
              <w:t>接收人</w:t>
            </w:r>
            <w:r>
              <w:rPr>
                <w:rFonts w:hint="eastAsia" w:ascii="宋体" w:hAnsi="宋体" w:cs="宋体"/>
                <w:color w:val="000000"/>
                <w:kern w:val="0"/>
                <w:lang w:bidi="ar"/>
              </w:rPr>
              <w:t>应当及时告知移出人，视情况决定是否接受，同时向接受地生态环境主管部门报告。</w:t>
            </w:r>
          </w:p>
          <w:p w14:paraId="0EEDDB95">
            <w:pPr>
              <w:widowControl/>
              <w:ind w:firstLine="480"/>
              <w:jc w:val="left"/>
              <w:rPr>
                <w:rFonts w:ascii="宋体" w:hAnsi="宋体" w:cs="宋体"/>
                <w:color w:val="000000"/>
                <w:kern w:val="0"/>
                <w:lang w:bidi="ar"/>
              </w:rPr>
            </w:pPr>
            <w:r>
              <w:rPr>
                <w:rFonts w:hint="eastAsia" w:ascii="宋体" w:hAnsi="宋体" w:cs="宋体"/>
                <w:color w:val="000000"/>
                <w:kern w:val="0"/>
                <w:lang w:bidi="ar"/>
              </w:rPr>
              <w:t>⑦对不通过车且无法按次对危险废物计量的其他方式转移危险废物的，移出人和</w:t>
            </w:r>
            <w:r>
              <w:rPr>
                <w:rFonts w:hint="eastAsia" w:ascii="宋体" w:hAnsi="宋体" w:cs="宋体"/>
                <w:color w:val="000000"/>
                <w:kern w:val="0"/>
                <w:lang w:eastAsia="zh-CN" w:bidi="ar"/>
              </w:rPr>
              <w:t>接收人</w:t>
            </w:r>
            <w:r>
              <w:rPr>
                <w:rFonts w:hint="eastAsia" w:ascii="宋体" w:hAnsi="宋体" w:cs="宋体"/>
                <w:color w:val="000000"/>
                <w:kern w:val="0"/>
                <w:lang w:bidi="ar"/>
              </w:rPr>
              <w:t>应当分别配备计量记录设备，将每天危险废物转移的种类、重量（数量）、形态和危险特性等信息纳入相关台账记录，并根据所在地设区的市级以上地方生态环境主管部门的要求填写、运行危险废物转移联单。</w:t>
            </w:r>
          </w:p>
          <w:p w14:paraId="0C6072DA">
            <w:pPr>
              <w:widowControl/>
              <w:ind w:firstLine="480"/>
              <w:jc w:val="left"/>
            </w:pPr>
            <w:r>
              <w:rPr>
                <w:rFonts w:hint="eastAsia" w:ascii="宋体" w:hAnsi="宋体" w:cs="宋体"/>
                <w:color w:val="000000"/>
                <w:kern w:val="0"/>
                <w:lang w:bidi="ar"/>
              </w:rPr>
              <w:t>⑧危险废物电子转移联单数据应当在信息系统中至少保存十年。因特殊原因无法运行危险废物电子转移联单的，可以先使用纸质转移联单，并于转移活动完成后十个工作日内在信息系统中补录电子转移联单。</w:t>
            </w:r>
          </w:p>
          <w:p w14:paraId="09B814BB">
            <w:pPr>
              <w:ind w:firstLine="482"/>
              <w:rPr>
                <w:b/>
                <w:bCs/>
              </w:rPr>
            </w:pPr>
            <w:r>
              <w:rPr>
                <w:rFonts w:hint="eastAsia"/>
                <w:b/>
                <w:bCs/>
              </w:rPr>
              <w:t>企业</w:t>
            </w:r>
            <w:r>
              <w:rPr>
                <w:b/>
                <w:bCs/>
              </w:rPr>
              <w:t>要结合自身的实际情况，与生产记录相衔接，</w:t>
            </w:r>
            <w:r>
              <w:rPr>
                <w:rFonts w:hint="eastAsia"/>
                <w:b/>
                <w:bCs/>
              </w:rPr>
              <w:t>根据</w:t>
            </w:r>
            <w:r>
              <w:rPr>
                <w:rFonts w:hint="eastAsia"/>
                <w:b/>
                <w:bCs/>
                <w:szCs w:val="22"/>
              </w:rPr>
              <w:t>《危险废物管理计划和管理台账制定技术导则》（HJ1259-2022）</w:t>
            </w:r>
            <w:r>
              <w:rPr>
                <w:b/>
                <w:bCs/>
              </w:rPr>
              <w:t>建立危险废物台账</w:t>
            </w:r>
            <w:r>
              <w:rPr>
                <w:rFonts w:hint="eastAsia"/>
                <w:b/>
                <w:bCs/>
              </w:rPr>
              <w:t>。</w:t>
            </w:r>
          </w:p>
          <w:p w14:paraId="672A7B6E">
            <w:pPr>
              <w:widowControl/>
              <w:ind w:firstLine="480"/>
              <w:jc w:val="left"/>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①同一生产经营场所危险废物年产生量10t以下且未纳入危险废物环境重点监管单位的单位，属于危险废物登记管理。</w:t>
            </w:r>
          </w:p>
          <w:p w14:paraId="78AE8247">
            <w:pPr>
              <w:widowControl/>
              <w:ind w:firstLine="480"/>
              <w:jc w:val="left"/>
              <w:rPr>
                <w:rFonts w:hint="default" w:ascii="Times New Roman" w:hAnsi="Times New Roman" w:cs="Times New Roman"/>
                <w:szCs w:val="22"/>
              </w:rPr>
            </w:pPr>
            <w:r>
              <w:rPr>
                <w:rFonts w:hint="default" w:ascii="Times New Roman" w:hAnsi="Times New Roman" w:cs="Times New Roman"/>
                <w:szCs w:val="22"/>
              </w:rPr>
              <w:t>②</w:t>
            </w:r>
            <w:r>
              <w:rPr>
                <w:rFonts w:hint="default" w:ascii="Times New Roman" w:hAnsi="Times New Roman" w:cs="Times New Roman"/>
                <w:color w:val="000000"/>
                <w:kern w:val="0"/>
                <w:lang w:bidi="ar"/>
              </w:rPr>
              <w:t>危险废物登记管理单位的管理计划制定内容应包括单位基本信息、危险废物产生情况信息、危险废物转移情况信息。</w:t>
            </w:r>
          </w:p>
          <w:p w14:paraId="710AA3D5">
            <w:pPr>
              <w:ind w:firstLine="480"/>
              <w:rPr>
                <w:rFonts w:hint="default" w:ascii="Times New Roman" w:hAnsi="Times New Roman" w:cs="Times New Roman"/>
                <w:szCs w:val="22"/>
              </w:rPr>
            </w:pPr>
            <w:r>
              <w:rPr>
                <w:rFonts w:hint="default" w:ascii="Times New Roman" w:hAnsi="Times New Roman" w:cs="Times New Roman"/>
                <w:szCs w:val="22"/>
              </w:rPr>
              <w:t>③</w:t>
            </w:r>
            <w:r>
              <w:rPr>
                <w:rFonts w:hint="default" w:ascii="Times New Roman" w:hAnsi="Times New Roman" w:cs="Times New Roman"/>
                <w:color w:val="000000"/>
                <w:kern w:val="0"/>
                <w:lang w:bidi="ar"/>
              </w:rPr>
              <w:t>产生危险废物的单位应当按年度制定危险废物管理计划。产生危险废物的单位应当于每年3月31日前通过国家危险废物信息管理系统在线填写并提交当年度的危险废物管理计划，由国家危险废物信息管理系统自动生成备案编号和回执，完成备案。危险废物管理计划备案内容需要调整的，产生危险废物的单位应当及时变更。</w:t>
            </w:r>
          </w:p>
          <w:p w14:paraId="2E59EE6D">
            <w:pPr>
              <w:widowControl/>
              <w:ind w:firstLine="480"/>
              <w:jc w:val="left"/>
              <w:rPr>
                <w:rFonts w:hint="default" w:ascii="Times New Roman" w:hAnsi="Times New Roman" w:cs="Times New Roman"/>
                <w:color w:val="000000"/>
                <w:kern w:val="0"/>
                <w:lang w:bidi="ar"/>
              </w:rPr>
            </w:pPr>
            <w:r>
              <w:rPr>
                <w:rFonts w:hint="default" w:ascii="Times New Roman" w:hAnsi="Times New Roman" w:cs="Times New Roman"/>
                <w:szCs w:val="22"/>
              </w:rPr>
              <w:t>④</w:t>
            </w:r>
            <w:r>
              <w:rPr>
                <w:rFonts w:hint="default" w:ascii="Times New Roman" w:hAnsi="Times New Roman" w:cs="Times New Roman"/>
                <w:color w:val="000000"/>
                <w:kern w:val="0"/>
                <w:lang w:bidi="ar"/>
              </w:rPr>
              <w:t>产生危险废物的单位应当按年度制定危险废物管理计划，参照《危险废物管理计划和管理台账制定技术导则》危险废物管理计划制定要求。</w:t>
            </w:r>
          </w:p>
          <w:p w14:paraId="44119E6F">
            <w:pPr>
              <w:widowControl/>
              <w:ind w:firstLine="480"/>
              <w:jc w:val="left"/>
              <w:rPr>
                <w:rFonts w:ascii="宋体" w:hAnsi="宋体" w:cs="宋体"/>
                <w:color w:val="000000"/>
                <w:kern w:val="0"/>
                <w:lang w:bidi="ar"/>
              </w:rPr>
            </w:pPr>
            <w:r>
              <w:rPr>
                <w:rFonts w:hint="default" w:ascii="Times New Roman" w:hAnsi="Times New Roman" w:cs="Times New Roman"/>
                <w:szCs w:val="22"/>
              </w:rPr>
              <w:t>⑤</w:t>
            </w:r>
            <w:r>
              <w:rPr>
                <w:rFonts w:hint="default" w:ascii="Times New Roman" w:hAnsi="Times New Roman" w:cs="Times New Roman"/>
                <w:color w:val="000000"/>
                <w:kern w:val="0"/>
                <w:lang w:bidi="ar"/>
              </w:rPr>
              <w:t>危险废物管理台账制定要求，参照《危</w:t>
            </w:r>
            <w:r>
              <w:rPr>
                <w:rFonts w:hint="eastAsia" w:ascii="宋体" w:hAnsi="宋体" w:cs="宋体"/>
                <w:color w:val="000000"/>
                <w:kern w:val="0"/>
                <w:lang w:bidi="ar"/>
              </w:rPr>
              <w:t>险废物管理计划和管理台账制定技术导则》。产生危险废物的单位应建立危险废物管理台账，落实危险废物管理台账记录的责任人，明确工作职责，并对危险废物管理台账的真实性、准确性和完整性负法律责任。产生危险废物的单位应根据危险废物产生、贮存、利用、处置等环节的动态流向，如实建立各环节的危险废物管理台账。危险废物管理台账分为电子管理台账和纸质管理台账两种形式。产生危险废物的单位可通过国家危险废物信息管理系统、企业自建信息管理系统或第三方平台等方式记录电子管理台账。产生后盛放至容器和包装物的，应按每个容器和包装物进行记录；产生后采用管道等方式输送至贮存场所的，按日记录；其他特殊情形的，根据危险废物产生规律确定记录频次。</w:t>
            </w:r>
          </w:p>
          <w:p w14:paraId="58212CA8">
            <w:pPr>
              <w:widowControl/>
              <w:ind w:firstLine="480"/>
              <w:jc w:val="left"/>
              <w:rPr>
                <w:rFonts w:hint="default" w:ascii="Times New Roman" w:hAnsi="Times New Roman" w:cs="Times New Roman"/>
              </w:rPr>
            </w:pPr>
            <w:r>
              <w:rPr>
                <w:rFonts w:hint="default" w:ascii="Times New Roman" w:hAnsi="Times New Roman" w:cs="Times New Roman"/>
                <w:color w:val="000000"/>
                <w:kern w:val="0"/>
                <w:lang w:bidi="ar"/>
              </w:rPr>
              <w:t>⑥记录保存时间原则上应存档5年以上。</w:t>
            </w:r>
          </w:p>
          <w:p w14:paraId="5F1B85B5">
            <w:pPr>
              <w:widowControl/>
              <w:ind w:firstLine="480"/>
              <w:jc w:val="left"/>
              <w:rPr>
                <w:rFonts w:hint="eastAsia" w:ascii="宋体" w:hAnsi="宋体" w:eastAsia="宋体" w:cs="宋体"/>
                <w:color w:val="000000"/>
                <w:kern w:val="0"/>
                <w:lang w:eastAsia="zh-CN" w:bidi="ar"/>
              </w:rPr>
            </w:pPr>
            <w:r>
              <w:rPr>
                <w:rFonts w:hint="default" w:ascii="Times New Roman" w:hAnsi="Times New Roman" w:cs="Times New Roman"/>
                <w:szCs w:val="22"/>
              </w:rPr>
              <w:t>⑦危险废物管理台账参考《危险废物管理计划和管理台账制定技术导则》附录B，</w:t>
            </w:r>
            <w:r>
              <w:rPr>
                <w:rFonts w:hint="default" w:ascii="Times New Roman" w:hAnsi="Times New Roman" w:cs="Times New Roman"/>
                <w:color w:val="000000"/>
                <w:kern w:val="0"/>
                <w:lang w:bidi="ar"/>
              </w:rPr>
              <w:t>表B.1危险废物产生环节记录表、表B.2危险废物入库环节记录表、表B.3危险废物出库环节记录表、表B.5危险废物委外利用/处置记录表</w:t>
            </w:r>
            <w:r>
              <w:rPr>
                <w:rFonts w:hint="default" w:ascii="Times New Roman" w:hAnsi="Times New Roman" w:cs="Times New Roman"/>
                <w:color w:val="000000"/>
                <w:kern w:val="0"/>
                <w:lang w:eastAsia="zh-CN" w:bidi="ar"/>
              </w:rPr>
              <w:t>。</w:t>
            </w:r>
          </w:p>
          <w:p w14:paraId="53AA5605">
            <w:pPr>
              <w:widowControl/>
              <w:ind w:firstLine="480"/>
              <w:jc w:val="left"/>
              <w:rPr>
                <w:rFonts w:hint="eastAsia" w:ascii="Times New Roman" w:hAnsi="Times New Roman" w:eastAsia="宋体" w:cs="Times New Roman"/>
                <w:b/>
                <w:bCs/>
                <w:lang w:val="en-US" w:eastAsia="zh-CN"/>
              </w:rPr>
            </w:pPr>
            <w:r>
              <w:rPr>
                <w:rFonts w:hint="eastAsia" w:ascii="宋体" w:hAnsi="宋体" w:cs="宋体"/>
                <w:b/>
                <w:bCs/>
                <w:color w:val="000000"/>
                <w:kern w:val="0"/>
                <w:lang w:val="en-US" w:eastAsia="zh-CN" w:bidi="ar"/>
              </w:rPr>
              <w:t>根据《危</w:t>
            </w:r>
            <w:r>
              <w:rPr>
                <w:rFonts w:hint="eastAsia" w:ascii="Times New Roman" w:hAnsi="Times New Roman" w:eastAsia="宋体" w:cs="Times New Roman"/>
                <w:b/>
                <w:bCs/>
                <w:lang w:val="en-US" w:eastAsia="zh-CN"/>
              </w:rPr>
              <w:t>险废物识别标志设置技术规范》（HJ1276-2022），规范设置标识标牌。</w:t>
            </w:r>
          </w:p>
          <w:p w14:paraId="43654CFB">
            <w:pPr>
              <w:widowControl/>
              <w:ind w:firstLine="480"/>
              <w:jc w:val="left"/>
              <w:rPr>
                <w:rFonts w:hint="eastAsia" w:ascii="宋体" w:hAnsi="宋体" w:eastAsia="宋体" w:cs="宋体"/>
                <w:color w:val="000000"/>
                <w:kern w:val="0"/>
                <w:lang w:val="en-US" w:eastAsia="zh-CN" w:bidi="ar"/>
              </w:rPr>
            </w:pPr>
            <w:r>
              <w:rPr>
                <w:rFonts w:hint="eastAsia" w:ascii="宋体" w:hAnsi="宋体" w:eastAsia="宋体" w:cs="宋体"/>
                <w:szCs w:val="22"/>
              </w:rPr>
              <w:t>①</w:t>
            </w:r>
            <w:r>
              <w:rPr>
                <w:rFonts w:hint="eastAsia" w:ascii="宋体" w:hAnsi="宋体" w:eastAsia="宋体" w:cs="宋体"/>
                <w:szCs w:val="22"/>
                <w:lang w:val="en-US" w:eastAsia="zh-CN"/>
              </w:rPr>
              <w:t>总体要求：危险废物识别标志的设置应具有足够的警示性，以提醒相关人员在从事收集、贮存、利用、处置危险废物经营活动时注意防范危险废物的环境风险；危险废物识别标志应设置在醒目的位置，避免被其他固定物体遮挡，并与周边的环境特点相协调；危险废物识别标志与其他标志宜保持视觉上的分离。危险废物识别标志与其他标志相近设置时，宜确保危险废物识别标志在视觉上的识别和信息的读取不受其他标志的影响；同一场所内，同一种类危险废物识别标志的尺寸、设置位置、设置方式和设置高度等宜保持一致；危险废物识别标志的设置除应满足本标准的要求外，还应执行国家安全生产、消防等有关法律、法规和标准的要求。</w:t>
            </w:r>
          </w:p>
          <w:p w14:paraId="053EAA53">
            <w:pPr>
              <w:widowControl/>
              <w:ind w:firstLine="480"/>
              <w:jc w:val="left"/>
              <w:rPr>
                <w:rFonts w:ascii="宋体" w:hAnsi="宋体" w:cs="宋体"/>
                <w:szCs w:val="22"/>
              </w:rPr>
            </w:pPr>
            <w:r>
              <w:rPr>
                <w:rFonts w:hint="eastAsia" w:ascii="宋体" w:hAnsi="宋体" w:eastAsia="宋体" w:cs="宋体"/>
                <w:szCs w:val="22"/>
                <w:lang w:val="en-US" w:eastAsia="zh-CN"/>
              </w:rPr>
              <w:t>②危险废物标签应以醒目的字样标注“危险废物”，危险废物标签应包含废物名称、废物类别、废物代码、废物形态、危险特性、主要成分、有害成分、注意事项、产生</w:t>
            </w:r>
            <w:r>
              <w:rPr>
                <w:rFonts w:hint="default" w:ascii="宋体" w:hAnsi="宋体" w:eastAsia="宋体" w:cs="宋体"/>
                <w:szCs w:val="22"/>
                <w:lang w:val="en-US" w:eastAsia="zh-CN"/>
              </w:rPr>
              <w:t>/</w:t>
            </w:r>
            <w:r>
              <w:rPr>
                <w:rFonts w:hint="eastAsia" w:ascii="宋体" w:hAnsi="宋体" w:eastAsia="宋体" w:cs="宋体"/>
                <w:szCs w:val="22"/>
                <w:lang w:val="en-US" w:eastAsia="zh-CN"/>
              </w:rPr>
              <w:t>收集单位名称、联系人、联系方式、产生日期、废物重量和备注。危险废物标签宜设置危险废物数字识别码和二维码。</w:t>
            </w:r>
          </w:p>
          <w:p w14:paraId="24867BEA">
            <w:pPr>
              <w:widowControl/>
              <w:ind w:firstLine="480"/>
              <w:jc w:val="left"/>
              <w:rPr>
                <w:rFonts w:hint="eastAsia" w:ascii="宋体" w:hAnsi="宋体" w:eastAsia="宋体" w:cs="宋体"/>
                <w:szCs w:val="22"/>
                <w:lang w:val="en-US" w:eastAsia="zh-CN"/>
              </w:rPr>
            </w:pPr>
            <w:r>
              <w:rPr>
                <w:rFonts w:hint="eastAsia" w:ascii="宋体" w:hAnsi="宋体" w:eastAsia="宋体" w:cs="宋体"/>
                <w:szCs w:val="22"/>
                <w:lang w:val="en-US" w:eastAsia="zh-CN"/>
              </w:rPr>
              <w:t>③危险废物标签中的二维码部分，可与标签一同制作，也可以单独制作后固定于危险废物标签相应位置。危险废物标签的设置位置应明显可见且易读，不应被容器、包装物自身的任何部分或其他标签遮挡。危险废物标签在各种包装上的粘贴位置分别为</w:t>
            </w:r>
            <w:r>
              <w:rPr>
                <w:rFonts w:hint="default" w:ascii="宋体" w:hAnsi="宋体" w:eastAsia="宋体" w:cs="宋体"/>
                <w:szCs w:val="22"/>
                <w:lang w:val="en-US" w:eastAsia="zh-CN"/>
              </w:rPr>
              <w:t>:</w:t>
            </w:r>
          </w:p>
          <w:p w14:paraId="76A20BF0">
            <w:pPr>
              <w:widowControl/>
              <w:ind w:firstLine="480"/>
              <w:jc w:val="left"/>
              <w:rPr>
                <w:rFonts w:hint="eastAsia" w:ascii="宋体" w:hAnsi="宋体" w:eastAsia="宋体" w:cs="宋体"/>
                <w:szCs w:val="22"/>
                <w:lang w:val="en-US" w:eastAsia="zh-CN"/>
              </w:rPr>
            </w:pPr>
            <w:r>
              <w:rPr>
                <w:rFonts w:hint="default" w:ascii="宋体" w:hAnsi="宋体" w:eastAsia="宋体" w:cs="宋体"/>
                <w:szCs w:val="22"/>
                <w:lang w:val="en-US" w:eastAsia="zh-CN"/>
              </w:rPr>
              <w:t>a</w:t>
            </w:r>
            <w:r>
              <w:rPr>
                <w:rFonts w:hint="eastAsia" w:ascii="宋体" w:hAnsi="宋体" w:eastAsia="宋体" w:cs="宋体"/>
                <w:szCs w:val="22"/>
                <w:lang w:val="en-US" w:eastAsia="zh-CN"/>
              </w:rPr>
              <w:t>）箱类包装：位于包装端面或侧面；</w:t>
            </w:r>
          </w:p>
          <w:p w14:paraId="20C9A3A2">
            <w:pPr>
              <w:widowControl/>
              <w:ind w:firstLine="480"/>
              <w:jc w:val="left"/>
              <w:rPr>
                <w:rFonts w:hint="eastAsia" w:ascii="宋体" w:hAnsi="宋体" w:eastAsia="宋体" w:cs="宋体"/>
                <w:szCs w:val="22"/>
                <w:lang w:val="en-US" w:eastAsia="zh-CN"/>
              </w:rPr>
            </w:pPr>
            <w:r>
              <w:rPr>
                <w:rFonts w:hint="default" w:ascii="宋体" w:hAnsi="宋体" w:eastAsia="宋体" w:cs="宋体"/>
                <w:szCs w:val="22"/>
                <w:lang w:val="en-US" w:eastAsia="zh-CN"/>
              </w:rPr>
              <w:t>b</w:t>
            </w:r>
            <w:r>
              <w:rPr>
                <w:rFonts w:hint="eastAsia" w:ascii="宋体" w:hAnsi="宋体" w:eastAsia="宋体" w:cs="宋体"/>
                <w:szCs w:val="22"/>
                <w:lang w:val="en-US" w:eastAsia="zh-CN"/>
              </w:rPr>
              <w:t>）袋类包装：位于包装明显处；</w:t>
            </w:r>
          </w:p>
          <w:p w14:paraId="19E648F2">
            <w:pPr>
              <w:widowControl/>
              <w:ind w:firstLine="480"/>
              <w:jc w:val="left"/>
              <w:rPr>
                <w:rFonts w:hint="eastAsia" w:ascii="宋体" w:hAnsi="宋体" w:eastAsia="宋体" w:cs="宋体"/>
                <w:szCs w:val="22"/>
                <w:lang w:val="en-US" w:eastAsia="zh-CN"/>
              </w:rPr>
            </w:pPr>
            <w:r>
              <w:rPr>
                <w:rFonts w:hint="default" w:ascii="宋体" w:hAnsi="宋体" w:eastAsia="宋体" w:cs="宋体"/>
                <w:szCs w:val="22"/>
                <w:lang w:val="en-US" w:eastAsia="zh-CN"/>
              </w:rPr>
              <w:t>c</w:t>
            </w:r>
            <w:r>
              <w:rPr>
                <w:rFonts w:hint="eastAsia" w:ascii="宋体" w:hAnsi="宋体" w:eastAsia="宋体" w:cs="宋体"/>
                <w:szCs w:val="22"/>
                <w:lang w:val="en-US" w:eastAsia="zh-CN"/>
              </w:rPr>
              <w:t>）桶类包装：位于桶身或桶盖；</w:t>
            </w:r>
          </w:p>
          <w:p w14:paraId="6F67584E">
            <w:pPr>
              <w:widowControl/>
              <w:ind w:firstLine="480"/>
              <w:jc w:val="left"/>
              <w:rPr>
                <w:rFonts w:hint="eastAsia" w:ascii="宋体" w:hAnsi="宋体" w:eastAsia="宋体" w:cs="宋体"/>
                <w:szCs w:val="22"/>
                <w:lang w:val="en-US" w:eastAsia="zh-CN"/>
              </w:rPr>
            </w:pPr>
            <w:r>
              <w:rPr>
                <w:rFonts w:hint="default" w:ascii="宋体" w:hAnsi="宋体" w:eastAsia="宋体" w:cs="宋体"/>
                <w:szCs w:val="22"/>
                <w:lang w:val="en-US" w:eastAsia="zh-CN"/>
              </w:rPr>
              <w:t>d</w:t>
            </w:r>
            <w:r>
              <w:rPr>
                <w:rFonts w:hint="eastAsia" w:ascii="宋体" w:hAnsi="宋体" w:eastAsia="宋体" w:cs="宋体"/>
                <w:szCs w:val="22"/>
                <w:lang w:val="en-US" w:eastAsia="zh-CN"/>
              </w:rPr>
              <w:t>）其他包装：位于明显处。</w:t>
            </w:r>
          </w:p>
          <w:p w14:paraId="53DBAECF">
            <w:pPr>
              <w:widowControl/>
              <w:ind w:firstLine="480"/>
              <w:jc w:val="left"/>
              <w:rPr>
                <w:rFonts w:hint="eastAsia" w:ascii="宋体" w:hAnsi="宋体" w:eastAsia="宋体" w:cs="宋体"/>
                <w:szCs w:val="22"/>
                <w:lang w:val="en-US" w:eastAsia="zh-CN"/>
              </w:rPr>
            </w:pPr>
            <w:r>
              <w:rPr>
                <w:rFonts w:hint="eastAsia" w:ascii="宋体" w:hAnsi="宋体" w:eastAsia="宋体" w:cs="宋体"/>
                <w:szCs w:val="22"/>
                <w:lang w:val="en-US" w:eastAsia="zh-CN"/>
              </w:rPr>
              <w:t>④对于盛装同一类危险废物的组合包装容器，应在组合包装容器的外表面设置危险废物标签。</w:t>
            </w:r>
          </w:p>
          <w:p w14:paraId="6F163ECF">
            <w:pPr>
              <w:widowControl/>
              <w:ind w:firstLine="480"/>
              <w:jc w:val="left"/>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val="en-US" w:eastAsia="zh-CN"/>
              </w:rPr>
              <w:t>⑤容积超过</w:t>
            </w:r>
            <w:r>
              <w:rPr>
                <w:rFonts w:hint="default" w:ascii="Times New Roman" w:hAnsi="Times New Roman" w:cs="Times New Roman"/>
                <w:szCs w:val="22"/>
                <w:lang w:val="en-US" w:eastAsia="zh-CN"/>
              </w:rPr>
              <w:t>450L</w:t>
            </w:r>
            <w:r>
              <w:rPr>
                <w:rFonts w:hint="default" w:ascii="Times New Roman" w:hAnsi="Times New Roman" w:eastAsia="宋体" w:cs="Times New Roman"/>
                <w:szCs w:val="22"/>
                <w:lang w:val="en-US" w:eastAsia="zh-CN"/>
              </w:rPr>
              <w:t>的容器或包装物，应在相对的两面都设置危险废物标签。</w:t>
            </w:r>
          </w:p>
          <w:p w14:paraId="7997DD8E">
            <w:pPr>
              <w:widowControl/>
              <w:ind w:firstLine="480"/>
              <w:jc w:val="left"/>
              <w:rPr>
                <w:rFonts w:hint="eastAsia" w:ascii="宋体" w:hAnsi="宋体" w:eastAsia="宋体" w:cs="宋体"/>
                <w:szCs w:val="22"/>
                <w:lang w:val="en-US" w:eastAsia="zh-CN"/>
              </w:rPr>
            </w:pPr>
            <w:r>
              <w:rPr>
                <w:rFonts w:hint="eastAsia" w:ascii="宋体" w:hAnsi="宋体" w:eastAsia="宋体" w:cs="宋体"/>
                <w:szCs w:val="22"/>
                <w:lang w:val="en-US" w:eastAsia="zh-CN"/>
              </w:rPr>
              <w:t>⑥危险废物标签的固定可采用印刷、粘贴、栓挂、钉附等方式，标签的固定应保证在贮存、转移期间不易脱落和损坏。当危险废物容器或包装物还需同时设置危险货物运输相关标志时，危险废物标签可与其分开设置在不同的面上，也可设在相邻的位置。在贮存池的或贮存设施内堆存的无包装或无容器的危险废物，宜在其附近参照危险废物标签的格式和内容设置柱式标志牌</w:t>
            </w:r>
          </w:p>
          <w:p w14:paraId="12D259F5">
            <w:pPr>
              <w:tabs>
                <w:tab w:val="left" w:pos="180"/>
              </w:tabs>
              <w:spacing w:line="360" w:lineRule="auto"/>
              <w:ind w:firstLine="480" w:firstLineChars="200"/>
            </w:pPr>
            <w:r>
              <w:rPr>
                <w:rFonts w:hint="default" w:ascii="Times New Roman" w:hAnsi="Times New Roman" w:eastAsia="宋体" w:cs="Times New Roman"/>
                <w:szCs w:val="22"/>
                <w:lang w:val="en-US" w:eastAsia="zh-CN"/>
              </w:rPr>
              <w:t>⑦危险废物标签</w:t>
            </w:r>
            <w:r>
              <w:rPr>
                <w:rFonts w:hint="eastAsia" w:ascii="Times New Roman" w:hAnsi="Times New Roman" w:cs="Times New Roman"/>
                <w:szCs w:val="22"/>
                <w:lang w:val="en-US" w:eastAsia="zh-CN"/>
              </w:rPr>
              <w:t>样式、</w:t>
            </w:r>
            <w:r>
              <w:rPr>
                <w:rFonts w:hint="default" w:ascii="Times New Roman" w:hAnsi="Times New Roman" w:eastAsia="宋体" w:cs="Times New Roman"/>
                <w:szCs w:val="22"/>
                <w:lang w:val="en-US" w:eastAsia="zh-CN"/>
              </w:rPr>
              <w:t>尺寸宜根据容器或包装物的容积按照《危险废物识别标志设置技术规范》（HJ1276-2022）中的要求设置，危险废物标签所选用的材质宜具有一定的耐用性和防水性。标签可采用不干胶印刷品，或印刷品外加防水塑料袋或塑封等。</w:t>
            </w:r>
          </w:p>
          <w:p w14:paraId="04BF93A2">
            <w:pPr>
              <w:ind w:firstLine="0" w:firstLineChars="0"/>
              <w:rPr>
                <w:b/>
                <w:bCs/>
                <w:color w:val="000000"/>
              </w:rPr>
            </w:pPr>
            <w:r>
              <w:rPr>
                <w:b/>
                <w:bCs/>
                <w:color w:val="000000"/>
              </w:rPr>
              <w:t>4.3地下水、土壤</w:t>
            </w:r>
            <w:r>
              <w:rPr>
                <w:b/>
                <w:bCs/>
              </w:rPr>
              <w:t>环境影响分析</w:t>
            </w:r>
          </w:p>
          <w:p w14:paraId="5BE91D3F">
            <w:pPr>
              <w:ind w:firstLine="0" w:firstLineChars="0"/>
              <w:rPr>
                <w:b/>
                <w:bCs/>
              </w:rPr>
            </w:pPr>
            <w:r>
              <w:rPr>
                <w:rFonts w:hint="eastAsia"/>
                <w:b/>
                <w:bCs/>
              </w:rPr>
              <w:t>4.3.1污染源</w:t>
            </w:r>
          </w:p>
          <w:p w14:paraId="2428B7C1">
            <w:pPr>
              <w:ind w:firstLine="480"/>
            </w:pPr>
            <w:r>
              <w:rPr>
                <w:rFonts w:hint="eastAsia"/>
                <w:lang w:val="en-US" w:eastAsia="zh-CN"/>
              </w:rPr>
              <w:t>本</w:t>
            </w:r>
            <w:r>
              <w:rPr>
                <w:rFonts w:hint="eastAsia"/>
              </w:rPr>
              <w:t>项目地下水、土壤污染源包括汽油、柴油储罐以及输油管线。项目储油罐和输油管线泄漏或渗漏会对</w:t>
            </w:r>
            <w:r>
              <w:rPr>
                <w:rFonts w:hint="eastAsia"/>
                <w:lang w:val="en-US" w:eastAsia="zh-CN"/>
              </w:rPr>
              <w:t>土壤及</w:t>
            </w:r>
            <w:r>
              <w:rPr>
                <w:rFonts w:hint="eastAsia"/>
              </w:rPr>
              <w:t>地下水产生污染。</w:t>
            </w:r>
          </w:p>
          <w:p w14:paraId="7E17137E">
            <w:pPr>
              <w:ind w:firstLine="0" w:firstLineChars="0"/>
              <w:rPr>
                <w:b/>
                <w:bCs/>
              </w:rPr>
            </w:pPr>
            <w:r>
              <w:rPr>
                <w:rFonts w:hint="eastAsia"/>
                <w:b/>
                <w:bCs/>
              </w:rPr>
              <w:t>4.3.2污染途径</w:t>
            </w:r>
          </w:p>
          <w:p w14:paraId="6744F2D6">
            <w:pPr>
              <w:ind w:firstLine="480"/>
            </w:pPr>
            <w:r>
              <w:rPr>
                <w:rFonts w:hint="eastAsia"/>
                <w:lang w:val="en-US" w:eastAsia="zh-CN"/>
              </w:rPr>
              <w:t>本</w:t>
            </w:r>
            <w:r>
              <w:rPr>
                <w:rFonts w:hint="eastAsia"/>
              </w:rPr>
              <w:t>项目可能影响地下水的主要途径是垂直入渗，具体方式为：通过泄漏污染地下水，污染对象主要为浅部含水层，污染程度除受废水污染物化学成分浓度及当地的降水、径流和入渗等条件影响外，还受地质结构、岩土成分厚度、饱和</w:t>
            </w:r>
            <w:r>
              <w:rPr>
                <w:rFonts w:hint="eastAsia"/>
                <w:lang w:val="en-US" w:eastAsia="zh-CN"/>
              </w:rPr>
              <w:t>及</w:t>
            </w:r>
            <w:r>
              <w:rPr>
                <w:rFonts w:hint="eastAsia"/>
              </w:rPr>
              <w:t>非饱和渗透性能以及对污染物的吸附滞留能力的影响。由于项目通过了双层罐改造，采用了双层罐和双层输油管道，可以有效防控油品泄漏，且储罐内设置了液位仪，可以及时发现储罐泄漏，本项目不直接取用地下水，项目对区域地下水的影响很小。可能对地下水产生影响的因素为储油罐油品储存环节发生对周围</w:t>
            </w:r>
            <w:r>
              <w:rPr>
                <w:rFonts w:hint="eastAsia"/>
                <w:lang w:val="en-US" w:eastAsia="zh-CN"/>
              </w:rPr>
              <w:t>土壤及</w:t>
            </w:r>
            <w:r>
              <w:rPr>
                <w:rFonts w:hint="eastAsia"/>
              </w:rPr>
              <w:t>地下水造成污染，因此本项目需对地面等采取防渗措施。</w:t>
            </w:r>
          </w:p>
          <w:p w14:paraId="665E0D42">
            <w:pPr>
              <w:ind w:firstLine="0" w:firstLineChars="0"/>
              <w:rPr>
                <w:b/>
                <w:bCs/>
              </w:rPr>
            </w:pPr>
            <w:r>
              <w:rPr>
                <w:rFonts w:hint="eastAsia"/>
                <w:b/>
                <w:bCs/>
              </w:rPr>
              <w:t>4.3.3项目主要防渗措施</w:t>
            </w:r>
          </w:p>
          <w:p w14:paraId="0B6FB692">
            <w:pPr>
              <w:ind w:firstLine="480"/>
            </w:pPr>
            <w:r>
              <w:rPr>
                <w:rFonts w:hint="eastAsia"/>
              </w:rPr>
              <w:t>地下水保护与污染防治按照“源头控制、分区防治、污染监控、应急响应”的原则。项目生产运行过程中要建立健全地下水保护与污染防治的措施与方法：必须采取必要监测制度，一旦发现地下水遭受污染，及时采取措施，防微杜渐，尽量减少污染物进入地下含水层的概率和数量。采取的防渗措施如下所述：</w:t>
            </w:r>
          </w:p>
          <w:p w14:paraId="6B3A17F4">
            <w:pPr>
              <w:ind w:firstLine="48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源头控制措施</w:t>
            </w:r>
          </w:p>
          <w:p w14:paraId="31DCB14F">
            <w:pPr>
              <w:ind w:firstLine="480"/>
            </w:pPr>
            <w:bookmarkStart w:id="18" w:name="_Hlk103180269"/>
            <w:r>
              <w:rPr>
                <w:rFonts w:hint="eastAsia"/>
              </w:rPr>
              <w:t>a、埋地油罐和输油管道均为双层，储罐及工艺管道采用可靠的防腐</w:t>
            </w:r>
            <w:r>
              <w:rPr>
                <w:rFonts w:hint="eastAsia"/>
                <w:lang w:val="en-US" w:eastAsia="zh-CN"/>
              </w:rPr>
              <w:t>防渗</w:t>
            </w:r>
            <w:r>
              <w:rPr>
                <w:rFonts w:hint="eastAsia"/>
              </w:rPr>
              <w:t>技术，对储油罐内外表面、储罐区地面、输油管线、液压撬体外表面均做可靠的</w:t>
            </w:r>
            <w:r>
              <w:rPr>
                <w:rFonts w:hint="eastAsia"/>
                <w:lang w:val="en-US" w:eastAsia="zh-CN"/>
              </w:rPr>
              <w:t>防渗</w:t>
            </w:r>
            <w:r>
              <w:rPr>
                <w:rFonts w:hint="eastAsia"/>
              </w:rPr>
              <w:t>防腐处理。</w:t>
            </w:r>
          </w:p>
          <w:p w14:paraId="4190229E">
            <w:pPr>
              <w:ind w:firstLine="480"/>
            </w:pPr>
            <w:r>
              <w:rPr>
                <w:rFonts w:hint="eastAsia"/>
              </w:rPr>
              <w:t>b、油罐防腐严格按照《钢质管道及储罐腐蚀控制工程设计规范》(SY0007)的要求做好防腐，防腐等级不低于加强级的防腐绝缘保护层。</w:t>
            </w:r>
          </w:p>
          <w:p w14:paraId="5EED6AC4">
            <w:pPr>
              <w:ind w:firstLine="480"/>
            </w:pPr>
            <w:r>
              <w:t>c、设有油气回收系统的加油站，其站内油罐应设带有高液位报警功能的液位监测系统。单层油罐的液位监测系统尚应具备渗漏检测功能，其</w:t>
            </w:r>
            <w:r>
              <w:rPr>
                <w:rFonts w:hint="eastAsia"/>
                <w:lang w:val="en-US" w:eastAsia="zh-CN"/>
              </w:rPr>
              <w:t>渗</w:t>
            </w:r>
            <w:r>
              <w:t>漏检测分辨率不宜大于0.8L/h。</w:t>
            </w:r>
          </w:p>
          <w:p w14:paraId="2B7510EF">
            <w:pPr>
              <w:ind w:firstLine="480"/>
            </w:pPr>
            <w:r>
              <w:rPr>
                <w:rFonts w:hint="eastAsia"/>
              </w:rPr>
              <w:t>d、双层钢制油罐、内钢外玻璃纤维增强塑料双层油罐和玻璃纤维增强塑料等非金属防渗村里的双层油罐，应设渗漏检测立管。</w:t>
            </w:r>
          </w:p>
          <w:p w14:paraId="72B1201B">
            <w:pPr>
              <w:ind w:firstLine="480"/>
            </w:pPr>
            <w:r>
              <w:t>e</w:t>
            </w:r>
            <w:r>
              <w:rPr>
                <w:rFonts w:hint="eastAsia"/>
              </w:rPr>
              <w:t>、双层油罐、双层输油管道的渗漏检测宜采用在线监测系统。采用液体传感器监测时，传感器的检测精度不应大于3.5mm。</w:t>
            </w:r>
          </w:p>
          <w:p w14:paraId="6D385867">
            <w:pPr>
              <w:ind w:firstLine="48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分区防渗措施</w:t>
            </w:r>
          </w:p>
          <w:p w14:paraId="343BB618">
            <w:pPr>
              <w:ind w:firstLine="480"/>
            </w:pPr>
            <w:r>
              <w:rPr>
                <w:rFonts w:hint="eastAsia"/>
              </w:rPr>
              <w:t>严格按照《汽车加油加气加氢站技术标准》(GB50156-2021）要求进行罐区防腐防渗工作。针对可能对地下水造成影响的环节，按照“考虑重点，辐射全面”的防腐防渗原则，该加油站对一</w:t>
            </w:r>
            <w:r>
              <w:rPr>
                <w:rFonts w:hint="eastAsia"/>
                <w:lang w:val="en-US" w:eastAsia="zh-CN"/>
              </w:rPr>
              <w:t>般</w:t>
            </w:r>
            <w:r>
              <w:rPr>
                <w:rFonts w:hint="eastAsia"/>
              </w:rPr>
              <w:t>区域采用水泥硬化地面，装卸区、储罐区、输油管道、加油机等区域采取重点防腐防渗，渗透系数小于10</w:t>
            </w:r>
            <w:r>
              <w:rPr>
                <w:rFonts w:hint="eastAsia"/>
                <w:vertAlign w:val="superscript"/>
              </w:rPr>
              <w:t>-</w:t>
            </w:r>
            <w:r>
              <w:rPr>
                <w:rFonts w:hint="eastAsia"/>
                <w:vertAlign w:val="superscript"/>
                <w:lang w:val="en-US" w:eastAsia="zh-CN"/>
              </w:rPr>
              <w:t>7</w:t>
            </w:r>
            <w:r>
              <w:rPr>
                <w:rFonts w:hint="eastAsia"/>
              </w:rPr>
              <w:t>cm/s。采取的防渗措施如下所述：</w:t>
            </w:r>
            <w:bookmarkEnd w:id="18"/>
          </w:p>
          <w:p w14:paraId="62A4E5FE">
            <w:pPr>
              <w:ind w:firstLine="480"/>
            </w:pPr>
            <w:bookmarkStart w:id="19" w:name="_Hlk103180295"/>
            <w:r>
              <w:rPr>
                <w:rFonts w:hint="eastAsia"/>
              </w:rPr>
              <w:t>a、加油站地面硬化选用能防止油品渗透的水泥材料；</w:t>
            </w:r>
          </w:p>
          <w:p w14:paraId="5DE80A53">
            <w:pPr>
              <w:ind w:firstLine="480"/>
            </w:pPr>
            <w:r>
              <w:rPr>
                <w:rFonts w:hint="eastAsia"/>
              </w:rPr>
              <w:t>b、采用高标号的防水混凝</w:t>
            </w:r>
            <w:r>
              <w:rPr>
                <w:rFonts w:hint="eastAsia"/>
                <w:lang w:val="en-US" w:eastAsia="zh-CN"/>
              </w:rPr>
              <w:t>土</w:t>
            </w:r>
            <w:r>
              <w:rPr>
                <w:rFonts w:hint="eastAsia"/>
              </w:rPr>
              <w:t>，装卸区、储罐区以及</w:t>
            </w:r>
            <w:r>
              <w:rPr>
                <w:rFonts w:hint="eastAsia"/>
                <w:lang w:val="en-US" w:eastAsia="zh-CN"/>
              </w:rPr>
              <w:t>加油</w:t>
            </w:r>
            <w:r>
              <w:rPr>
                <w:rFonts w:hint="eastAsia"/>
              </w:rPr>
              <w:t>站内地坪采取钢筋</w:t>
            </w:r>
            <w:r>
              <w:rPr>
                <w:rFonts w:hint="eastAsia"/>
                <w:lang w:eastAsia="zh-CN"/>
              </w:rPr>
              <w:t>混凝土</w:t>
            </w:r>
            <w:r>
              <w:rPr>
                <w:rFonts w:hint="eastAsia"/>
              </w:rPr>
              <w:t>：</w:t>
            </w:r>
          </w:p>
          <w:p w14:paraId="2FBDDC6A">
            <w:pPr>
              <w:ind w:firstLine="480"/>
            </w:pPr>
            <w:r>
              <w:rPr>
                <w:rFonts w:hint="eastAsia"/>
              </w:rPr>
              <w:t>c、采用双层罐和双层输油管道。</w:t>
            </w:r>
            <w:bookmarkEnd w:id="19"/>
          </w:p>
          <w:p w14:paraId="6C4DA809">
            <w:pPr>
              <w:ind w:firstLine="480"/>
            </w:pPr>
            <w:r>
              <w:rPr>
                <w:rFonts w:hint="eastAsia"/>
              </w:rPr>
              <w:t>项目分区防渗划分为重点防渗区、一般防渗区和简单防渗区，具体分区防渗详见表4</w:t>
            </w:r>
            <w:r>
              <w:rPr>
                <w:rFonts w:hint="eastAsia"/>
                <w:lang w:val="en-US" w:eastAsia="zh-CN"/>
              </w:rPr>
              <w:t>-10</w:t>
            </w:r>
            <w:r>
              <w:rPr>
                <w:rFonts w:hint="eastAsia"/>
              </w:rPr>
              <w:t>。</w:t>
            </w:r>
          </w:p>
          <w:p w14:paraId="684408B0">
            <w:pPr>
              <w:pStyle w:val="28"/>
              <w:spacing w:before="120"/>
              <w:ind w:firstLine="422"/>
            </w:pPr>
            <w:bookmarkStart w:id="20" w:name="_Hlk103077941"/>
            <w:r>
              <w:t>表</w:t>
            </w:r>
            <w:r>
              <w:rPr>
                <w:rFonts w:hint="eastAsia"/>
              </w:rPr>
              <w:t>4</w:t>
            </w:r>
            <w:r>
              <w:rPr>
                <w:rFonts w:hint="eastAsia"/>
                <w:lang w:val="en-US" w:eastAsia="zh-CN"/>
              </w:rPr>
              <w:t xml:space="preserve">-10 </w:t>
            </w:r>
            <w:r>
              <w:t xml:space="preserve"> </w:t>
            </w:r>
            <w:r>
              <w:rPr>
                <w:rFonts w:hint="eastAsia"/>
              </w:rPr>
              <w:t>污染防渗分区防控一览表</w:t>
            </w:r>
          </w:p>
          <w:tbl>
            <w:tblPr>
              <w:tblStyle w:val="21"/>
              <w:tblW w:w="79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7"/>
              <w:gridCol w:w="1575"/>
              <w:gridCol w:w="3705"/>
              <w:gridCol w:w="1632"/>
            </w:tblGrid>
            <w:tr w14:paraId="39EEB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rPr>
              <w:tc>
                <w:tcPr>
                  <w:tcW w:w="1027" w:type="dxa"/>
                  <w:vAlign w:val="center"/>
                </w:tcPr>
                <w:p w14:paraId="306829C2">
                  <w:pPr>
                    <w:pStyle w:val="32"/>
                  </w:pPr>
                  <w:r>
                    <w:rPr>
                      <w:rFonts w:hint="eastAsia"/>
                    </w:rPr>
                    <w:t>防渗分区</w:t>
                  </w:r>
                </w:p>
              </w:tc>
              <w:tc>
                <w:tcPr>
                  <w:tcW w:w="1575" w:type="dxa"/>
                  <w:vAlign w:val="center"/>
                </w:tcPr>
                <w:p w14:paraId="4F50A36D">
                  <w:pPr>
                    <w:pStyle w:val="32"/>
                  </w:pPr>
                  <w:r>
                    <w:rPr>
                      <w:rFonts w:hint="eastAsia"/>
                    </w:rPr>
                    <w:t>防渗区域</w:t>
                  </w:r>
                </w:p>
              </w:tc>
              <w:tc>
                <w:tcPr>
                  <w:tcW w:w="3705" w:type="dxa"/>
                  <w:vAlign w:val="center"/>
                </w:tcPr>
                <w:p w14:paraId="26951DD4">
                  <w:pPr>
                    <w:pStyle w:val="32"/>
                  </w:pPr>
                  <w:r>
                    <w:rPr>
                      <w:rFonts w:hint="eastAsia"/>
                    </w:rPr>
                    <w:t>防渗要求</w:t>
                  </w:r>
                </w:p>
              </w:tc>
              <w:tc>
                <w:tcPr>
                  <w:tcW w:w="1632" w:type="dxa"/>
                  <w:vAlign w:val="center"/>
                </w:tcPr>
                <w:p w14:paraId="111878DC">
                  <w:pPr>
                    <w:pStyle w:val="32"/>
                    <w:rPr>
                      <w:rFonts w:hint="eastAsia" w:eastAsia="宋体"/>
                      <w:lang w:val="en-US" w:eastAsia="zh-CN"/>
                    </w:rPr>
                  </w:pPr>
                  <w:r>
                    <w:rPr>
                      <w:rFonts w:hint="eastAsia"/>
                      <w:lang w:val="en-US" w:eastAsia="zh-CN"/>
                    </w:rPr>
                    <w:t>执行标准</w:t>
                  </w:r>
                </w:p>
              </w:tc>
            </w:tr>
            <w:tr w14:paraId="3011D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0" w:hRule="atLeast"/>
              </w:trPr>
              <w:tc>
                <w:tcPr>
                  <w:tcW w:w="1027" w:type="dxa"/>
                  <w:vMerge w:val="restart"/>
                  <w:vAlign w:val="center"/>
                </w:tcPr>
                <w:p w14:paraId="1AD9034A">
                  <w:pPr>
                    <w:pStyle w:val="32"/>
                  </w:pPr>
                  <w:r>
                    <w:rPr>
                      <w:rFonts w:hint="eastAsia"/>
                    </w:rPr>
                    <w:t>重点防渗区</w:t>
                  </w:r>
                </w:p>
              </w:tc>
              <w:tc>
                <w:tcPr>
                  <w:tcW w:w="1575" w:type="dxa"/>
                  <w:vAlign w:val="center"/>
                </w:tcPr>
                <w:p w14:paraId="4D7C397C">
                  <w:pPr>
                    <w:pStyle w:val="32"/>
                    <w:rPr>
                      <w:rFonts w:hint="default" w:eastAsia="宋体"/>
                      <w:lang w:val="en-US" w:eastAsia="zh-CN"/>
                    </w:rPr>
                  </w:pPr>
                  <w:r>
                    <w:rPr>
                      <w:rFonts w:hint="eastAsia"/>
                      <w:lang w:val="en-US" w:eastAsia="zh-CN"/>
                    </w:rPr>
                    <w:t>危险废物贮存点</w:t>
                  </w:r>
                </w:p>
              </w:tc>
              <w:tc>
                <w:tcPr>
                  <w:tcW w:w="3705" w:type="dxa"/>
                  <w:vAlign w:val="center"/>
                </w:tcPr>
                <w:p w14:paraId="45F5BCDA">
                  <w:pPr>
                    <w:pStyle w:val="32"/>
                    <w:bidi w:val="0"/>
                  </w:pPr>
                  <w:r>
                    <w:rPr>
                      <w:rFonts w:hint="eastAsia"/>
                      <w:lang w:val="en-US" w:eastAsia="zh-CN"/>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default"/>
                      <w:lang w:val="en-US" w:eastAsia="zh-CN"/>
                    </w:rPr>
                    <w:t>1m</w:t>
                  </w:r>
                  <w:r>
                    <w:rPr>
                      <w:rFonts w:hint="eastAsia"/>
                      <w:lang w:val="en-US" w:eastAsia="zh-CN"/>
                    </w:rPr>
                    <w:t>厚黏土层（渗透系数不大于</w:t>
                  </w:r>
                  <w:r>
                    <w:rPr>
                      <w:rFonts w:hint="default"/>
                      <w:lang w:val="en-US" w:eastAsia="zh-CN"/>
                    </w:rPr>
                    <w:t>10</w:t>
                  </w:r>
                  <w:r>
                    <w:rPr>
                      <w:rFonts w:hint="default"/>
                      <w:vertAlign w:val="superscript"/>
                      <w:lang w:val="en-US" w:eastAsia="zh-CN"/>
                    </w:rPr>
                    <w:t>-7</w:t>
                  </w:r>
                  <w:r>
                    <w:rPr>
                      <w:rFonts w:hint="default"/>
                      <w:lang w:val="en-US" w:eastAsia="zh-CN"/>
                    </w:rPr>
                    <w:t>cm/s</w:t>
                  </w:r>
                  <w:r>
                    <w:rPr>
                      <w:rFonts w:hint="eastAsia"/>
                      <w:lang w:val="en-US" w:eastAsia="zh-CN"/>
                    </w:rPr>
                    <w:t>），或至少</w:t>
                  </w:r>
                  <w:r>
                    <w:rPr>
                      <w:rFonts w:hint="default"/>
                      <w:lang w:val="en-US" w:eastAsia="zh-CN"/>
                    </w:rPr>
                    <w:t>2mm</w:t>
                  </w:r>
                  <w:r>
                    <w:rPr>
                      <w:rFonts w:hint="eastAsia"/>
                      <w:lang w:val="en-US" w:eastAsia="zh-CN"/>
                    </w:rPr>
                    <w:t>厚高密度聚乙烯膜等人工防渗材料（渗透系数不大于</w:t>
                  </w:r>
                  <w:r>
                    <w:rPr>
                      <w:rFonts w:hint="default"/>
                      <w:lang w:val="en-US" w:eastAsia="zh-CN"/>
                    </w:rPr>
                    <w:t>10</w:t>
                  </w:r>
                  <w:r>
                    <w:rPr>
                      <w:rFonts w:hint="default"/>
                      <w:vertAlign w:val="superscript"/>
                      <w:lang w:val="en-US" w:eastAsia="zh-CN"/>
                    </w:rPr>
                    <w:t>-10</w:t>
                  </w:r>
                  <w:r>
                    <w:rPr>
                      <w:rFonts w:hint="default"/>
                      <w:lang w:val="en-US" w:eastAsia="zh-CN"/>
                    </w:rPr>
                    <w:t>cm/s</w:t>
                  </w:r>
                  <w:r>
                    <w:rPr>
                      <w:rFonts w:hint="eastAsia"/>
                      <w:lang w:val="en-US" w:eastAsia="zh-CN"/>
                    </w:rPr>
                    <w:t>），或其他防渗性能等效的材料</w:t>
                  </w:r>
                </w:p>
              </w:tc>
              <w:tc>
                <w:tcPr>
                  <w:tcW w:w="1632" w:type="dxa"/>
                  <w:vAlign w:val="center"/>
                </w:tcPr>
                <w:p w14:paraId="6C9AA183">
                  <w:pPr>
                    <w:pStyle w:val="32"/>
                  </w:pPr>
                  <w:r>
                    <w:t>《危险废物贮存污染控制标准》（</w:t>
                  </w:r>
                  <w:r>
                    <w:rPr>
                      <w:rFonts w:hint="eastAsia"/>
                    </w:rPr>
                    <w:t>GB18597-2023</w:t>
                  </w:r>
                  <w:r>
                    <w:t>）</w:t>
                  </w:r>
                </w:p>
              </w:tc>
            </w:tr>
            <w:tr w14:paraId="1C1B5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027" w:type="dxa"/>
                  <w:vMerge w:val="continue"/>
                  <w:vAlign w:val="center"/>
                </w:tcPr>
                <w:p w14:paraId="1EA9201E">
                  <w:pPr>
                    <w:pStyle w:val="32"/>
                  </w:pPr>
                </w:p>
              </w:tc>
              <w:tc>
                <w:tcPr>
                  <w:tcW w:w="1575" w:type="dxa"/>
                  <w:vAlign w:val="center"/>
                </w:tcPr>
                <w:p w14:paraId="2A5B4940">
                  <w:pPr>
                    <w:pStyle w:val="32"/>
                  </w:pPr>
                  <w:r>
                    <w:t>储油罐区、加油站管道沿线</w:t>
                  </w:r>
                </w:p>
              </w:tc>
              <w:tc>
                <w:tcPr>
                  <w:tcW w:w="3705" w:type="dxa"/>
                  <w:vAlign w:val="center"/>
                </w:tcPr>
                <w:p w14:paraId="046AB4FC">
                  <w:pPr>
                    <w:keepNext w:val="0"/>
                    <w:keepLines w:val="0"/>
                    <w:widowControl/>
                    <w:suppressLineNumbers w:val="0"/>
                    <w:ind w:left="0" w:leftChars="0" w:firstLine="0" w:firstLineChars="0"/>
                    <w:jc w:val="left"/>
                    <w:rPr>
                      <w:rFonts w:hint="eastAsia" w:eastAsia="宋体"/>
                      <w:lang w:eastAsia="zh-CN"/>
                    </w:rPr>
                  </w:pPr>
                  <w:r>
                    <w:rPr>
                      <w:rFonts w:ascii="Times New Roman" w:hAnsi="Times New Roman" w:eastAsia="宋体" w:cs="Times New Roman"/>
                      <w:snapToGrid w:val="0"/>
                      <w:sz w:val="21"/>
                      <w:szCs w:val="24"/>
                      <w:lang w:val="en-US" w:eastAsia="zh-CN" w:bidi="ar-SA"/>
                    </w:rPr>
                    <w:t>等效黏土防渗层Mb</w:t>
                  </w:r>
                  <w:r>
                    <w:rPr>
                      <w:rFonts w:hint="eastAsia" w:ascii="Times New Roman" w:hAnsi="Times New Roman" w:eastAsia="宋体" w:cs="Times New Roman"/>
                      <w:snapToGrid w:val="0"/>
                      <w:sz w:val="21"/>
                      <w:szCs w:val="24"/>
                      <w:lang w:val="en-US" w:eastAsia="zh-CN" w:bidi="ar-SA"/>
                    </w:rPr>
                    <w:t>≧</w:t>
                  </w:r>
                  <w:r>
                    <w:rPr>
                      <w:rFonts w:ascii="Times New Roman" w:hAnsi="Times New Roman" w:eastAsia="宋体" w:cs="Times New Roman"/>
                      <w:snapToGrid w:val="0"/>
                      <w:sz w:val="21"/>
                      <w:szCs w:val="24"/>
                      <w:lang w:val="en-US" w:eastAsia="zh-CN" w:bidi="ar-SA"/>
                    </w:rPr>
                    <w:t>6.0m</w:t>
                  </w:r>
                  <w:r>
                    <w:rPr>
                      <w:rFonts w:hint="eastAsia" w:ascii="Times New Roman" w:hAnsi="Times New Roman" w:eastAsia="宋体" w:cs="Times New Roman"/>
                      <w:snapToGrid w:val="0"/>
                      <w:sz w:val="21"/>
                      <w:szCs w:val="24"/>
                      <w:lang w:val="en-US" w:eastAsia="zh-CN" w:bidi="ar-SA"/>
                    </w:rPr>
                    <w:t>，</w:t>
                  </w:r>
                  <w:r>
                    <w:rPr>
                      <w:rFonts w:ascii="Times New Roman" w:hAnsi="Times New Roman" w:eastAsia="宋体" w:cs="Times New Roman"/>
                      <w:snapToGrid w:val="0"/>
                      <w:sz w:val="21"/>
                      <w:szCs w:val="24"/>
                      <w:lang w:val="en-US" w:eastAsia="zh-CN" w:bidi="ar-SA"/>
                    </w:rPr>
                    <w:t>K≤1.0×10</w:t>
                  </w:r>
                  <w:r>
                    <w:rPr>
                      <w:rFonts w:ascii="Times New Roman" w:hAnsi="Times New Roman" w:eastAsia="宋体" w:cs="Times New Roman"/>
                      <w:snapToGrid w:val="0"/>
                      <w:sz w:val="21"/>
                      <w:szCs w:val="24"/>
                      <w:vertAlign w:val="superscript"/>
                      <w:lang w:val="en-US" w:eastAsia="zh-CN" w:bidi="ar-SA"/>
                    </w:rPr>
                    <w:t>-7</w:t>
                  </w:r>
                  <w:r>
                    <w:rPr>
                      <w:rFonts w:ascii="Times New Roman" w:hAnsi="Times New Roman" w:eastAsia="宋体" w:cs="Times New Roman"/>
                      <w:snapToGrid w:val="0"/>
                      <w:sz w:val="21"/>
                      <w:szCs w:val="24"/>
                      <w:lang w:val="en-US" w:eastAsia="zh-CN" w:bidi="ar-SA"/>
                    </w:rPr>
                    <w:t>cm/s</w:t>
                  </w:r>
                  <w:r>
                    <w:rPr>
                      <w:rFonts w:hint="eastAsia" w:ascii="Times New Roman" w:hAnsi="Times New Roman" w:eastAsia="宋体" w:cs="Times New Roman"/>
                      <w:snapToGrid w:val="0"/>
                      <w:sz w:val="21"/>
                      <w:szCs w:val="24"/>
                      <w:lang w:val="en-US" w:eastAsia="zh-CN" w:bidi="ar-SA"/>
                    </w:rPr>
                    <w:t>；或参照GB18598执行</w:t>
                  </w:r>
                </w:p>
              </w:tc>
              <w:tc>
                <w:tcPr>
                  <w:tcW w:w="1632" w:type="dxa"/>
                  <w:vMerge w:val="restart"/>
                  <w:vAlign w:val="center"/>
                </w:tcPr>
                <w:p w14:paraId="0E06C75F">
                  <w:pPr>
                    <w:pStyle w:val="32"/>
                    <w:rPr>
                      <w:rFonts w:hint="default" w:eastAsia="宋体"/>
                      <w:lang w:val="en-US" w:eastAsia="zh-CN"/>
                    </w:rPr>
                  </w:pPr>
                  <w:r>
                    <w:rPr>
                      <w:rFonts w:hint="eastAsia"/>
                      <w:lang w:eastAsia="zh-CN"/>
                    </w:rPr>
                    <w:t>《</w:t>
                  </w:r>
                  <w:r>
                    <w:rPr>
                      <w:rFonts w:hint="eastAsia"/>
                      <w:lang w:val="en-US" w:eastAsia="zh-CN"/>
                    </w:rPr>
                    <w:t>环境影响评价技术导则 地下水环境</w:t>
                  </w:r>
                  <w:r>
                    <w:rPr>
                      <w:rFonts w:hint="eastAsia"/>
                      <w:lang w:eastAsia="zh-CN"/>
                    </w:rPr>
                    <w:t>》</w:t>
                  </w:r>
                  <w:r>
                    <w:rPr>
                      <w:rFonts w:hint="eastAsia"/>
                      <w:lang w:val="en-US" w:eastAsia="zh-CN"/>
                    </w:rPr>
                    <w:t>HJ 610-2016</w:t>
                  </w:r>
                </w:p>
              </w:tc>
            </w:tr>
            <w:tr w14:paraId="21C48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027" w:type="dxa"/>
                  <w:vAlign w:val="center"/>
                </w:tcPr>
                <w:p w14:paraId="79423076">
                  <w:pPr>
                    <w:pStyle w:val="32"/>
                  </w:pPr>
                  <w:r>
                    <w:rPr>
                      <w:rFonts w:hint="eastAsia"/>
                    </w:rPr>
                    <w:t>一般防渗区</w:t>
                  </w:r>
                </w:p>
              </w:tc>
              <w:tc>
                <w:tcPr>
                  <w:tcW w:w="1575" w:type="dxa"/>
                  <w:vAlign w:val="center"/>
                </w:tcPr>
                <w:p w14:paraId="37518E18">
                  <w:pPr>
                    <w:pStyle w:val="32"/>
                  </w:pPr>
                  <w:r>
                    <w:t>加油棚区、</w:t>
                  </w:r>
                  <w:r>
                    <w:rPr>
                      <w:rFonts w:hint="eastAsia"/>
                    </w:rPr>
                    <w:t>化粪池</w:t>
                  </w:r>
                </w:p>
              </w:tc>
              <w:tc>
                <w:tcPr>
                  <w:tcW w:w="3705" w:type="dxa"/>
                  <w:vAlign w:val="center"/>
                </w:tcPr>
                <w:p w14:paraId="568D870C">
                  <w:pPr>
                    <w:pStyle w:val="32"/>
                    <w:jc w:val="left"/>
                  </w:pPr>
                  <w:r>
                    <w:rPr>
                      <w:rFonts w:hint="eastAsia"/>
                    </w:rPr>
                    <w:t>等效黏土防渗层Mb≥1.5m，K≤1.0×10</w:t>
                  </w:r>
                  <w:r>
                    <w:rPr>
                      <w:rFonts w:hint="eastAsia"/>
                      <w:vertAlign w:val="superscript"/>
                    </w:rPr>
                    <w:t>-7</w:t>
                  </w:r>
                  <w:r>
                    <w:rPr>
                      <w:rFonts w:hint="eastAsia"/>
                    </w:rPr>
                    <w:t>cm/s；或参照GB16889执行</w:t>
                  </w:r>
                </w:p>
              </w:tc>
              <w:tc>
                <w:tcPr>
                  <w:tcW w:w="1632" w:type="dxa"/>
                  <w:vMerge w:val="continue"/>
                  <w:vAlign w:val="center"/>
                </w:tcPr>
                <w:p w14:paraId="49151CBF">
                  <w:pPr>
                    <w:pStyle w:val="32"/>
                  </w:pPr>
                </w:p>
              </w:tc>
            </w:tr>
            <w:tr w14:paraId="16436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027" w:type="dxa"/>
                  <w:vAlign w:val="center"/>
                </w:tcPr>
                <w:p w14:paraId="58E0F893">
                  <w:pPr>
                    <w:pStyle w:val="32"/>
                  </w:pPr>
                  <w:r>
                    <w:rPr>
                      <w:rFonts w:hint="eastAsia"/>
                    </w:rPr>
                    <w:t>简单防渗区</w:t>
                  </w:r>
                </w:p>
              </w:tc>
              <w:tc>
                <w:tcPr>
                  <w:tcW w:w="1575" w:type="dxa"/>
                  <w:vAlign w:val="center"/>
                </w:tcPr>
                <w:p w14:paraId="3FA5F008">
                  <w:pPr>
                    <w:pStyle w:val="32"/>
                  </w:pPr>
                  <w:r>
                    <w:t>除重点防渗区及一般防渗区外区域</w:t>
                  </w:r>
                </w:p>
              </w:tc>
              <w:tc>
                <w:tcPr>
                  <w:tcW w:w="3705" w:type="dxa"/>
                  <w:vAlign w:val="center"/>
                </w:tcPr>
                <w:p w14:paraId="151A25CF">
                  <w:pPr>
                    <w:keepNext w:val="0"/>
                    <w:keepLines w:val="0"/>
                    <w:widowControl/>
                    <w:suppressLineNumbers w:val="0"/>
                    <w:jc w:val="center"/>
                  </w:pPr>
                  <w:r>
                    <w:rPr>
                      <w:rFonts w:hint="eastAsia" w:ascii="Times New Roman" w:hAnsi="Times New Roman" w:eastAsia="宋体" w:cs="Times New Roman"/>
                      <w:snapToGrid w:val="0"/>
                      <w:sz w:val="21"/>
                      <w:szCs w:val="24"/>
                      <w:lang w:val="en-US" w:eastAsia="zh-CN" w:bidi="ar-SA"/>
                    </w:rPr>
                    <w:t>一般地面硬化</w:t>
                  </w:r>
                </w:p>
              </w:tc>
              <w:tc>
                <w:tcPr>
                  <w:tcW w:w="1632" w:type="dxa"/>
                  <w:vMerge w:val="continue"/>
                  <w:vAlign w:val="center"/>
                </w:tcPr>
                <w:p w14:paraId="417DF5BC">
                  <w:pPr>
                    <w:pStyle w:val="32"/>
                    <w:rPr>
                      <w:rFonts w:hint="eastAsia"/>
                    </w:rPr>
                  </w:pPr>
                </w:p>
              </w:tc>
            </w:tr>
          </w:tbl>
          <w:p w14:paraId="7FBA7BF3">
            <w:pPr>
              <w:ind w:firstLine="480"/>
              <w:rPr>
                <w:rFonts w:hint="eastAsia"/>
              </w:rPr>
            </w:pPr>
            <w:r>
              <w:rPr>
                <w:rFonts w:hint="eastAsia"/>
              </w:rPr>
              <w:t>采取以上措施后，可以有效防止</w:t>
            </w:r>
            <w:r>
              <w:rPr>
                <w:rFonts w:hint="eastAsia"/>
                <w:lang w:val="en-US" w:eastAsia="zh-CN"/>
              </w:rPr>
              <w:t>本</w:t>
            </w:r>
            <w:r>
              <w:rPr>
                <w:rFonts w:hint="eastAsia"/>
              </w:rPr>
              <w:t>项目对站区附近的</w:t>
            </w:r>
            <w:r>
              <w:rPr>
                <w:rFonts w:hint="eastAsia"/>
                <w:lang w:val="en-US" w:eastAsia="zh-CN"/>
              </w:rPr>
              <w:t>土壤及</w:t>
            </w:r>
            <w:r>
              <w:rPr>
                <w:rFonts w:hint="eastAsia"/>
              </w:rPr>
              <w:t>地下水造成影响。总的看来，项目通过采取有效措施严格做好防渗处理后，地下水、土壤环境影响可接受。</w:t>
            </w:r>
          </w:p>
          <w:bookmarkEnd w:id="20"/>
          <w:p w14:paraId="05B0CA72">
            <w:pPr>
              <w:ind w:firstLine="0" w:firstLineChars="0"/>
              <w:rPr>
                <w:b/>
                <w:highlight w:val="none"/>
              </w:rPr>
            </w:pPr>
            <w:r>
              <w:rPr>
                <w:b/>
                <w:highlight w:val="none"/>
              </w:rPr>
              <w:t>4.</w:t>
            </w:r>
            <w:r>
              <w:rPr>
                <w:rFonts w:hint="eastAsia"/>
                <w:b/>
                <w:highlight w:val="none"/>
                <w:lang w:val="en-US" w:eastAsia="zh-CN"/>
              </w:rPr>
              <w:t>4</w:t>
            </w:r>
            <w:r>
              <w:rPr>
                <w:b/>
                <w:highlight w:val="none"/>
              </w:rPr>
              <w:t>环境风险</w:t>
            </w:r>
          </w:p>
          <w:p w14:paraId="13D71244">
            <w:pPr>
              <w:ind w:firstLine="0" w:firstLineChars="0"/>
              <w:rPr>
                <w:rFonts w:hint="default" w:ascii="Times New Roman" w:hAnsi="Times New Roman" w:eastAsia="宋体" w:cs="Times New Roman"/>
                <w:b/>
                <w:highlight w:val="none"/>
                <w:lang w:val="en-US" w:eastAsia="zh-CN"/>
              </w:rPr>
            </w:pPr>
            <w:r>
              <w:rPr>
                <w:rFonts w:hint="eastAsia" w:ascii="Times New Roman" w:hAnsi="Times New Roman" w:eastAsia="宋体" w:cs="Times New Roman"/>
                <w:b/>
                <w:highlight w:val="none"/>
                <w:lang w:val="en-US" w:eastAsia="zh-CN"/>
              </w:rPr>
              <w:t>4.4.1</w:t>
            </w:r>
            <w:r>
              <w:rPr>
                <w:rFonts w:hint="eastAsia" w:ascii="Times New Roman" w:hAnsi="Times New Roman" w:eastAsia="宋体" w:cs="Times New Roman"/>
                <w:b/>
                <w:highlight w:val="none"/>
              </w:rPr>
              <w:t>风险调查</w:t>
            </w:r>
          </w:p>
          <w:p w14:paraId="778474D2">
            <w:pPr>
              <w:ind w:firstLine="480"/>
            </w:pPr>
            <w:r>
              <w:rPr>
                <w:rFonts w:hint="eastAsia"/>
                <w:highlight w:val="none"/>
              </w:rPr>
              <w:t>（1）建</w:t>
            </w:r>
            <w:r>
              <w:rPr>
                <w:rFonts w:hint="eastAsia"/>
              </w:rPr>
              <w:t>设项目风险源调查</w:t>
            </w:r>
          </w:p>
          <w:p w14:paraId="3A76A112">
            <w:pPr>
              <w:ind w:firstLine="480"/>
            </w:pPr>
            <w:r>
              <w:rPr>
                <w:rFonts w:hint="eastAsia"/>
                <w:color w:val="000000" w:themeColor="text1"/>
                <w:lang w:val="en-US" w:eastAsia="zh-CN"/>
                <w14:textFill>
                  <w14:solidFill>
                    <w14:schemeClr w14:val="tx1"/>
                  </w14:solidFill>
                </w14:textFill>
              </w:rPr>
              <w:t>本</w:t>
            </w:r>
            <w:r>
              <w:rPr>
                <w:rFonts w:hint="eastAsia"/>
                <w:color w:val="000000" w:themeColor="text1"/>
                <w14:textFill>
                  <w14:solidFill>
                    <w14:schemeClr w14:val="tx1"/>
                  </w14:solidFill>
                </w14:textFill>
              </w:rPr>
              <w:t>项目营运过程中涉及的</w:t>
            </w:r>
            <w:r>
              <w:rPr>
                <w:rFonts w:hint="eastAsia" w:cstheme="minorBidi"/>
                <w:b w:val="0"/>
                <w:bCs w:val="0"/>
                <w:szCs w:val="22"/>
              </w:rPr>
              <w:t>风险物质</w:t>
            </w:r>
            <w:r>
              <w:rPr>
                <w:rFonts w:hint="eastAsia"/>
                <w:color w:val="000000" w:themeColor="text1"/>
                <w14:textFill>
                  <w14:solidFill>
                    <w14:schemeClr w14:val="tx1"/>
                  </w14:solidFill>
                </w14:textFill>
              </w:rPr>
              <w:t>有汽油、柴油</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废润滑油</w:t>
            </w:r>
            <w:r>
              <w:rPr>
                <w:rFonts w:hint="eastAsia"/>
                <w:color w:val="000000" w:themeColor="text1"/>
                <w14:textFill>
                  <w14:solidFill>
                    <w14:schemeClr w14:val="tx1"/>
                  </w14:solidFill>
                </w14:textFill>
              </w:rPr>
              <w:t>。当</w:t>
            </w:r>
            <w:r>
              <w:rPr>
                <w:rFonts w:hint="eastAsia" w:cstheme="minorBidi"/>
                <w:b w:val="0"/>
                <w:bCs w:val="0"/>
                <w:szCs w:val="22"/>
              </w:rPr>
              <w:t>风险物质</w:t>
            </w:r>
            <w:r>
              <w:t>泄漏或油气蒸发</w:t>
            </w:r>
            <w:r>
              <w:rPr>
                <w:rFonts w:hint="eastAsia"/>
              </w:rPr>
              <w:t>，</w:t>
            </w:r>
            <w:r>
              <w:t>油气与空气</w:t>
            </w:r>
            <w:r>
              <w:rPr>
                <w:rFonts w:hint="eastAsia"/>
                <w:lang w:eastAsia="zh-CN"/>
              </w:rPr>
              <w:t>混合</w:t>
            </w:r>
            <w:r>
              <w:t>并达到一定的浓度</w:t>
            </w:r>
            <w:r>
              <w:rPr>
                <w:rFonts w:hint="eastAsia"/>
              </w:rPr>
              <w:t>且</w:t>
            </w:r>
            <w:r>
              <w:t>现场有明火</w:t>
            </w:r>
            <w:r>
              <w:rPr>
                <w:rFonts w:hint="eastAsia"/>
              </w:rPr>
              <w:t>的情况下，</w:t>
            </w:r>
            <w:r>
              <w:t>可能发生火灾和爆炸</w:t>
            </w:r>
            <w:r>
              <w:rPr>
                <w:rFonts w:hint="eastAsia"/>
                <w:color w:val="000000" w:themeColor="text1"/>
                <w14:textFill>
                  <w14:solidFill>
                    <w14:schemeClr w14:val="tx1"/>
                  </w14:solidFill>
                </w14:textFill>
              </w:rPr>
              <w:t>等引发的伴生/次生污染物排放。</w:t>
            </w:r>
          </w:p>
          <w:p w14:paraId="033C9B1A">
            <w:pPr>
              <w:ind w:firstLine="480"/>
            </w:pPr>
            <w:r>
              <w:rPr>
                <w:rFonts w:hint="eastAsia"/>
              </w:rPr>
              <w:t>（2）环境敏感目标调查</w:t>
            </w:r>
          </w:p>
          <w:p w14:paraId="0A3E16D1">
            <w:pPr>
              <w:ind w:firstLine="480"/>
              <w:rPr>
                <w:rFonts w:cs="等线"/>
                <w:color w:val="000000" w:themeColor="text1"/>
                <w:szCs w:val="20"/>
                <w14:textFill>
                  <w14:solidFill>
                    <w14:schemeClr w14:val="tx1"/>
                  </w14:solidFill>
                </w14:textFill>
              </w:rPr>
            </w:pPr>
            <w:r>
              <w:rPr>
                <w:rFonts w:hint="eastAsia"/>
              </w:rPr>
              <w:t>本项目环境风险评价范围内无自然保护区、风景名胜区、水源地等环境风险敏感目标。</w:t>
            </w:r>
            <w:r>
              <w:rPr>
                <w:rFonts w:hint="eastAsia" w:cs="等线"/>
                <w:color w:val="000000" w:themeColor="text1"/>
                <w:szCs w:val="20"/>
                <w14:textFill>
                  <w14:solidFill>
                    <w14:schemeClr w14:val="tx1"/>
                  </w14:solidFill>
                </w14:textFill>
              </w:rPr>
              <w:t>根据国家</w:t>
            </w:r>
            <w:r>
              <w:rPr>
                <w:rFonts w:hint="eastAsia" w:cs="等线"/>
                <w:color w:val="000000" w:themeColor="text1"/>
                <w:szCs w:val="20"/>
                <w:lang w:val="en-US" w:eastAsia="zh-CN"/>
                <w14:textFill>
                  <w14:solidFill>
                    <w14:schemeClr w14:val="tx1"/>
                  </w14:solidFill>
                </w14:textFill>
              </w:rPr>
              <w:t>生态环境局</w:t>
            </w:r>
            <w:r>
              <w:rPr>
                <w:rFonts w:hint="eastAsia" w:cs="等线"/>
                <w:color w:val="000000" w:themeColor="text1"/>
                <w:szCs w:val="20"/>
                <w14:textFill>
                  <w14:solidFill>
                    <w14:schemeClr w14:val="tx1"/>
                  </w14:solidFill>
                </w14:textFill>
              </w:rPr>
              <w:t>颁发的《建设项目环境风险评价技术导则》（HJ169-2018）要求，本次环境风险评价对通过对厂界周边5km范围内的居民区、医院、学校及其他人口密集场所；厂址周边地表水体及其环境功能、下游环境敏感目标；地下水环境等可能受影响的环境敏感目标进行调查。本项目边界外5km范围内环境敏感点分布情况</w:t>
            </w:r>
            <w:r>
              <w:rPr>
                <w:rFonts w:hint="eastAsia" w:cs="等线"/>
                <w:color w:val="000000" w:themeColor="text1"/>
                <w:szCs w:val="20"/>
                <w:lang w:eastAsia="zh-CN"/>
                <w14:textFill>
                  <w14:solidFill>
                    <w14:schemeClr w14:val="tx1"/>
                  </w14:solidFill>
                </w14:textFill>
              </w:rPr>
              <w:t>，</w:t>
            </w:r>
            <w:r>
              <w:rPr>
                <w:rFonts w:hint="eastAsia" w:cs="等线"/>
                <w:color w:val="000000" w:themeColor="text1"/>
                <w:szCs w:val="20"/>
                <w14:textFill>
                  <w14:solidFill>
                    <w14:schemeClr w14:val="tx1"/>
                  </w14:solidFill>
                </w14:textFill>
              </w:rPr>
              <w:t>详见表</w:t>
            </w:r>
            <w:r>
              <w:rPr>
                <w:rFonts w:hint="eastAsia" w:cs="等线"/>
                <w:color w:val="000000" w:themeColor="text1"/>
                <w:szCs w:val="20"/>
                <w:lang w:val="en-US" w:eastAsia="zh-CN"/>
                <w14:textFill>
                  <w14:solidFill>
                    <w14:schemeClr w14:val="tx1"/>
                  </w14:solidFill>
                </w14:textFill>
              </w:rPr>
              <w:t>4-11</w:t>
            </w:r>
            <w:r>
              <w:rPr>
                <w:rFonts w:hint="eastAsia" w:cs="等线"/>
                <w:color w:val="000000" w:themeColor="text1"/>
                <w:szCs w:val="20"/>
                <w14:textFill>
                  <w14:solidFill>
                    <w14:schemeClr w14:val="tx1"/>
                  </w14:solidFill>
                </w14:textFill>
              </w:rPr>
              <w:t>。</w:t>
            </w:r>
          </w:p>
          <w:p w14:paraId="499EA7D1">
            <w:pPr>
              <w:pStyle w:val="28"/>
              <w:spacing w:before="156"/>
              <w:ind w:firstLine="422"/>
              <w:rPr>
                <w:highlight w:val="none"/>
              </w:rPr>
            </w:pPr>
            <w:r>
              <w:rPr>
                <w:rFonts w:hint="eastAsia"/>
                <w:highlight w:val="none"/>
              </w:rPr>
              <w:t>表</w:t>
            </w:r>
            <w:r>
              <w:rPr>
                <w:rFonts w:hint="eastAsia"/>
                <w:highlight w:val="none"/>
                <w:lang w:val="en-US" w:eastAsia="zh-CN"/>
              </w:rPr>
              <w:t xml:space="preserve">4-11 </w:t>
            </w:r>
            <w:r>
              <w:rPr>
                <w:highlight w:val="none"/>
              </w:rPr>
              <w:t xml:space="preserve"> </w:t>
            </w:r>
            <w:r>
              <w:rPr>
                <w:rFonts w:hint="eastAsia"/>
                <w:highlight w:val="none"/>
              </w:rPr>
              <w:t>建设项目环境敏感特征表</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46"/>
              <w:gridCol w:w="2311"/>
              <w:gridCol w:w="1069"/>
              <w:gridCol w:w="995"/>
              <w:gridCol w:w="77"/>
              <w:gridCol w:w="1191"/>
              <w:gridCol w:w="1192"/>
            </w:tblGrid>
            <w:tr w14:paraId="69F20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38" w:type="dxa"/>
                  <w:tcBorders>
                    <w:tl2br w:val="nil"/>
                    <w:tr2bl w:val="nil"/>
                  </w:tcBorders>
                  <w:vAlign w:val="center"/>
                </w:tcPr>
                <w:p w14:paraId="341F7FA6">
                  <w:pPr>
                    <w:pStyle w:val="32"/>
                    <w:bidi w:val="0"/>
                    <w:rPr>
                      <w:highlight w:val="none"/>
                    </w:rPr>
                  </w:pPr>
                  <w:r>
                    <w:rPr>
                      <w:rFonts w:hint="eastAsia"/>
                      <w:highlight w:val="none"/>
                    </w:rPr>
                    <w:t>类别</w:t>
                  </w:r>
                </w:p>
              </w:tc>
              <w:tc>
                <w:tcPr>
                  <w:tcW w:w="7581" w:type="dxa"/>
                  <w:gridSpan w:val="7"/>
                  <w:tcBorders>
                    <w:tl2br w:val="nil"/>
                    <w:tr2bl w:val="nil"/>
                  </w:tcBorders>
                  <w:vAlign w:val="center"/>
                </w:tcPr>
                <w:p w14:paraId="0D5ED97C">
                  <w:pPr>
                    <w:pStyle w:val="32"/>
                    <w:bidi w:val="0"/>
                    <w:rPr>
                      <w:highlight w:val="none"/>
                    </w:rPr>
                  </w:pPr>
                  <w:r>
                    <w:rPr>
                      <w:rFonts w:hint="eastAsia"/>
                      <w:highlight w:val="none"/>
                    </w:rPr>
                    <w:t>环境敏感特征</w:t>
                  </w:r>
                </w:p>
              </w:tc>
            </w:tr>
            <w:tr w14:paraId="4BD2D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restart"/>
                  <w:tcBorders>
                    <w:tl2br w:val="nil"/>
                    <w:tr2bl w:val="nil"/>
                  </w:tcBorders>
                  <w:vAlign w:val="center"/>
                </w:tcPr>
                <w:p w14:paraId="1EB4C06B">
                  <w:pPr>
                    <w:pStyle w:val="32"/>
                    <w:bidi w:val="0"/>
                    <w:rPr>
                      <w:highlight w:val="none"/>
                    </w:rPr>
                  </w:pPr>
                  <w:r>
                    <w:rPr>
                      <w:rFonts w:hint="eastAsia"/>
                      <w:highlight w:val="none"/>
                    </w:rPr>
                    <w:t>环境空气</w:t>
                  </w:r>
                </w:p>
              </w:tc>
              <w:tc>
                <w:tcPr>
                  <w:tcW w:w="746" w:type="dxa"/>
                  <w:tcBorders>
                    <w:tl2br w:val="nil"/>
                    <w:tr2bl w:val="nil"/>
                  </w:tcBorders>
                  <w:vAlign w:val="center"/>
                </w:tcPr>
                <w:p w14:paraId="382EDA58">
                  <w:pPr>
                    <w:pStyle w:val="32"/>
                    <w:bidi w:val="0"/>
                    <w:rPr>
                      <w:highlight w:val="none"/>
                    </w:rPr>
                  </w:pPr>
                  <w:r>
                    <w:rPr>
                      <w:rFonts w:hint="eastAsia"/>
                      <w:highlight w:val="none"/>
                    </w:rPr>
                    <w:t>序号</w:t>
                  </w:r>
                </w:p>
              </w:tc>
              <w:tc>
                <w:tcPr>
                  <w:tcW w:w="2311" w:type="dxa"/>
                  <w:tcBorders>
                    <w:tl2br w:val="nil"/>
                    <w:tr2bl w:val="nil"/>
                  </w:tcBorders>
                  <w:vAlign w:val="center"/>
                </w:tcPr>
                <w:p w14:paraId="553EF73F">
                  <w:pPr>
                    <w:pStyle w:val="32"/>
                    <w:bidi w:val="0"/>
                    <w:rPr>
                      <w:highlight w:val="none"/>
                    </w:rPr>
                  </w:pPr>
                  <w:r>
                    <w:rPr>
                      <w:rFonts w:hint="eastAsia"/>
                      <w:highlight w:val="none"/>
                    </w:rPr>
                    <w:t>敏感目标名称</w:t>
                  </w:r>
                </w:p>
              </w:tc>
              <w:tc>
                <w:tcPr>
                  <w:tcW w:w="1069" w:type="dxa"/>
                  <w:tcBorders>
                    <w:tl2br w:val="nil"/>
                    <w:tr2bl w:val="nil"/>
                  </w:tcBorders>
                  <w:vAlign w:val="center"/>
                </w:tcPr>
                <w:p w14:paraId="4216F086">
                  <w:pPr>
                    <w:pStyle w:val="32"/>
                    <w:bidi w:val="0"/>
                    <w:rPr>
                      <w:highlight w:val="none"/>
                    </w:rPr>
                  </w:pPr>
                  <w:r>
                    <w:rPr>
                      <w:rFonts w:hint="eastAsia"/>
                      <w:highlight w:val="none"/>
                    </w:rPr>
                    <w:t>相对方位</w:t>
                  </w:r>
                </w:p>
              </w:tc>
              <w:tc>
                <w:tcPr>
                  <w:tcW w:w="995" w:type="dxa"/>
                  <w:tcBorders>
                    <w:tl2br w:val="nil"/>
                    <w:tr2bl w:val="nil"/>
                  </w:tcBorders>
                  <w:vAlign w:val="center"/>
                </w:tcPr>
                <w:p w14:paraId="45EACCB6">
                  <w:pPr>
                    <w:pStyle w:val="32"/>
                    <w:bidi w:val="0"/>
                    <w:rPr>
                      <w:highlight w:val="none"/>
                    </w:rPr>
                  </w:pPr>
                  <w:r>
                    <w:rPr>
                      <w:rFonts w:hint="eastAsia"/>
                      <w:highlight w:val="none"/>
                    </w:rPr>
                    <w:t>距离</w:t>
                  </w:r>
                  <w:r>
                    <w:rPr>
                      <w:highlight w:val="none"/>
                    </w:rPr>
                    <w:t>/m</w:t>
                  </w:r>
                </w:p>
              </w:tc>
              <w:tc>
                <w:tcPr>
                  <w:tcW w:w="1268" w:type="dxa"/>
                  <w:gridSpan w:val="2"/>
                  <w:tcBorders>
                    <w:tl2br w:val="nil"/>
                    <w:tr2bl w:val="nil"/>
                  </w:tcBorders>
                  <w:vAlign w:val="center"/>
                </w:tcPr>
                <w:p w14:paraId="2B088A6F">
                  <w:pPr>
                    <w:pStyle w:val="32"/>
                    <w:bidi w:val="0"/>
                    <w:rPr>
                      <w:highlight w:val="none"/>
                    </w:rPr>
                  </w:pPr>
                  <w:r>
                    <w:rPr>
                      <w:rFonts w:hint="eastAsia"/>
                      <w:highlight w:val="none"/>
                    </w:rPr>
                    <w:t>属性</w:t>
                  </w:r>
                </w:p>
              </w:tc>
              <w:tc>
                <w:tcPr>
                  <w:tcW w:w="1192" w:type="dxa"/>
                  <w:tcBorders>
                    <w:tl2br w:val="nil"/>
                    <w:tr2bl w:val="nil"/>
                  </w:tcBorders>
                  <w:vAlign w:val="center"/>
                </w:tcPr>
                <w:p w14:paraId="277B55CE">
                  <w:pPr>
                    <w:pStyle w:val="32"/>
                    <w:bidi w:val="0"/>
                    <w:rPr>
                      <w:highlight w:val="none"/>
                    </w:rPr>
                  </w:pPr>
                  <w:r>
                    <w:rPr>
                      <w:rFonts w:hint="eastAsia"/>
                      <w:highlight w:val="none"/>
                    </w:rPr>
                    <w:t>人口数</w:t>
                  </w:r>
                </w:p>
              </w:tc>
            </w:tr>
            <w:tr w14:paraId="7D1DF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3B6AFF38">
                  <w:pPr>
                    <w:pStyle w:val="32"/>
                    <w:bidi w:val="0"/>
                    <w:rPr>
                      <w:highlight w:val="none"/>
                    </w:rPr>
                  </w:pPr>
                </w:p>
              </w:tc>
              <w:tc>
                <w:tcPr>
                  <w:tcW w:w="746" w:type="dxa"/>
                  <w:tcBorders>
                    <w:tl2br w:val="nil"/>
                    <w:tr2bl w:val="nil"/>
                  </w:tcBorders>
                  <w:vAlign w:val="center"/>
                </w:tcPr>
                <w:p w14:paraId="1BFACCC1">
                  <w:pPr>
                    <w:pStyle w:val="32"/>
                    <w:bidi w:val="0"/>
                    <w:rPr>
                      <w:highlight w:val="none"/>
                    </w:rPr>
                  </w:pPr>
                  <w:r>
                    <w:rPr>
                      <w:rFonts w:hint="eastAsia"/>
                      <w:highlight w:val="none"/>
                    </w:rPr>
                    <w:t>1</w:t>
                  </w:r>
                </w:p>
              </w:tc>
              <w:tc>
                <w:tcPr>
                  <w:tcW w:w="2311" w:type="dxa"/>
                  <w:tcBorders>
                    <w:tl2br w:val="nil"/>
                    <w:tr2bl w:val="nil"/>
                  </w:tcBorders>
                  <w:vAlign w:val="center"/>
                </w:tcPr>
                <w:p w14:paraId="49CFD8AC">
                  <w:pPr>
                    <w:pStyle w:val="32"/>
                    <w:bidi w:val="0"/>
                    <w:rPr>
                      <w:rFonts w:hint="eastAsia" w:eastAsia="宋体"/>
                      <w:highlight w:val="none"/>
                      <w:lang w:eastAsia="zh-CN"/>
                    </w:rPr>
                  </w:pPr>
                  <w:r>
                    <w:rPr>
                      <w:rFonts w:hint="eastAsia"/>
                      <w:highlight w:val="none"/>
                      <w:lang w:val="en-US" w:eastAsia="zh-CN"/>
                    </w:rPr>
                    <w:t>金地花园</w:t>
                  </w:r>
                </w:p>
              </w:tc>
              <w:tc>
                <w:tcPr>
                  <w:tcW w:w="1069" w:type="dxa"/>
                  <w:tcBorders>
                    <w:tl2br w:val="nil"/>
                    <w:tr2bl w:val="nil"/>
                  </w:tcBorders>
                  <w:vAlign w:val="center"/>
                </w:tcPr>
                <w:p w14:paraId="1A8B5662">
                  <w:pPr>
                    <w:pStyle w:val="32"/>
                    <w:bidi w:val="0"/>
                    <w:rPr>
                      <w:rFonts w:hint="default" w:eastAsia="宋体"/>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2AF225E4">
                  <w:pPr>
                    <w:pStyle w:val="32"/>
                    <w:bidi w:val="0"/>
                    <w:rPr>
                      <w:rFonts w:hint="default" w:eastAsia="宋体"/>
                      <w:highlight w:val="none"/>
                      <w:lang w:val="en-US" w:eastAsia="zh-CN"/>
                    </w:rPr>
                  </w:pPr>
                  <w:r>
                    <w:rPr>
                      <w:rFonts w:hint="eastAsia"/>
                      <w:highlight w:val="none"/>
                      <w:lang w:val="en-US" w:eastAsia="zh-CN"/>
                    </w:rPr>
                    <w:t>2200</w:t>
                  </w:r>
                </w:p>
              </w:tc>
              <w:tc>
                <w:tcPr>
                  <w:tcW w:w="1268" w:type="dxa"/>
                  <w:gridSpan w:val="2"/>
                  <w:tcBorders>
                    <w:tl2br w:val="nil"/>
                    <w:tr2bl w:val="nil"/>
                  </w:tcBorders>
                  <w:vAlign w:val="center"/>
                </w:tcPr>
                <w:p w14:paraId="5D3064CC">
                  <w:pPr>
                    <w:pStyle w:val="32"/>
                    <w:bidi w:val="0"/>
                    <w:rPr>
                      <w:rFonts w:hint="default" w:eastAsia="宋体"/>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6B0B7D4F">
                  <w:pPr>
                    <w:pStyle w:val="32"/>
                    <w:bidi w:val="0"/>
                    <w:rPr>
                      <w:rFonts w:hint="default" w:eastAsia="宋体"/>
                      <w:highlight w:val="none"/>
                      <w:lang w:val="en-US" w:eastAsia="zh-CN"/>
                    </w:rPr>
                  </w:pPr>
                  <w:r>
                    <w:rPr>
                      <w:rFonts w:hint="eastAsia"/>
                      <w:highlight w:val="none"/>
                      <w:lang w:val="en-US" w:eastAsia="zh-CN"/>
                    </w:rPr>
                    <w:t>200</w:t>
                  </w:r>
                </w:p>
              </w:tc>
            </w:tr>
            <w:tr w14:paraId="22EAB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59DC00DF">
                  <w:pPr>
                    <w:pStyle w:val="32"/>
                    <w:bidi w:val="0"/>
                    <w:rPr>
                      <w:highlight w:val="none"/>
                    </w:rPr>
                  </w:pPr>
                </w:p>
              </w:tc>
              <w:tc>
                <w:tcPr>
                  <w:tcW w:w="746" w:type="dxa"/>
                  <w:tcBorders>
                    <w:tl2br w:val="nil"/>
                    <w:tr2bl w:val="nil"/>
                  </w:tcBorders>
                  <w:vAlign w:val="center"/>
                </w:tcPr>
                <w:p w14:paraId="0291BFB9">
                  <w:pPr>
                    <w:pStyle w:val="32"/>
                    <w:bidi w:val="0"/>
                    <w:rPr>
                      <w:rFonts w:hint="eastAsia" w:eastAsia="宋体"/>
                      <w:highlight w:val="none"/>
                      <w:lang w:val="en-US" w:eastAsia="zh-CN"/>
                    </w:rPr>
                  </w:pPr>
                  <w:r>
                    <w:rPr>
                      <w:rFonts w:hint="eastAsia"/>
                      <w:highlight w:val="none"/>
                      <w:lang w:val="en-US" w:eastAsia="zh-CN"/>
                    </w:rPr>
                    <w:t>2</w:t>
                  </w:r>
                </w:p>
              </w:tc>
              <w:tc>
                <w:tcPr>
                  <w:tcW w:w="2311" w:type="dxa"/>
                  <w:tcBorders>
                    <w:tl2br w:val="nil"/>
                    <w:tr2bl w:val="nil"/>
                  </w:tcBorders>
                  <w:vAlign w:val="center"/>
                </w:tcPr>
                <w:p w14:paraId="2CEC12C4">
                  <w:pPr>
                    <w:pStyle w:val="32"/>
                    <w:bidi w:val="0"/>
                    <w:rPr>
                      <w:rFonts w:hint="eastAsia"/>
                      <w:highlight w:val="none"/>
                      <w:lang w:val="en-US" w:eastAsia="zh-CN"/>
                    </w:rPr>
                  </w:pPr>
                  <w:r>
                    <w:rPr>
                      <w:rFonts w:hint="eastAsia"/>
                      <w:highlight w:val="none"/>
                      <w:lang w:val="en-US" w:eastAsia="zh-CN"/>
                    </w:rPr>
                    <w:t>辰兴生活家</w:t>
                  </w:r>
                </w:p>
              </w:tc>
              <w:tc>
                <w:tcPr>
                  <w:tcW w:w="1069" w:type="dxa"/>
                  <w:tcBorders>
                    <w:tl2br w:val="nil"/>
                    <w:tr2bl w:val="nil"/>
                  </w:tcBorders>
                  <w:vAlign w:val="center"/>
                </w:tcPr>
                <w:p w14:paraId="630605E8">
                  <w:pPr>
                    <w:pStyle w:val="32"/>
                    <w:bidi w:val="0"/>
                    <w:rPr>
                      <w:rFonts w:hint="eastAsia"/>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3E437A03">
                  <w:pPr>
                    <w:pStyle w:val="32"/>
                    <w:bidi w:val="0"/>
                    <w:rPr>
                      <w:rFonts w:hint="default"/>
                      <w:highlight w:val="none"/>
                      <w:lang w:val="en-US" w:eastAsia="zh-CN"/>
                    </w:rPr>
                  </w:pPr>
                  <w:r>
                    <w:rPr>
                      <w:rFonts w:hint="eastAsia"/>
                      <w:highlight w:val="none"/>
                      <w:lang w:val="en-US" w:eastAsia="zh-CN"/>
                    </w:rPr>
                    <w:t>3300</w:t>
                  </w:r>
                </w:p>
              </w:tc>
              <w:tc>
                <w:tcPr>
                  <w:tcW w:w="1268" w:type="dxa"/>
                  <w:gridSpan w:val="2"/>
                  <w:tcBorders>
                    <w:tl2br w:val="nil"/>
                    <w:tr2bl w:val="nil"/>
                  </w:tcBorders>
                  <w:vAlign w:val="center"/>
                </w:tcPr>
                <w:p w14:paraId="63CE3AE5">
                  <w:pPr>
                    <w:pStyle w:val="32"/>
                    <w:bidi w:val="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33E66FC6">
                  <w:pPr>
                    <w:pStyle w:val="32"/>
                    <w:bidi w:val="0"/>
                    <w:rPr>
                      <w:rFonts w:hint="default"/>
                      <w:highlight w:val="none"/>
                      <w:lang w:val="en-US" w:eastAsia="zh-CN"/>
                    </w:rPr>
                  </w:pPr>
                  <w:r>
                    <w:rPr>
                      <w:rFonts w:hint="eastAsia"/>
                      <w:highlight w:val="none"/>
                      <w:lang w:val="en-US" w:eastAsia="zh-CN"/>
                    </w:rPr>
                    <w:t>200</w:t>
                  </w:r>
                </w:p>
              </w:tc>
            </w:tr>
            <w:tr w14:paraId="31D40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157F782E">
                  <w:pPr>
                    <w:pStyle w:val="32"/>
                    <w:bidi w:val="0"/>
                    <w:rPr>
                      <w:highlight w:val="none"/>
                    </w:rPr>
                  </w:pPr>
                </w:p>
              </w:tc>
              <w:tc>
                <w:tcPr>
                  <w:tcW w:w="746" w:type="dxa"/>
                  <w:tcBorders>
                    <w:tl2br w:val="nil"/>
                    <w:tr2bl w:val="nil"/>
                  </w:tcBorders>
                  <w:vAlign w:val="center"/>
                </w:tcPr>
                <w:p w14:paraId="21D8554F">
                  <w:pPr>
                    <w:pStyle w:val="32"/>
                    <w:bidi w:val="0"/>
                    <w:rPr>
                      <w:rFonts w:hint="eastAsia" w:eastAsia="宋体"/>
                      <w:highlight w:val="none"/>
                      <w:lang w:val="en-US" w:eastAsia="zh-CN"/>
                    </w:rPr>
                  </w:pPr>
                  <w:r>
                    <w:rPr>
                      <w:rFonts w:hint="eastAsia"/>
                      <w:highlight w:val="none"/>
                      <w:lang w:val="en-US" w:eastAsia="zh-CN"/>
                    </w:rPr>
                    <w:t>3</w:t>
                  </w:r>
                </w:p>
              </w:tc>
              <w:tc>
                <w:tcPr>
                  <w:tcW w:w="2311" w:type="dxa"/>
                  <w:tcBorders>
                    <w:tl2br w:val="nil"/>
                    <w:tr2bl w:val="nil"/>
                  </w:tcBorders>
                  <w:vAlign w:val="center"/>
                </w:tcPr>
                <w:p w14:paraId="2C15424F">
                  <w:pPr>
                    <w:pStyle w:val="32"/>
                    <w:bidi w:val="0"/>
                    <w:rPr>
                      <w:rFonts w:hint="eastAsia"/>
                      <w:highlight w:val="none"/>
                      <w:lang w:val="en-US" w:eastAsia="zh-CN"/>
                    </w:rPr>
                  </w:pPr>
                  <w:r>
                    <w:rPr>
                      <w:rFonts w:hint="eastAsia"/>
                      <w:highlight w:val="none"/>
                      <w:lang w:val="en-US" w:eastAsia="zh-CN"/>
                    </w:rPr>
                    <w:t>星凯城</w:t>
                  </w:r>
                </w:p>
              </w:tc>
              <w:tc>
                <w:tcPr>
                  <w:tcW w:w="1069" w:type="dxa"/>
                  <w:tcBorders>
                    <w:tl2br w:val="nil"/>
                    <w:tr2bl w:val="nil"/>
                  </w:tcBorders>
                  <w:vAlign w:val="center"/>
                </w:tcPr>
                <w:p w14:paraId="74509F10">
                  <w:pPr>
                    <w:pStyle w:val="32"/>
                    <w:bidi w:val="0"/>
                    <w:rPr>
                      <w:rFonts w:hint="eastAsia"/>
                      <w:highlight w:val="none"/>
                      <w:lang w:val="en-US" w:eastAsia="zh-CN"/>
                    </w:rPr>
                  </w:pPr>
                  <w:r>
                    <w:rPr>
                      <w:rFonts w:hint="eastAsia"/>
                      <w:highlight w:val="none"/>
                      <w:lang w:val="en-US" w:eastAsia="zh-CN"/>
                    </w:rPr>
                    <w:t>南侧</w:t>
                  </w:r>
                </w:p>
              </w:tc>
              <w:tc>
                <w:tcPr>
                  <w:tcW w:w="995" w:type="dxa"/>
                  <w:tcBorders>
                    <w:tl2br w:val="nil"/>
                    <w:tr2bl w:val="nil"/>
                  </w:tcBorders>
                  <w:vAlign w:val="center"/>
                </w:tcPr>
                <w:p w14:paraId="45F0B4E6">
                  <w:pPr>
                    <w:pStyle w:val="32"/>
                    <w:bidi w:val="0"/>
                    <w:rPr>
                      <w:rFonts w:hint="default"/>
                      <w:highlight w:val="none"/>
                      <w:lang w:val="en-US" w:eastAsia="zh-CN"/>
                    </w:rPr>
                  </w:pPr>
                  <w:r>
                    <w:rPr>
                      <w:rFonts w:hint="eastAsia"/>
                      <w:highlight w:val="none"/>
                      <w:lang w:val="en-US" w:eastAsia="zh-CN"/>
                    </w:rPr>
                    <w:t>2700</w:t>
                  </w:r>
                </w:p>
              </w:tc>
              <w:tc>
                <w:tcPr>
                  <w:tcW w:w="1268" w:type="dxa"/>
                  <w:gridSpan w:val="2"/>
                  <w:tcBorders>
                    <w:tl2br w:val="nil"/>
                    <w:tr2bl w:val="nil"/>
                  </w:tcBorders>
                  <w:vAlign w:val="center"/>
                </w:tcPr>
                <w:p w14:paraId="2BB0A9E2">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49EB6AD7">
                  <w:pPr>
                    <w:pStyle w:val="32"/>
                    <w:bidi w:val="0"/>
                    <w:rPr>
                      <w:rFonts w:hint="default"/>
                      <w:highlight w:val="none"/>
                      <w:lang w:val="en-US" w:eastAsia="zh-CN"/>
                    </w:rPr>
                  </w:pPr>
                  <w:r>
                    <w:rPr>
                      <w:rFonts w:hint="eastAsia"/>
                      <w:highlight w:val="none"/>
                      <w:lang w:val="en-US" w:eastAsia="zh-CN"/>
                    </w:rPr>
                    <w:t>200</w:t>
                  </w:r>
                </w:p>
              </w:tc>
            </w:tr>
            <w:tr w14:paraId="37AA5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2375E322">
                  <w:pPr>
                    <w:pStyle w:val="32"/>
                    <w:bidi w:val="0"/>
                    <w:rPr>
                      <w:highlight w:val="none"/>
                    </w:rPr>
                  </w:pPr>
                </w:p>
              </w:tc>
              <w:tc>
                <w:tcPr>
                  <w:tcW w:w="746" w:type="dxa"/>
                  <w:tcBorders>
                    <w:tl2br w:val="nil"/>
                    <w:tr2bl w:val="nil"/>
                  </w:tcBorders>
                  <w:vAlign w:val="center"/>
                </w:tcPr>
                <w:p w14:paraId="70AA763B">
                  <w:pPr>
                    <w:pStyle w:val="32"/>
                    <w:bidi w:val="0"/>
                    <w:rPr>
                      <w:rFonts w:hint="eastAsia" w:eastAsia="宋体"/>
                      <w:highlight w:val="none"/>
                      <w:lang w:val="en-US" w:eastAsia="zh-CN"/>
                    </w:rPr>
                  </w:pPr>
                  <w:r>
                    <w:rPr>
                      <w:rFonts w:hint="eastAsia"/>
                      <w:highlight w:val="none"/>
                      <w:lang w:val="en-US" w:eastAsia="zh-CN"/>
                    </w:rPr>
                    <w:t>4</w:t>
                  </w:r>
                </w:p>
              </w:tc>
              <w:tc>
                <w:tcPr>
                  <w:tcW w:w="2311" w:type="dxa"/>
                  <w:tcBorders>
                    <w:tl2br w:val="nil"/>
                    <w:tr2bl w:val="nil"/>
                  </w:tcBorders>
                  <w:vAlign w:val="center"/>
                </w:tcPr>
                <w:p w14:paraId="3F71B046">
                  <w:pPr>
                    <w:pStyle w:val="32"/>
                    <w:bidi w:val="0"/>
                    <w:rPr>
                      <w:rFonts w:hint="eastAsia"/>
                      <w:highlight w:val="none"/>
                      <w:lang w:val="en-US" w:eastAsia="zh-CN"/>
                    </w:rPr>
                  </w:pPr>
                  <w:r>
                    <w:rPr>
                      <w:rFonts w:hint="eastAsia"/>
                      <w:highlight w:val="none"/>
                      <w:lang w:val="en-US" w:eastAsia="zh-CN"/>
                    </w:rPr>
                    <w:t>翰唐锦庭</w:t>
                  </w:r>
                </w:p>
              </w:tc>
              <w:tc>
                <w:tcPr>
                  <w:tcW w:w="1069" w:type="dxa"/>
                  <w:tcBorders>
                    <w:tl2br w:val="nil"/>
                    <w:tr2bl w:val="nil"/>
                  </w:tcBorders>
                  <w:vAlign w:val="center"/>
                </w:tcPr>
                <w:p w14:paraId="26828FC3">
                  <w:pPr>
                    <w:pStyle w:val="32"/>
                    <w:bidi w:val="0"/>
                    <w:rPr>
                      <w:rFonts w:hint="eastAsia"/>
                      <w:highlight w:val="none"/>
                      <w:lang w:val="en-US" w:eastAsia="zh-CN"/>
                    </w:rPr>
                  </w:pPr>
                  <w:r>
                    <w:rPr>
                      <w:rFonts w:hint="eastAsia"/>
                      <w:highlight w:val="none"/>
                      <w:lang w:val="en-US" w:eastAsia="zh-CN"/>
                    </w:rPr>
                    <w:t>南侧</w:t>
                  </w:r>
                </w:p>
              </w:tc>
              <w:tc>
                <w:tcPr>
                  <w:tcW w:w="995" w:type="dxa"/>
                  <w:tcBorders>
                    <w:tl2br w:val="nil"/>
                    <w:tr2bl w:val="nil"/>
                  </w:tcBorders>
                  <w:vAlign w:val="center"/>
                </w:tcPr>
                <w:p w14:paraId="65F5D173">
                  <w:pPr>
                    <w:pStyle w:val="32"/>
                    <w:bidi w:val="0"/>
                    <w:rPr>
                      <w:rFonts w:hint="default"/>
                      <w:highlight w:val="none"/>
                      <w:lang w:val="en-US" w:eastAsia="zh-CN"/>
                    </w:rPr>
                  </w:pPr>
                  <w:r>
                    <w:rPr>
                      <w:rFonts w:hint="eastAsia"/>
                      <w:highlight w:val="none"/>
                      <w:lang w:val="en-US" w:eastAsia="zh-CN"/>
                    </w:rPr>
                    <w:t>3000</w:t>
                  </w:r>
                </w:p>
              </w:tc>
              <w:tc>
                <w:tcPr>
                  <w:tcW w:w="1268" w:type="dxa"/>
                  <w:gridSpan w:val="2"/>
                  <w:tcBorders>
                    <w:tl2br w:val="nil"/>
                    <w:tr2bl w:val="nil"/>
                  </w:tcBorders>
                  <w:vAlign w:val="center"/>
                </w:tcPr>
                <w:p w14:paraId="663E768E">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1FDC1AE4">
                  <w:pPr>
                    <w:pStyle w:val="32"/>
                    <w:bidi w:val="0"/>
                    <w:rPr>
                      <w:rFonts w:hint="default"/>
                      <w:highlight w:val="none"/>
                      <w:lang w:val="en-US" w:eastAsia="zh-CN"/>
                    </w:rPr>
                  </w:pPr>
                  <w:r>
                    <w:rPr>
                      <w:rFonts w:hint="eastAsia"/>
                      <w:highlight w:val="none"/>
                      <w:lang w:val="en-US" w:eastAsia="zh-CN"/>
                    </w:rPr>
                    <w:t>200</w:t>
                  </w:r>
                </w:p>
              </w:tc>
            </w:tr>
            <w:tr w14:paraId="358A9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3DAB9769">
                  <w:pPr>
                    <w:pStyle w:val="32"/>
                    <w:bidi w:val="0"/>
                    <w:rPr>
                      <w:highlight w:val="none"/>
                    </w:rPr>
                  </w:pPr>
                </w:p>
              </w:tc>
              <w:tc>
                <w:tcPr>
                  <w:tcW w:w="746" w:type="dxa"/>
                  <w:tcBorders>
                    <w:tl2br w:val="nil"/>
                    <w:tr2bl w:val="nil"/>
                  </w:tcBorders>
                  <w:vAlign w:val="center"/>
                </w:tcPr>
                <w:p w14:paraId="60913BEF">
                  <w:pPr>
                    <w:pStyle w:val="32"/>
                    <w:bidi w:val="0"/>
                    <w:rPr>
                      <w:rFonts w:hint="eastAsia" w:eastAsia="宋体"/>
                      <w:highlight w:val="none"/>
                      <w:lang w:val="en-US" w:eastAsia="zh-CN"/>
                    </w:rPr>
                  </w:pPr>
                  <w:r>
                    <w:rPr>
                      <w:rFonts w:hint="eastAsia"/>
                      <w:highlight w:val="none"/>
                      <w:lang w:val="en-US" w:eastAsia="zh-CN"/>
                    </w:rPr>
                    <w:t>5</w:t>
                  </w:r>
                </w:p>
              </w:tc>
              <w:tc>
                <w:tcPr>
                  <w:tcW w:w="2311" w:type="dxa"/>
                  <w:tcBorders>
                    <w:tl2br w:val="nil"/>
                    <w:tr2bl w:val="nil"/>
                  </w:tcBorders>
                  <w:vAlign w:val="center"/>
                </w:tcPr>
                <w:p w14:paraId="068AC08C">
                  <w:pPr>
                    <w:pStyle w:val="32"/>
                    <w:bidi w:val="0"/>
                    <w:rPr>
                      <w:rFonts w:hint="default"/>
                      <w:highlight w:val="none"/>
                      <w:lang w:val="en-US" w:eastAsia="zh-CN"/>
                    </w:rPr>
                  </w:pPr>
                  <w:r>
                    <w:rPr>
                      <w:rFonts w:hint="eastAsia"/>
                      <w:highlight w:val="none"/>
                      <w:lang w:val="en-US" w:eastAsia="zh-CN"/>
                    </w:rPr>
                    <w:t>工三团十队</w:t>
                  </w:r>
                </w:p>
              </w:tc>
              <w:tc>
                <w:tcPr>
                  <w:tcW w:w="1069" w:type="dxa"/>
                  <w:tcBorders>
                    <w:tl2br w:val="nil"/>
                    <w:tr2bl w:val="nil"/>
                  </w:tcBorders>
                  <w:vAlign w:val="center"/>
                </w:tcPr>
                <w:p w14:paraId="1ED200D6">
                  <w:pPr>
                    <w:pStyle w:val="32"/>
                    <w:bidi w:val="0"/>
                    <w:rPr>
                      <w:rFonts w:hint="default"/>
                      <w:highlight w:val="none"/>
                      <w:lang w:val="en-US" w:eastAsia="zh-CN"/>
                    </w:rPr>
                  </w:pPr>
                  <w:r>
                    <w:rPr>
                      <w:rFonts w:hint="eastAsia"/>
                      <w:highlight w:val="none"/>
                      <w:lang w:val="en-US" w:eastAsia="zh-CN"/>
                    </w:rPr>
                    <w:t>西侧</w:t>
                  </w:r>
                </w:p>
              </w:tc>
              <w:tc>
                <w:tcPr>
                  <w:tcW w:w="995" w:type="dxa"/>
                  <w:tcBorders>
                    <w:tl2br w:val="nil"/>
                    <w:tr2bl w:val="nil"/>
                  </w:tcBorders>
                  <w:vAlign w:val="center"/>
                </w:tcPr>
                <w:p w14:paraId="798533FE">
                  <w:pPr>
                    <w:pStyle w:val="32"/>
                    <w:bidi w:val="0"/>
                    <w:rPr>
                      <w:rFonts w:hint="default"/>
                      <w:highlight w:val="none"/>
                      <w:lang w:val="en-US" w:eastAsia="zh-CN"/>
                    </w:rPr>
                  </w:pPr>
                  <w:r>
                    <w:rPr>
                      <w:rFonts w:hint="eastAsia"/>
                      <w:highlight w:val="none"/>
                      <w:lang w:val="en-US" w:eastAsia="zh-CN"/>
                    </w:rPr>
                    <w:t>3300</w:t>
                  </w:r>
                </w:p>
              </w:tc>
              <w:tc>
                <w:tcPr>
                  <w:tcW w:w="1268" w:type="dxa"/>
                  <w:gridSpan w:val="2"/>
                  <w:tcBorders>
                    <w:tl2br w:val="nil"/>
                    <w:tr2bl w:val="nil"/>
                  </w:tcBorders>
                  <w:vAlign w:val="center"/>
                </w:tcPr>
                <w:p w14:paraId="450FF46B">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786F1638">
                  <w:pPr>
                    <w:pStyle w:val="32"/>
                    <w:bidi w:val="0"/>
                    <w:rPr>
                      <w:rFonts w:hint="default"/>
                      <w:highlight w:val="none"/>
                      <w:lang w:val="en-US" w:eastAsia="zh-CN"/>
                    </w:rPr>
                  </w:pPr>
                  <w:r>
                    <w:rPr>
                      <w:rFonts w:hint="eastAsia"/>
                      <w:highlight w:val="none"/>
                      <w:lang w:val="en-US" w:eastAsia="zh-CN"/>
                    </w:rPr>
                    <w:t>200</w:t>
                  </w:r>
                </w:p>
              </w:tc>
            </w:tr>
            <w:tr w14:paraId="041E8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5E68C80C">
                  <w:pPr>
                    <w:pStyle w:val="32"/>
                    <w:bidi w:val="0"/>
                    <w:rPr>
                      <w:highlight w:val="none"/>
                    </w:rPr>
                  </w:pPr>
                </w:p>
              </w:tc>
              <w:tc>
                <w:tcPr>
                  <w:tcW w:w="746" w:type="dxa"/>
                  <w:tcBorders>
                    <w:tl2br w:val="nil"/>
                    <w:tr2bl w:val="nil"/>
                  </w:tcBorders>
                  <w:vAlign w:val="center"/>
                </w:tcPr>
                <w:p w14:paraId="055F34B4">
                  <w:pPr>
                    <w:pStyle w:val="32"/>
                    <w:bidi w:val="0"/>
                    <w:rPr>
                      <w:rFonts w:hint="eastAsia" w:eastAsia="宋体"/>
                      <w:highlight w:val="none"/>
                      <w:lang w:val="en-US" w:eastAsia="zh-CN"/>
                    </w:rPr>
                  </w:pPr>
                  <w:r>
                    <w:rPr>
                      <w:rFonts w:hint="eastAsia"/>
                      <w:highlight w:val="none"/>
                      <w:lang w:val="en-US" w:eastAsia="zh-CN"/>
                    </w:rPr>
                    <w:t>6</w:t>
                  </w:r>
                </w:p>
              </w:tc>
              <w:tc>
                <w:tcPr>
                  <w:tcW w:w="2311" w:type="dxa"/>
                  <w:tcBorders>
                    <w:tl2br w:val="nil"/>
                    <w:tr2bl w:val="nil"/>
                  </w:tcBorders>
                  <w:vAlign w:val="center"/>
                </w:tcPr>
                <w:p w14:paraId="74277A29">
                  <w:pPr>
                    <w:pStyle w:val="32"/>
                    <w:bidi w:val="0"/>
                    <w:rPr>
                      <w:rFonts w:hint="default"/>
                      <w:highlight w:val="none"/>
                      <w:lang w:val="en-US" w:eastAsia="zh-CN"/>
                    </w:rPr>
                  </w:pPr>
                  <w:r>
                    <w:rPr>
                      <w:rFonts w:hint="eastAsia"/>
                      <w:highlight w:val="none"/>
                      <w:lang w:val="en-US" w:eastAsia="zh-CN"/>
                    </w:rPr>
                    <w:t>工三团九队</w:t>
                  </w:r>
                </w:p>
              </w:tc>
              <w:tc>
                <w:tcPr>
                  <w:tcW w:w="1069" w:type="dxa"/>
                  <w:tcBorders>
                    <w:tl2br w:val="nil"/>
                    <w:tr2bl w:val="nil"/>
                  </w:tcBorders>
                  <w:vAlign w:val="center"/>
                </w:tcPr>
                <w:p w14:paraId="4F7A7EF7">
                  <w:pPr>
                    <w:pStyle w:val="32"/>
                    <w:bidi w:val="0"/>
                    <w:rPr>
                      <w:rFonts w:hint="eastAsia"/>
                      <w:highlight w:val="none"/>
                      <w:lang w:val="en-US" w:eastAsia="zh-CN"/>
                    </w:rPr>
                  </w:pPr>
                  <w:r>
                    <w:rPr>
                      <w:rFonts w:hint="eastAsia"/>
                      <w:highlight w:val="none"/>
                      <w:lang w:val="en-US" w:eastAsia="zh-CN"/>
                    </w:rPr>
                    <w:t>西侧</w:t>
                  </w:r>
                </w:p>
              </w:tc>
              <w:tc>
                <w:tcPr>
                  <w:tcW w:w="995" w:type="dxa"/>
                  <w:tcBorders>
                    <w:tl2br w:val="nil"/>
                    <w:tr2bl w:val="nil"/>
                  </w:tcBorders>
                  <w:vAlign w:val="center"/>
                </w:tcPr>
                <w:p w14:paraId="0C3F53CA">
                  <w:pPr>
                    <w:pStyle w:val="32"/>
                    <w:bidi w:val="0"/>
                    <w:rPr>
                      <w:rFonts w:hint="default"/>
                      <w:highlight w:val="none"/>
                      <w:lang w:val="en-US" w:eastAsia="zh-CN"/>
                    </w:rPr>
                  </w:pPr>
                  <w:r>
                    <w:rPr>
                      <w:rFonts w:hint="eastAsia"/>
                      <w:highlight w:val="none"/>
                      <w:lang w:val="en-US" w:eastAsia="zh-CN"/>
                    </w:rPr>
                    <w:t>4000</w:t>
                  </w:r>
                </w:p>
              </w:tc>
              <w:tc>
                <w:tcPr>
                  <w:tcW w:w="1268" w:type="dxa"/>
                  <w:gridSpan w:val="2"/>
                  <w:tcBorders>
                    <w:tl2br w:val="nil"/>
                    <w:tr2bl w:val="nil"/>
                  </w:tcBorders>
                  <w:vAlign w:val="center"/>
                </w:tcPr>
                <w:p w14:paraId="1A602EDF">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3E05812D">
                  <w:pPr>
                    <w:pStyle w:val="32"/>
                    <w:bidi w:val="0"/>
                    <w:rPr>
                      <w:rFonts w:hint="default"/>
                      <w:highlight w:val="none"/>
                      <w:lang w:val="en-US" w:eastAsia="zh-CN"/>
                    </w:rPr>
                  </w:pPr>
                  <w:r>
                    <w:rPr>
                      <w:rFonts w:hint="eastAsia"/>
                      <w:highlight w:val="none"/>
                      <w:lang w:val="en-US" w:eastAsia="zh-CN"/>
                    </w:rPr>
                    <w:t>200</w:t>
                  </w:r>
                </w:p>
              </w:tc>
            </w:tr>
            <w:tr w14:paraId="4F93B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1EB96C2F">
                  <w:pPr>
                    <w:pStyle w:val="32"/>
                    <w:bidi w:val="0"/>
                    <w:rPr>
                      <w:highlight w:val="none"/>
                    </w:rPr>
                  </w:pPr>
                </w:p>
              </w:tc>
              <w:tc>
                <w:tcPr>
                  <w:tcW w:w="746" w:type="dxa"/>
                  <w:tcBorders>
                    <w:tl2br w:val="nil"/>
                    <w:tr2bl w:val="nil"/>
                  </w:tcBorders>
                  <w:vAlign w:val="center"/>
                </w:tcPr>
                <w:p w14:paraId="165C2D68">
                  <w:pPr>
                    <w:pStyle w:val="32"/>
                    <w:bidi w:val="0"/>
                    <w:rPr>
                      <w:rFonts w:hint="default" w:eastAsia="宋体"/>
                      <w:highlight w:val="none"/>
                      <w:lang w:val="en-US" w:eastAsia="zh-CN"/>
                    </w:rPr>
                  </w:pPr>
                  <w:r>
                    <w:rPr>
                      <w:rFonts w:hint="eastAsia"/>
                      <w:highlight w:val="none"/>
                      <w:lang w:val="en-US" w:eastAsia="zh-CN"/>
                    </w:rPr>
                    <w:t>7</w:t>
                  </w:r>
                </w:p>
              </w:tc>
              <w:tc>
                <w:tcPr>
                  <w:tcW w:w="2311" w:type="dxa"/>
                  <w:tcBorders>
                    <w:tl2br w:val="nil"/>
                    <w:tr2bl w:val="nil"/>
                  </w:tcBorders>
                  <w:vAlign w:val="center"/>
                </w:tcPr>
                <w:p w14:paraId="44703EF1">
                  <w:pPr>
                    <w:pStyle w:val="32"/>
                    <w:bidi w:val="0"/>
                    <w:rPr>
                      <w:rFonts w:hint="default"/>
                      <w:highlight w:val="none"/>
                      <w:lang w:val="en-US" w:eastAsia="zh-CN"/>
                    </w:rPr>
                  </w:pPr>
                  <w:r>
                    <w:rPr>
                      <w:rFonts w:hint="eastAsia"/>
                      <w:highlight w:val="none"/>
                      <w:lang w:val="en-US" w:eastAsia="zh-CN"/>
                    </w:rPr>
                    <w:t>丁香雅居</w:t>
                  </w:r>
                </w:p>
              </w:tc>
              <w:tc>
                <w:tcPr>
                  <w:tcW w:w="1069" w:type="dxa"/>
                  <w:tcBorders>
                    <w:tl2br w:val="nil"/>
                    <w:tr2bl w:val="nil"/>
                  </w:tcBorders>
                  <w:vAlign w:val="center"/>
                </w:tcPr>
                <w:p w14:paraId="714C8A5F">
                  <w:pPr>
                    <w:pStyle w:val="32"/>
                    <w:bidi w:val="0"/>
                    <w:rPr>
                      <w:rFonts w:hint="eastAsia"/>
                      <w:highlight w:val="none"/>
                      <w:lang w:val="en-US" w:eastAsia="zh-CN"/>
                    </w:rPr>
                  </w:pPr>
                  <w:r>
                    <w:rPr>
                      <w:rFonts w:hint="eastAsia"/>
                      <w:highlight w:val="none"/>
                      <w:lang w:val="en-US" w:eastAsia="zh-CN"/>
                    </w:rPr>
                    <w:t>西侧</w:t>
                  </w:r>
                </w:p>
              </w:tc>
              <w:tc>
                <w:tcPr>
                  <w:tcW w:w="995" w:type="dxa"/>
                  <w:tcBorders>
                    <w:tl2br w:val="nil"/>
                    <w:tr2bl w:val="nil"/>
                  </w:tcBorders>
                  <w:vAlign w:val="center"/>
                </w:tcPr>
                <w:p w14:paraId="2ACD6B37">
                  <w:pPr>
                    <w:pStyle w:val="32"/>
                    <w:bidi w:val="0"/>
                    <w:rPr>
                      <w:rFonts w:hint="default"/>
                      <w:highlight w:val="none"/>
                      <w:lang w:val="en-US" w:eastAsia="zh-CN"/>
                    </w:rPr>
                  </w:pPr>
                  <w:r>
                    <w:rPr>
                      <w:rFonts w:hint="eastAsia"/>
                      <w:highlight w:val="none"/>
                      <w:lang w:val="en-US" w:eastAsia="zh-CN"/>
                    </w:rPr>
                    <w:t>4200</w:t>
                  </w:r>
                </w:p>
              </w:tc>
              <w:tc>
                <w:tcPr>
                  <w:tcW w:w="1268" w:type="dxa"/>
                  <w:gridSpan w:val="2"/>
                  <w:tcBorders>
                    <w:tl2br w:val="nil"/>
                    <w:tr2bl w:val="nil"/>
                  </w:tcBorders>
                  <w:vAlign w:val="center"/>
                </w:tcPr>
                <w:p w14:paraId="6795A1A0">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6E68F6DE">
                  <w:pPr>
                    <w:pStyle w:val="32"/>
                    <w:bidi w:val="0"/>
                    <w:rPr>
                      <w:rFonts w:hint="default"/>
                      <w:highlight w:val="none"/>
                      <w:lang w:val="en-US" w:eastAsia="zh-CN"/>
                    </w:rPr>
                  </w:pPr>
                  <w:r>
                    <w:rPr>
                      <w:rFonts w:hint="eastAsia"/>
                      <w:highlight w:val="none"/>
                      <w:lang w:val="en-US" w:eastAsia="zh-CN"/>
                    </w:rPr>
                    <w:t>300</w:t>
                  </w:r>
                </w:p>
              </w:tc>
            </w:tr>
            <w:tr w14:paraId="7EC6D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18EA9EBB">
                  <w:pPr>
                    <w:pStyle w:val="32"/>
                    <w:bidi w:val="0"/>
                    <w:rPr>
                      <w:highlight w:val="none"/>
                    </w:rPr>
                  </w:pPr>
                </w:p>
              </w:tc>
              <w:tc>
                <w:tcPr>
                  <w:tcW w:w="746" w:type="dxa"/>
                  <w:tcBorders>
                    <w:tl2br w:val="nil"/>
                    <w:tr2bl w:val="nil"/>
                  </w:tcBorders>
                  <w:vAlign w:val="center"/>
                </w:tcPr>
                <w:p w14:paraId="5A5FEC33">
                  <w:pPr>
                    <w:pStyle w:val="32"/>
                    <w:bidi w:val="0"/>
                    <w:rPr>
                      <w:rFonts w:hint="eastAsia" w:eastAsia="宋体"/>
                      <w:highlight w:val="none"/>
                      <w:lang w:val="en-US" w:eastAsia="zh-CN"/>
                    </w:rPr>
                  </w:pPr>
                  <w:r>
                    <w:rPr>
                      <w:rFonts w:hint="eastAsia"/>
                      <w:highlight w:val="none"/>
                      <w:lang w:val="en-US" w:eastAsia="zh-CN"/>
                    </w:rPr>
                    <w:t>8</w:t>
                  </w:r>
                </w:p>
              </w:tc>
              <w:tc>
                <w:tcPr>
                  <w:tcW w:w="2311" w:type="dxa"/>
                  <w:tcBorders>
                    <w:tl2br w:val="nil"/>
                    <w:tr2bl w:val="nil"/>
                  </w:tcBorders>
                  <w:vAlign w:val="center"/>
                </w:tcPr>
                <w:p w14:paraId="630DC220">
                  <w:pPr>
                    <w:pStyle w:val="32"/>
                    <w:bidi w:val="0"/>
                    <w:rPr>
                      <w:rFonts w:hint="default"/>
                      <w:highlight w:val="none"/>
                      <w:lang w:val="en-US" w:eastAsia="zh-CN"/>
                    </w:rPr>
                  </w:pPr>
                  <w:r>
                    <w:rPr>
                      <w:rFonts w:hint="eastAsia"/>
                      <w:highlight w:val="none"/>
                      <w:lang w:val="en-US" w:eastAsia="zh-CN"/>
                    </w:rPr>
                    <w:t>溪居园</w:t>
                  </w:r>
                </w:p>
              </w:tc>
              <w:tc>
                <w:tcPr>
                  <w:tcW w:w="1069" w:type="dxa"/>
                  <w:tcBorders>
                    <w:tl2br w:val="nil"/>
                    <w:tr2bl w:val="nil"/>
                  </w:tcBorders>
                  <w:vAlign w:val="center"/>
                </w:tcPr>
                <w:p w14:paraId="47C1E54C">
                  <w:pPr>
                    <w:pStyle w:val="32"/>
                    <w:bidi w:val="0"/>
                    <w:rPr>
                      <w:rFonts w:hint="default"/>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6BA4A7BD">
                  <w:pPr>
                    <w:pStyle w:val="32"/>
                    <w:bidi w:val="0"/>
                    <w:rPr>
                      <w:rFonts w:hint="default"/>
                      <w:highlight w:val="none"/>
                      <w:lang w:val="en-US" w:eastAsia="zh-CN"/>
                    </w:rPr>
                  </w:pPr>
                  <w:r>
                    <w:rPr>
                      <w:rFonts w:hint="eastAsia"/>
                      <w:highlight w:val="none"/>
                      <w:lang w:val="en-US" w:eastAsia="zh-CN"/>
                    </w:rPr>
                    <w:t>2700</w:t>
                  </w:r>
                </w:p>
              </w:tc>
              <w:tc>
                <w:tcPr>
                  <w:tcW w:w="1268" w:type="dxa"/>
                  <w:gridSpan w:val="2"/>
                  <w:tcBorders>
                    <w:tl2br w:val="nil"/>
                    <w:tr2bl w:val="nil"/>
                  </w:tcBorders>
                  <w:vAlign w:val="center"/>
                </w:tcPr>
                <w:p w14:paraId="6376691C">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02B0C353">
                  <w:pPr>
                    <w:pStyle w:val="32"/>
                    <w:bidi w:val="0"/>
                    <w:rPr>
                      <w:rFonts w:hint="default"/>
                      <w:highlight w:val="none"/>
                      <w:lang w:val="en-US" w:eastAsia="zh-CN"/>
                    </w:rPr>
                  </w:pPr>
                  <w:r>
                    <w:rPr>
                      <w:rFonts w:hint="eastAsia"/>
                      <w:highlight w:val="none"/>
                      <w:lang w:val="en-US" w:eastAsia="zh-CN"/>
                    </w:rPr>
                    <w:t>200</w:t>
                  </w:r>
                </w:p>
              </w:tc>
            </w:tr>
            <w:tr w14:paraId="7A6CA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143A1E6E">
                  <w:pPr>
                    <w:pStyle w:val="32"/>
                    <w:bidi w:val="0"/>
                    <w:rPr>
                      <w:highlight w:val="none"/>
                    </w:rPr>
                  </w:pPr>
                </w:p>
              </w:tc>
              <w:tc>
                <w:tcPr>
                  <w:tcW w:w="746" w:type="dxa"/>
                  <w:tcBorders>
                    <w:tl2br w:val="nil"/>
                    <w:tr2bl w:val="nil"/>
                  </w:tcBorders>
                  <w:vAlign w:val="center"/>
                </w:tcPr>
                <w:p w14:paraId="56F2A382">
                  <w:pPr>
                    <w:pStyle w:val="32"/>
                    <w:bidi w:val="0"/>
                    <w:rPr>
                      <w:rFonts w:hint="eastAsia" w:eastAsia="宋体"/>
                      <w:highlight w:val="none"/>
                      <w:lang w:val="en-US" w:eastAsia="zh-CN"/>
                    </w:rPr>
                  </w:pPr>
                  <w:r>
                    <w:rPr>
                      <w:rFonts w:hint="eastAsia"/>
                      <w:highlight w:val="none"/>
                      <w:lang w:val="en-US" w:eastAsia="zh-CN"/>
                    </w:rPr>
                    <w:t>9</w:t>
                  </w:r>
                </w:p>
              </w:tc>
              <w:tc>
                <w:tcPr>
                  <w:tcW w:w="2311" w:type="dxa"/>
                  <w:tcBorders>
                    <w:tl2br w:val="nil"/>
                    <w:tr2bl w:val="nil"/>
                  </w:tcBorders>
                  <w:vAlign w:val="center"/>
                </w:tcPr>
                <w:p w14:paraId="10377C24">
                  <w:pPr>
                    <w:pStyle w:val="32"/>
                    <w:bidi w:val="0"/>
                    <w:rPr>
                      <w:rFonts w:hint="default"/>
                      <w:highlight w:val="none"/>
                      <w:lang w:val="en-US" w:eastAsia="zh-CN"/>
                    </w:rPr>
                  </w:pPr>
                  <w:r>
                    <w:rPr>
                      <w:rFonts w:hint="eastAsia"/>
                      <w:highlight w:val="none"/>
                      <w:lang w:val="en-US" w:eastAsia="zh-CN"/>
                    </w:rPr>
                    <w:t>水木清华</w:t>
                  </w:r>
                </w:p>
              </w:tc>
              <w:tc>
                <w:tcPr>
                  <w:tcW w:w="1069" w:type="dxa"/>
                  <w:tcBorders>
                    <w:tl2br w:val="nil"/>
                    <w:tr2bl w:val="nil"/>
                  </w:tcBorders>
                  <w:vAlign w:val="center"/>
                </w:tcPr>
                <w:p w14:paraId="57025978">
                  <w:pPr>
                    <w:pStyle w:val="32"/>
                    <w:bidi w:val="0"/>
                    <w:rPr>
                      <w:rFonts w:hint="default"/>
                      <w:highlight w:val="none"/>
                      <w:lang w:val="en-US" w:eastAsia="zh-CN"/>
                    </w:rPr>
                  </w:pPr>
                  <w:r>
                    <w:rPr>
                      <w:rFonts w:hint="eastAsia"/>
                      <w:highlight w:val="none"/>
                      <w:lang w:val="en-US" w:eastAsia="zh-CN"/>
                    </w:rPr>
                    <w:t>南侧</w:t>
                  </w:r>
                </w:p>
              </w:tc>
              <w:tc>
                <w:tcPr>
                  <w:tcW w:w="995" w:type="dxa"/>
                  <w:tcBorders>
                    <w:tl2br w:val="nil"/>
                    <w:tr2bl w:val="nil"/>
                  </w:tcBorders>
                  <w:vAlign w:val="center"/>
                </w:tcPr>
                <w:p w14:paraId="29BB825C">
                  <w:pPr>
                    <w:pStyle w:val="32"/>
                    <w:bidi w:val="0"/>
                    <w:rPr>
                      <w:rFonts w:hint="default"/>
                      <w:highlight w:val="none"/>
                      <w:lang w:val="en-US" w:eastAsia="zh-CN"/>
                    </w:rPr>
                  </w:pPr>
                  <w:r>
                    <w:rPr>
                      <w:rFonts w:hint="eastAsia"/>
                      <w:highlight w:val="none"/>
                      <w:lang w:val="en-US" w:eastAsia="zh-CN"/>
                    </w:rPr>
                    <w:t>3150</w:t>
                  </w:r>
                </w:p>
              </w:tc>
              <w:tc>
                <w:tcPr>
                  <w:tcW w:w="1268" w:type="dxa"/>
                  <w:gridSpan w:val="2"/>
                  <w:tcBorders>
                    <w:tl2br w:val="nil"/>
                    <w:tr2bl w:val="nil"/>
                  </w:tcBorders>
                  <w:vAlign w:val="center"/>
                </w:tcPr>
                <w:p w14:paraId="4D9EB251">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4DE25511">
                  <w:pPr>
                    <w:pStyle w:val="32"/>
                    <w:bidi w:val="0"/>
                    <w:rPr>
                      <w:rFonts w:hint="default"/>
                      <w:highlight w:val="none"/>
                      <w:lang w:val="en-US" w:eastAsia="zh-CN"/>
                    </w:rPr>
                  </w:pPr>
                  <w:r>
                    <w:rPr>
                      <w:rFonts w:hint="eastAsia"/>
                      <w:highlight w:val="none"/>
                      <w:lang w:val="en-US" w:eastAsia="zh-CN"/>
                    </w:rPr>
                    <w:t>200</w:t>
                  </w:r>
                </w:p>
              </w:tc>
            </w:tr>
            <w:tr w14:paraId="330C8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09FBE67F">
                  <w:pPr>
                    <w:pStyle w:val="32"/>
                    <w:bidi w:val="0"/>
                    <w:rPr>
                      <w:highlight w:val="none"/>
                    </w:rPr>
                  </w:pPr>
                </w:p>
              </w:tc>
              <w:tc>
                <w:tcPr>
                  <w:tcW w:w="746" w:type="dxa"/>
                  <w:tcBorders>
                    <w:tl2br w:val="nil"/>
                    <w:tr2bl w:val="nil"/>
                  </w:tcBorders>
                  <w:vAlign w:val="center"/>
                </w:tcPr>
                <w:p w14:paraId="450C553D">
                  <w:pPr>
                    <w:pStyle w:val="32"/>
                    <w:bidi w:val="0"/>
                    <w:rPr>
                      <w:rFonts w:hint="default" w:eastAsia="宋体"/>
                      <w:highlight w:val="none"/>
                      <w:lang w:val="en-US" w:eastAsia="zh-CN"/>
                    </w:rPr>
                  </w:pPr>
                  <w:r>
                    <w:rPr>
                      <w:rFonts w:hint="eastAsia"/>
                      <w:highlight w:val="none"/>
                      <w:lang w:val="en-US" w:eastAsia="zh-CN"/>
                    </w:rPr>
                    <w:t>10</w:t>
                  </w:r>
                </w:p>
              </w:tc>
              <w:tc>
                <w:tcPr>
                  <w:tcW w:w="2311" w:type="dxa"/>
                  <w:tcBorders>
                    <w:tl2br w:val="nil"/>
                    <w:tr2bl w:val="nil"/>
                  </w:tcBorders>
                  <w:vAlign w:val="center"/>
                </w:tcPr>
                <w:p w14:paraId="07DF0FDA">
                  <w:pPr>
                    <w:pStyle w:val="32"/>
                    <w:bidi w:val="0"/>
                    <w:rPr>
                      <w:rFonts w:hint="default"/>
                      <w:highlight w:val="none"/>
                      <w:lang w:val="en-US" w:eastAsia="zh-CN"/>
                    </w:rPr>
                  </w:pPr>
                  <w:r>
                    <w:rPr>
                      <w:rFonts w:hint="eastAsia"/>
                      <w:highlight w:val="none"/>
                      <w:lang w:val="en-US" w:eastAsia="zh-CN"/>
                    </w:rPr>
                    <w:t>康博花园</w:t>
                  </w:r>
                </w:p>
              </w:tc>
              <w:tc>
                <w:tcPr>
                  <w:tcW w:w="1069" w:type="dxa"/>
                  <w:tcBorders>
                    <w:tl2br w:val="nil"/>
                    <w:tr2bl w:val="nil"/>
                  </w:tcBorders>
                  <w:vAlign w:val="center"/>
                </w:tcPr>
                <w:p w14:paraId="48B468BD">
                  <w:pPr>
                    <w:pStyle w:val="32"/>
                    <w:bidi w:val="0"/>
                    <w:rPr>
                      <w:rFonts w:hint="default"/>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704D86A5">
                  <w:pPr>
                    <w:pStyle w:val="32"/>
                    <w:bidi w:val="0"/>
                    <w:rPr>
                      <w:rFonts w:hint="default"/>
                      <w:highlight w:val="none"/>
                      <w:lang w:val="en-US" w:eastAsia="zh-CN"/>
                    </w:rPr>
                  </w:pPr>
                  <w:r>
                    <w:rPr>
                      <w:rFonts w:hint="eastAsia"/>
                      <w:highlight w:val="none"/>
                      <w:lang w:val="en-US" w:eastAsia="zh-CN"/>
                    </w:rPr>
                    <w:t>3400</w:t>
                  </w:r>
                </w:p>
              </w:tc>
              <w:tc>
                <w:tcPr>
                  <w:tcW w:w="1268" w:type="dxa"/>
                  <w:gridSpan w:val="2"/>
                  <w:tcBorders>
                    <w:tl2br w:val="nil"/>
                    <w:tr2bl w:val="nil"/>
                  </w:tcBorders>
                  <w:vAlign w:val="center"/>
                </w:tcPr>
                <w:p w14:paraId="0C040A92">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007D1307">
                  <w:pPr>
                    <w:pStyle w:val="32"/>
                    <w:bidi w:val="0"/>
                    <w:rPr>
                      <w:rFonts w:hint="default"/>
                      <w:highlight w:val="none"/>
                      <w:lang w:val="en-US" w:eastAsia="zh-CN"/>
                    </w:rPr>
                  </w:pPr>
                  <w:r>
                    <w:rPr>
                      <w:rFonts w:hint="eastAsia"/>
                      <w:highlight w:val="none"/>
                      <w:lang w:val="en-US" w:eastAsia="zh-CN"/>
                    </w:rPr>
                    <w:t>200</w:t>
                  </w:r>
                </w:p>
              </w:tc>
            </w:tr>
            <w:tr w14:paraId="61EC1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71343929">
                  <w:pPr>
                    <w:pStyle w:val="32"/>
                    <w:bidi w:val="0"/>
                    <w:rPr>
                      <w:highlight w:val="none"/>
                    </w:rPr>
                  </w:pPr>
                </w:p>
              </w:tc>
              <w:tc>
                <w:tcPr>
                  <w:tcW w:w="746" w:type="dxa"/>
                  <w:tcBorders>
                    <w:tl2br w:val="nil"/>
                    <w:tr2bl w:val="nil"/>
                  </w:tcBorders>
                  <w:vAlign w:val="center"/>
                </w:tcPr>
                <w:p w14:paraId="0FA31C51">
                  <w:pPr>
                    <w:pStyle w:val="32"/>
                    <w:bidi w:val="0"/>
                    <w:rPr>
                      <w:rFonts w:hint="default"/>
                      <w:highlight w:val="none"/>
                      <w:lang w:val="en-US" w:eastAsia="zh-CN"/>
                    </w:rPr>
                  </w:pPr>
                  <w:r>
                    <w:rPr>
                      <w:rFonts w:hint="eastAsia"/>
                      <w:highlight w:val="none"/>
                      <w:lang w:val="en-US" w:eastAsia="zh-CN"/>
                    </w:rPr>
                    <w:t>11</w:t>
                  </w:r>
                </w:p>
              </w:tc>
              <w:tc>
                <w:tcPr>
                  <w:tcW w:w="2311" w:type="dxa"/>
                  <w:tcBorders>
                    <w:tl2br w:val="nil"/>
                    <w:tr2bl w:val="nil"/>
                  </w:tcBorders>
                  <w:vAlign w:val="center"/>
                </w:tcPr>
                <w:p w14:paraId="27C91D58">
                  <w:pPr>
                    <w:pStyle w:val="32"/>
                    <w:bidi w:val="0"/>
                    <w:rPr>
                      <w:rFonts w:hint="default"/>
                      <w:highlight w:val="none"/>
                      <w:lang w:val="en-US" w:eastAsia="zh-CN"/>
                    </w:rPr>
                  </w:pPr>
                  <w:r>
                    <w:rPr>
                      <w:rFonts w:hint="eastAsia"/>
                      <w:highlight w:val="none"/>
                      <w:lang w:val="en-US" w:eastAsia="zh-CN"/>
                    </w:rPr>
                    <w:t>佳馨小区</w:t>
                  </w:r>
                </w:p>
              </w:tc>
              <w:tc>
                <w:tcPr>
                  <w:tcW w:w="1069" w:type="dxa"/>
                  <w:tcBorders>
                    <w:tl2br w:val="nil"/>
                    <w:tr2bl w:val="nil"/>
                  </w:tcBorders>
                  <w:vAlign w:val="center"/>
                </w:tcPr>
                <w:p w14:paraId="4D298614">
                  <w:pPr>
                    <w:pStyle w:val="32"/>
                    <w:bidi w:val="0"/>
                    <w:rPr>
                      <w:rFonts w:hint="default"/>
                      <w:highlight w:val="none"/>
                      <w:lang w:val="en-US" w:eastAsia="zh-CN"/>
                    </w:rPr>
                  </w:pPr>
                  <w:r>
                    <w:rPr>
                      <w:rFonts w:hint="eastAsia"/>
                      <w:highlight w:val="none"/>
                      <w:lang w:val="en-US" w:eastAsia="zh-CN"/>
                    </w:rPr>
                    <w:t>西侧</w:t>
                  </w:r>
                </w:p>
              </w:tc>
              <w:tc>
                <w:tcPr>
                  <w:tcW w:w="995" w:type="dxa"/>
                  <w:tcBorders>
                    <w:tl2br w:val="nil"/>
                    <w:tr2bl w:val="nil"/>
                  </w:tcBorders>
                  <w:vAlign w:val="center"/>
                </w:tcPr>
                <w:p w14:paraId="3CB2732A">
                  <w:pPr>
                    <w:pStyle w:val="32"/>
                    <w:bidi w:val="0"/>
                    <w:rPr>
                      <w:rFonts w:hint="default"/>
                      <w:highlight w:val="none"/>
                      <w:lang w:val="en-US" w:eastAsia="zh-CN"/>
                    </w:rPr>
                  </w:pPr>
                  <w:r>
                    <w:rPr>
                      <w:rFonts w:hint="eastAsia"/>
                      <w:highlight w:val="none"/>
                      <w:lang w:val="en-US" w:eastAsia="zh-CN"/>
                    </w:rPr>
                    <w:t>4800</w:t>
                  </w:r>
                </w:p>
              </w:tc>
              <w:tc>
                <w:tcPr>
                  <w:tcW w:w="1268" w:type="dxa"/>
                  <w:gridSpan w:val="2"/>
                  <w:tcBorders>
                    <w:tl2br w:val="nil"/>
                    <w:tr2bl w:val="nil"/>
                  </w:tcBorders>
                  <w:vAlign w:val="center"/>
                </w:tcPr>
                <w:p w14:paraId="5B658DC3">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1D9BC049">
                  <w:pPr>
                    <w:pStyle w:val="32"/>
                    <w:bidi w:val="0"/>
                    <w:rPr>
                      <w:rFonts w:hint="default"/>
                      <w:highlight w:val="none"/>
                      <w:lang w:val="en-US" w:eastAsia="zh-CN"/>
                    </w:rPr>
                  </w:pPr>
                  <w:r>
                    <w:rPr>
                      <w:rFonts w:hint="eastAsia"/>
                      <w:highlight w:val="none"/>
                      <w:lang w:val="en-US" w:eastAsia="zh-CN"/>
                    </w:rPr>
                    <w:t>200</w:t>
                  </w:r>
                </w:p>
              </w:tc>
            </w:tr>
            <w:tr w14:paraId="38BF2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30284F46">
                  <w:pPr>
                    <w:pStyle w:val="32"/>
                    <w:bidi w:val="0"/>
                    <w:rPr>
                      <w:highlight w:val="none"/>
                    </w:rPr>
                  </w:pPr>
                </w:p>
              </w:tc>
              <w:tc>
                <w:tcPr>
                  <w:tcW w:w="746" w:type="dxa"/>
                  <w:tcBorders>
                    <w:tl2br w:val="nil"/>
                    <w:tr2bl w:val="nil"/>
                  </w:tcBorders>
                  <w:vAlign w:val="center"/>
                </w:tcPr>
                <w:p w14:paraId="1CF9B2DA">
                  <w:pPr>
                    <w:pStyle w:val="32"/>
                    <w:bidi w:val="0"/>
                    <w:rPr>
                      <w:rFonts w:hint="default"/>
                      <w:highlight w:val="none"/>
                      <w:lang w:val="en-US" w:eastAsia="zh-CN"/>
                    </w:rPr>
                  </w:pPr>
                  <w:r>
                    <w:rPr>
                      <w:rFonts w:hint="eastAsia"/>
                      <w:highlight w:val="none"/>
                      <w:lang w:val="en-US" w:eastAsia="zh-CN"/>
                    </w:rPr>
                    <w:t>12</w:t>
                  </w:r>
                </w:p>
              </w:tc>
              <w:tc>
                <w:tcPr>
                  <w:tcW w:w="2311" w:type="dxa"/>
                  <w:tcBorders>
                    <w:tl2br w:val="nil"/>
                    <w:tr2bl w:val="nil"/>
                  </w:tcBorders>
                  <w:vAlign w:val="center"/>
                </w:tcPr>
                <w:p w14:paraId="693DDC33">
                  <w:pPr>
                    <w:pStyle w:val="32"/>
                    <w:bidi w:val="0"/>
                    <w:rPr>
                      <w:rFonts w:hint="default"/>
                      <w:highlight w:val="none"/>
                      <w:lang w:val="en-US" w:eastAsia="zh-CN"/>
                    </w:rPr>
                  </w:pPr>
                  <w:r>
                    <w:rPr>
                      <w:rFonts w:hint="eastAsia"/>
                      <w:highlight w:val="none"/>
                      <w:lang w:val="en-US" w:eastAsia="zh-CN"/>
                    </w:rPr>
                    <w:t>佳悦小区</w:t>
                  </w:r>
                </w:p>
              </w:tc>
              <w:tc>
                <w:tcPr>
                  <w:tcW w:w="1069" w:type="dxa"/>
                  <w:tcBorders>
                    <w:tl2br w:val="nil"/>
                    <w:tr2bl w:val="nil"/>
                  </w:tcBorders>
                  <w:vAlign w:val="center"/>
                </w:tcPr>
                <w:p w14:paraId="7EEFC413">
                  <w:pPr>
                    <w:pStyle w:val="32"/>
                    <w:bidi w:val="0"/>
                    <w:ind w:firstLine="0" w:firstLineChars="0"/>
                    <w:rPr>
                      <w:rFonts w:hint="eastAsia"/>
                      <w:highlight w:val="none"/>
                      <w:lang w:val="en-US" w:eastAsia="zh-CN"/>
                    </w:rPr>
                  </w:pPr>
                  <w:r>
                    <w:rPr>
                      <w:rFonts w:hint="eastAsia"/>
                      <w:highlight w:val="none"/>
                      <w:lang w:val="en-US" w:eastAsia="zh-CN"/>
                    </w:rPr>
                    <w:t>西侧</w:t>
                  </w:r>
                </w:p>
              </w:tc>
              <w:tc>
                <w:tcPr>
                  <w:tcW w:w="995" w:type="dxa"/>
                  <w:tcBorders>
                    <w:tl2br w:val="nil"/>
                    <w:tr2bl w:val="nil"/>
                  </w:tcBorders>
                  <w:vAlign w:val="center"/>
                </w:tcPr>
                <w:p w14:paraId="4E1C98CF">
                  <w:pPr>
                    <w:pStyle w:val="32"/>
                    <w:bidi w:val="0"/>
                    <w:ind w:firstLine="0" w:firstLineChars="0"/>
                    <w:rPr>
                      <w:rFonts w:hint="eastAsia"/>
                      <w:highlight w:val="none"/>
                      <w:lang w:val="en-US" w:eastAsia="zh-CN"/>
                    </w:rPr>
                  </w:pPr>
                  <w:r>
                    <w:rPr>
                      <w:rFonts w:hint="eastAsia"/>
                      <w:highlight w:val="none"/>
                      <w:lang w:val="en-US" w:eastAsia="zh-CN"/>
                    </w:rPr>
                    <w:t>4900</w:t>
                  </w:r>
                </w:p>
              </w:tc>
              <w:tc>
                <w:tcPr>
                  <w:tcW w:w="1268" w:type="dxa"/>
                  <w:gridSpan w:val="2"/>
                  <w:tcBorders>
                    <w:tl2br w:val="nil"/>
                    <w:tr2bl w:val="nil"/>
                  </w:tcBorders>
                  <w:vAlign w:val="center"/>
                </w:tcPr>
                <w:p w14:paraId="45B007FF">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72B3214E">
                  <w:pPr>
                    <w:pStyle w:val="32"/>
                    <w:bidi w:val="0"/>
                    <w:rPr>
                      <w:rFonts w:hint="default"/>
                      <w:highlight w:val="none"/>
                      <w:lang w:val="en-US" w:eastAsia="zh-CN"/>
                    </w:rPr>
                  </w:pPr>
                  <w:r>
                    <w:rPr>
                      <w:rFonts w:hint="eastAsia"/>
                      <w:highlight w:val="none"/>
                      <w:lang w:val="en-US" w:eastAsia="zh-CN"/>
                    </w:rPr>
                    <w:t>200</w:t>
                  </w:r>
                </w:p>
              </w:tc>
            </w:tr>
            <w:tr w14:paraId="777D5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68895982">
                  <w:pPr>
                    <w:pStyle w:val="32"/>
                    <w:bidi w:val="0"/>
                    <w:rPr>
                      <w:highlight w:val="none"/>
                    </w:rPr>
                  </w:pPr>
                </w:p>
              </w:tc>
              <w:tc>
                <w:tcPr>
                  <w:tcW w:w="746" w:type="dxa"/>
                  <w:tcBorders>
                    <w:tl2br w:val="nil"/>
                    <w:tr2bl w:val="nil"/>
                  </w:tcBorders>
                  <w:vAlign w:val="center"/>
                </w:tcPr>
                <w:p w14:paraId="46A714D9">
                  <w:pPr>
                    <w:pStyle w:val="32"/>
                    <w:bidi w:val="0"/>
                    <w:rPr>
                      <w:rFonts w:hint="default" w:eastAsia="宋体"/>
                      <w:highlight w:val="none"/>
                      <w:lang w:val="en-US" w:eastAsia="zh-CN"/>
                    </w:rPr>
                  </w:pPr>
                  <w:r>
                    <w:rPr>
                      <w:rFonts w:hint="eastAsia"/>
                      <w:highlight w:val="none"/>
                      <w:lang w:val="en-US" w:eastAsia="zh-CN"/>
                    </w:rPr>
                    <w:t>13</w:t>
                  </w:r>
                </w:p>
              </w:tc>
              <w:tc>
                <w:tcPr>
                  <w:tcW w:w="2311" w:type="dxa"/>
                  <w:tcBorders>
                    <w:tl2br w:val="nil"/>
                    <w:tr2bl w:val="nil"/>
                  </w:tcBorders>
                  <w:vAlign w:val="center"/>
                </w:tcPr>
                <w:p w14:paraId="2ACA4E61">
                  <w:pPr>
                    <w:pStyle w:val="32"/>
                    <w:bidi w:val="0"/>
                    <w:rPr>
                      <w:rFonts w:hint="default"/>
                      <w:highlight w:val="none"/>
                      <w:lang w:val="en-US" w:eastAsia="zh-CN"/>
                    </w:rPr>
                  </w:pPr>
                  <w:r>
                    <w:rPr>
                      <w:rFonts w:hint="eastAsia"/>
                      <w:highlight w:val="none"/>
                      <w:lang w:val="en-US" w:eastAsia="zh-CN"/>
                    </w:rPr>
                    <w:t>大成未来域</w:t>
                  </w:r>
                </w:p>
              </w:tc>
              <w:tc>
                <w:tcPr>
                  <w:tcW w:w="1069" w:type="dxa"/>
                  <w:tcBorders>
                    <w:tl2br w:val="nil"/>
                    <w:tr2bl w:val="nil"/>
                  </w:tcBorders>
                  <w:vAlign w:val="center"/>
                </w:tcPr>
                <w:p w14:paraId="237D029A">
                  <w:pPr>
                    <w:pStyle w:val="32"/>
                    <w:bidi w:val="0"/>
                    <w:rPr>
                      <w:rFonts w:hint="default"/>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5B7C463D">
                  <w:pPr>
                    <w:pStyle w:val="32"/>
                    <w:bidi w:val="0"/>
                    <w:rPr>
                      <w:rFonts w:hint="default"/>
                      <w:highlight w:val="none"/>
                      <w:lang w:val="en-US" w:eastAsia="zh-CN"/>
                    </w:rPr>
                  </w:pPr>
                  <w:r>
                    <w:rPr>
                      <w:rFonts w:hint="eastAsia"/>
                      <w:highlight w:val="none"/>
                      <w:lang w:val="en-US" w:eastAsia="zh-CN"/>
                    </w:rPr>
                    <w:t>3600</w:t>
                  </w:r>
                </w:p>
              </w:tc>
              <w:tc>
                <w:tcPr>
                  <w:tcW w:w="1268" w:type="dxa"/>
                  <w:gridSpan w:val="2"/>
                  <w:tcBorders>
                    <w:tl2br w:val="nil"/>
                    <w:tr2bl w:val="nil"/>
                  </w:tcBorders>
                  <w:vAlign w:val="center"/>
                </w:tcPr>
                <w:p w14:paraId="6B134CEA">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64B20881">
                  <w:pPr>
                    <w:pStyle w:val="32"/>
                    <w:bidi w:val="0"/>
                    <w:rPr>
                      <w:rFonts w:hint="default"/>
                      <w:highlight w:val="none"/>
                      <w:lang w:val="en-US" w:eastAsia="zh-CN"/>
                    </w:rPr>
                  </w:pPr>
                  <w:r>
                    <w:rPr>
                      <w:rFonts w:hint="eastAsia"/>
                      <w:highlight w:val="none"/>
                      <w:lang w:val="en-US" w:eastAsia="zh-CN"/>
                    </w:rPr>
                    <w:t>400</w:t>
                  </w:r>
                </w:p>
              </w:tc>
            </w:tr>
            <w:tr w14:paraId="71959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38F31C60">
                  <w:pPr>
                    <w:pStyle w:val="32"/>
                    <w:bidi w:val="0"/>
                    <w:rPr>
                      <w:highlight w:val="none"/>
                    </w:rPr>
                  </w:pPr>
                </w:p>
              </w:tc>
              <w:tc>
                <w:tcPr>
                  <w:tcW w:w="746" w:type="dxa"/>
                  <w:tcBorders>
                    <w:tl2br w:val="nil"/>
                    <w:tr2bl w:val="nil"/>
                  </w:tcBorders>
                  <w:vAlign w:val="center"/>
                </w:tcPr>
                <w:p w14:paraId="16A8FADD">
                  <w:pPr>
                    <w:pStyle w:val="32"/>
                    <w:bidi w:val="0"/>
                    <w:rPr>
                      <w:rFonts w:hint="default" w:eastAsia="宋体"/>
                      <w:highlight w:val="none"/>
                      <w:lang w:val="en-US" w:eastAsia="zh-CN"/>
                    </w:rPr>
                  </w:pPr>
                  <w:r>
                    <w:rPr>
                      <w:rFonts w:hint="eastAsia"/>
                      <w:highlight w:val="none"/>
                      <w:lang w:val="en-US" w:eastAsia="zh-CN"/>
                    </w:rPr>
                    <w:t>14</w:t>
                  </w:r>
                </w:p>
              </w:tc>
              <w:tc>
                <w:tcPr>
                  <w:tcW w:w="2311" w:type="dxa"/>
                  <w:tcBorders>
                    <w:tl2br w:val="nil"/>
                    <w:tr2bl w:val="nil"/>
                  </w:tcBorders>
                  <w:vAlign w:val="center"/>
                </w:tcPr>
                <w:p w14:paraId="54527B5F">
                  <w:pPr>
                    <w:pStyle w:val="32"/>
                    <w:bidi w:val="0"/>
                    <w:rPr>
                      <w:rFonts w:hint="default"/>
                      <w:highlight w:val="none"/>
                      <w:lang w:val="en-US" w:eastAsia="zh-CN"/>
                    </w:rPr>
                  </w:pPr>
                  <w:r>
                    <w:rPr>
                      <w:rFonts w:hint="eastAsia"/>
                      <w:highlight w:val="none"/>
                      <w:lang w:val="en-US" w:eastAsia="zh-CN"/>
                    </w:rPr>
                    <w:t>水岸丽舍</w:t>
                  </w:r>
                </w:p>
              </w:tc>
              <w:tc>
                <w:tcPr>
                  <w:tcW w:w="1069" w:type="dxa"/>
                  <w:tcBorders>
                    <w:tl2br w:val="nil"/>
                    <w:tr2bl w:val="nil"/>
                  </w:tcBorders>
                  <w:vAlign w:val="center"/>
                </w:tcPr>
                <w:p w14:paraId="481E7BC2">
                  <w:pPr>
                    <w:pStyle w:val="32"/>
                    <w:bidi w:val="0"/>
                    <w:rPr>
                      <w:rFonts w:hint="default"/>
                      <w:highlight w:val="none"/>
                      <w:lang w:val="en-US" w:eastAsia="zh-CN"/>
                    </w:rPr>
                  </w:pPr>
                  <w:r>
                    <w:rPr>
                      <w:rFonts w:hint="eastAsia"/>
                      <w:highlight w:val="none"/>
                      <w:lang w:val="en-US" w:eastAsia="zh-CN"/>
                    </w:rPr>
                    <w:t>南侧</w:t>
                  </w:r>
                </w:p>
              </w:tc>
              <w:tc>
                <w:tcPr>
                  <w:tcW w:w="995" w:type="dxa"/>
                  <w:tcBorders>
                    <w:tl2br w:val="nil"/>
                    <w:tr2bl w:val="nil"/>
                  </w:tcBorders>
                  <w:vAlign w:val="center"/>
                </w:tcPr>
                <w:p w14:paraId="534E86FA">
                  <w:pPr>
                    <w:pStyle w:val="32"/>
                    <w:bidi w:val="0"/>
                    <w:rPr>
                      <w:rFonts w:hint="default"/>
                      <w:highlight w:val="none"/>
                      <w:lang w:val="en-US" w:eastAsia="zh-CN"/>
                    </w:rPr>
                  </w:pPr>
                  <w:r>
                    <w:rPr>
                      <w:rFonts w:hint="eastAsia"/>
                      <w:highlight w:val="none"/>
                      <w:lang w:val="en-US" w:eastAsia="zh-CN"/>
                    </w:rPr>
                    <w:t>3100</w:t>
                  </w:r>
                </w:p>
              </w:tc>
              <w:tc>
                <w:tcPr>
                  <w:tcW w:w="1268" w:type="dxa"/>
                  <w:gridSpan w:val="2"/>
                  <w:tcBorders>
                    <w:tl2br w:val="nil"/>
                    <w:tr2bl w:val="nil"/>
                  </w:tcBorders>
                  <w:vAlign w:val="center"/>
                </w:tcPr>
                <w:p w14:paraId="7A7E7A2E">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394C3DCE">
                  <w:pPr>
                    <w:pStyle w:val="32"/>
                    <w:bidi w:val="0"/>
                    <w:rPr>
                      <w:rFonts w:hint="default"/>
                      <w:highlight w:val="none"/>
                      <w:lang w:val="en-US" w:eastAsia="zh-CN"/>
                    </w:rPr>
                  </w:pPr>
                  <w:r>
                    <w:rPr>
                      <w:rFonts w:hint="eastAsia"/>
                      <w:highlight w:val="none"/>
                      <w:lang w:val="en-US" w:eastAsia="zh-CN"/>
                    </w:rPr>
                    <w:t>300</w:t>
                  </w:r>
                </w:p>
              </w:tc>
            </w:tr>
            <w:tr w14:paraId="4DDF7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9" w:hRule="atLeast"/>
              </w:trPr>
              <w:tc>
                <w:tcPr>
                  <w:tcW w:w="738" w:type="dxa"/>
                  <w:vMerge w:val="continue"/>
                  <w:tcBorders>
                    <w:tl2br w:val="nil"/>
                    <w:tr2bl w:val="nil"/>
                  </w:tcBorders>
                  <w:vAlign w:val="center"/>
                </w:tcPr>
                <w:p w14:paraId="46AF93D4">
                  <w:pPr>
                    <w:pStyle w:val="32"/>
                    <w:bidi w:val="0"/>
                    <w:rPr>
                      <w:highlight w:val="none"/>
                    </w:rPr>
                  </w:pPr>
                </w:p>
              </w:tc>
              <w:tc>
                <w:tcPr>
                  <w:tcW w:w="746" w:type="dxa"/>
                  <w:tcBorders>
                    <w:tl2br w:val="nil"/>
                    <w:tr2bl w:val="nil"/>
                  </w:tcBorders>
                  <w:vAlign w:val="center"/>
                </w:tcPr>
                <w:p w14:paraId="113CF40C">
                  <w:pPr>
                    <w:pStyle w:val="32"/>
                    <w:bidi w:val="0"/>
                    <w:rPr>
                      <w:rFonts w:hint="default" w:eastAsia="宋体"/>
                      <w:highlight w:val="none"/>
                      <w:lang w:val="en-US" w:eastAsia="zh-CN"/>
                    </w:rPr>
                  </w:pPr>
                  <w:r>
                    <w:rPr>
                      <w:rFonts w:hint="eastAsia"/>
                      <w:highlight w:val="none"/>
                      <w:lang w:val="en-US" w:eastAsia="zh-CN"/>
                    </w:rPr>
                    <w:t>15</w:t>
                  </w:r>
                </w:p>
              </w:tc>
              <w:tc>
                <w:tcPr>
                  <w:tcW w:w="2311" w:type="dxa"/>
                  <w:tcBorders>
                    <w:tl2br w:val="nil"/>
                    <w:tr2bl w:val="nil"/>
                  </w:tcBorders>
                  <w:vAlign w:val="center"/>
                </w:tcPr>
                <w:p w14:paraId="4E328C49">
                  <w:pPr>
                    <w:pStyle w:val="32"/>
                    <w:bidi w:val="0"/>
                    <w:rPr>
                      <w:rFonts w:hint="default"/>
                      <w:highlight w:val="none"/>
                      <w:lang w:val="en-US" w:eastAsia="zh-CN"/>
                    </w:rPr>
                  </w:pPr>
                  <w:r>
                    <w:rPr>
                      <w:rFonts w:hint="eastAsia"/>
                      <w:highlight w:val="none"/>
                      <w:lang w:val="en-US" w:eastAsia="zh-CN"/>
                    </w:rPr>
                    <w:t>东方经典名苑</w:t>
                  </w:r>
                </w:p>
              </w:tc>
              <w:tc>
                <w:tcPr>
                  <w:tcW w:w="1069" w:type="dxa"/>
                  <w:tcBorders>
                    <w:tl2br w:val="nil"/>
                    <w:tr2bl w:val="nil"/>
                  </w:tcBorders>
                  <w:vAlign w:val="center"/>
                </w:tcPr>
                <w:p w14:paraId="02F5216A">
                  <w:pPr>
                    <w:pStyle w:val="32"/>
                    <w:bidi w:val="0"/>
                    <w:rPr>
                      <w:rFonts w:hint="default"/>
                      <w:highlight w:val="none"/>
                      <w:lang w:val="en-US" w:eastAsia="zh-CN"/>
                    </w:rPr>
                  </w:pPr>
                  <w:r>
                    <w:rPr>
                      <w:rFonts w:hint="eastAsia"/>
                      <w:highlight w:val="none"/>
                      <w:lang w:val="en-US" w:eastAsia="zh-CN"/>
                    </w:rPr>
                    <w:t>南侧</w:t>
                  </w:r>
                </w:p>
              </w:tc>
              <w:tc>
                <w:tcPr>
                  <w:tcW w:w="995" w:type="dxa"/>
                  <w:tcBorders>
                    <w:tl2br w:val="nil"/>
                    <w:tr2bl w:val="nil"/>
                  </w:tcBorders>
                  <w:vAlign w:val="center"/>
                </w:tcPr>
                <w:p w14:paraId="59EC0A43">
                  <w:pPr>
                    <w:pStyle w:val="32"/>
                    <w:bidi w:val="0"/>
                    <w:rPr>
                      <w:rFonts w:hint="default"/>
                      <w:highlight w:val="none"/>
                      <w:lang w:val="en-US" w:eastAsia="zh-CN"/>
                    </w:rPr>
                  </w:pPr>
                  <w:r>
                    <w:rPr>
                      <w:rFonts w:hint="eastAsia"/>
                      <w:highlight w:val="none"/>
                      <w:lang w:val="en-US" w:eastAsia="zh-CN"/>
                    </w:rPr>
                    <w:t>2600</w:t>
                  </w:r>
                </w:p>
              </w:tc>
              <w:tc>
                <w:tcPr>
                  <w:tcW w:w="1268" w:type="dxa"/>
                  <w:gridSpan w:val="2"/>
                  <w:tcBorders>
                    <w:tl2br w:val="nil"/>
                    <w:tr2bl w:val="nil"/>
                  </w:tcBorders>
                  <w:vAlign w:val="center"/>
                </w:tcPr>
                <w:p w14:paraId="4C39F2FD">
                  <w:pPr>
                    <w:pStyle w:val="32"/>
                    <w:bidi w:val="0"/>
                    <w:ind w:firstLine="0" w:firstLineChars="0"/>
                    <w:rPr>
                      <w:rFonts w:hint="eastAsia"/>
                      <w:highlight w:val="none"/>
                      <w:lang w:val="en-US" w:eastAsia="zh-CN"/>
                    </w:rPr>
                  </w:pPr>
                  <w:r>
                    <w:rPr>
                      <w:rFonts w:hint="eastAsia"/>
                      <w:highlight w:val="none"/>
                      <w:lang w:val="en-US" w:eastAsia="zh-CN"/>
                    </w:rPr>
                    <w:t>居民区</w:t>
                  </w:r>
                </w:p>
              </w:tc>
              <w:tc>
                <w:tcPr>
                  <w:tcW w:w="1192" w:type="dxa"/>
                  <w:tcBorders>
                    <w:tl2br w:val="nil"/>
                    <w:tr2bl w:val="nil"/>
                  </w:tcBorders>
                  <w:vAlign w:val="center"/>
                </w:tcPr>
                <w:p w14:paraId="61141757">
                  <w:pPr>
                    <w:pStyle w:val="32"/>
                    <w:bidi w:val="0"/>
                    <w:rPr>
                      <w:rFonts w:hint="default"/>
                      <w:highlight w:val="none"/>
                      <w:lang w:val="en-US" w:eastAsia="zh-CN"/>
                    </w:rPr>
                  </w:pPr>
                  <w:r>
                    <w:rPr>
                      <w:rFonts w:hint="eastAsia"/>
                      <w:highlight w:val="none"/>
                      <w:lang w:val="en-US" w:eastAsia="zh-CN"/>
                    </w:rPr>
                    <w:t>300</w:t>
                  </w:r>
                </w:p>
              </w:tc>
            </w:tr>
            <w:tr w14:paraId="6537D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54E376E4">
                  <w:pPr>
                    <w:pStyle w:val="32"/>
                    <w:bidi w:val="0"/>
                    <w:rPr>
                      <w:highlight w:val="none"/>
                    </w:rPr>
                  </w:pPr>
                </w:p>
              </w:tc>
              <w:tc>
                <w:tcPr>
                  <w:tcW w:w="746" w:type="dxa"/>
                  <w:tcBorders>
                    <w:tl2br w:val="nil"/>
                    <w:tr2bl w:val="nil"/>
                  </w:tcBorders>
                  <w:vAlign w:val="center"/>
                </w:tcPr>
                <w:p w14:paraId="22CF0D62">
                  <w:pPr>
                    <w:pStyle w:val="32"/>
                    <w:bidi w:val="0"/>
                    <w:rPr>
                      <w:rFonts w:hint="default" w:eastAsia="宋体"/>
                      <w:highlight w:val="none"/>
                      <w:lang w:val="en-US" w:eastAsia="zh-CN"/>
                    </w:rPr>
                  </w:pPr>
                  <w:r>
                    <w:rPr>
                      <w:rFonts w:hint="eastAsia"/>
                      <w:highlight w:val="none"/>
                      <w:lang w:val="en-US" w:eastAsia="zh-CN"/>
                    </w:rPr>
                    <w:t>16</w:t>
                  </w:r>
                </w:p>
              </w:tc>
              <w:tc>
                <w:tcPr>
                  <w:tcW w:w="2311" w:type="dxa"/>
                  <w:tcBorders>
                    <w:tl2br w:val="nil"/>
                    <w:tr2bl w:val="nil"/>
                  </w:tcBorders>
                  <w:vAlign w:val="center"/>
                </w:tcPr>
                <w:p w14:paraId="5A73B190">
                  <w:pPr>
                    <w:pStyle w:val="32"/>
                    <w:bidi w:val="0"/>
                    <w:rPr>
                      <w:rFonts w:hint="default"/>
                      <w:highlight w:val="none"/>
                      <w:lang w:val="en-US" w:eastAsia="zh-CN"/>
                    </w:rPr>
                  </w:pPr>
                  <w:r>
                    <w:rPr>
                      <w:rFonts w:hint="eastAsia"/>
                      <w:highlight w:val="none"/>
                      <w:lang w:val="en-US" w:eastAsia="zh-CN"/>
                    </w:rPr>
                    <w:t>晨帆中医院</w:t>
                  </w:r>
                </w:p>
              </w:tc>
              <w:tc>
                <w:tcPr>
                  <w:tcW w:w="1069" w:type="dxa"/>
                  <w:tcBorders>
                    <w:tl2br w:val="nil"/>
                    <w:tr2bl w:val="nil"/>
                  </w:tcBorders>
                  <w:vAlign w:val="center"/>
                </w:tcPr>
                <w:p w14:paraId="425B9AEF">
                  <w:pPr>
                    <w:pStyle w:val="32"/>
                    <w:bidi w:val="0"/>
                    <w:rPr>
                      <w:rFonts w:hint="default"/>
                      <w:highlight w:val="none"/>
                      <w:lang w:val="en-US" w:eastAsia="zh-CN"/>
                    </w:rPr>
                  </w:pPr>
                  <w:r>
                    <w:rPr>
                      <w:rFonts w:hint="eastAsia"/>
                      <w:highlight w:val="none"/>
                      <w:lang w:val="en-US" w:eastAsia="zh-CN"/>
                    </w:rPr>
                    <w:t>西南</w:t>
                  </w:r>
                </w:p>
              </w:tc>
              <w:tc>
                <w:tcPr>
                  <w:tcW w:w="995" w:type="dxa"/>
                  <w:tcBorders>
                    <w:tl2br w:val="nil"/>
                    <w:tr2bl w:val="nil"/>
                  </w:tcBorders>
                  <w:vAlign w:val="center"/>
                </w:tcPr>
                <w:p w14:paraId="0A163A2A">
                  <w:pPr>
                    <w:pStyle w:val="32"/>
                    <w:bidi w:val="0"/>
                    <w:rPr>
                      <w:rFonts w:hint="default"/>
                      <w:highlight w:val="none"/>
                      <w:lang w:val="en-US" w:eastAsia="zh-CN"/>
                    </w:rPr>
                  </w:pPr>
                  <w:r>
                    <w:rPr>
                      <w:rFonts w:hint="eastAsia"/>
                      <w:highlight w:val="none"/>
                      <w:lang w:val="en-US" w:eastAsia="zh-CN"/>
                    </w:rPr>
                    <w:t>2500</w:t>
                  </w:r>
                </w:p>
              </w:tc>
              <w:tc>
                <w:tcPr>
                  <w:tcW w:w="1268" w:type="dxa"/>
                  <w:gridSpan w:val="2"/>
                  <w:tcBorders>
                    <w:tl2br w:val="nil"/>
                    <w:tr2bl w:val="nil"/>
                  </w:tcBorders>
                  <w:vAlign w:val="center"/>
                </w:tcPr>
                <w:p w14:paraId="57AA29DE">
                  <w:pPr>
                    <w:pStyle w:val="32"/>
                    <w:bidi w:val="0"/>
                    <w:rPr>
                      <w:rFonts w:hint="default"/>
                      <w:highlight w:val="none"/>
                      <w:lang w:val="en-US" w:eastAsia="zh-CN"/>
                    </w:rPr>
                  </w:pPr>
                  <w:r>
                    <w:rPr>
                      <w:rFonts w:hint="eastAsia"/>
                      <w:highlight w:val="none"/>
                      <w:lang w:val="en-US" w:eastAsia="zh-CN"/>
                    </w:rPr>
                    <w:t>医院</w:t>
                  </w:r>
                </w:p>
              </w:tc>
              <w:tc>
                <w:tcPr>
                  <w:tcW w:w="1192" w:type="dxa"/>
                  <w:tcBorders>
                    <w:tl2br w:val="nil"/>
                    <w:tr2bl w:val="nil"/>
                  </w:tcBorders>
                  <w:vAlign w:val="center"/>
                </w:tcPr>
                <w:p w14:paraId="77D7B0F1">
                  <w:pPr>
                    <w:pStyle w:val="32"/>
                    <w:bidi w:val="0"/>
                    <w:rPr>
                      <w:rFonts w:hint="default" w:eastAsia="宋体"/>
                      <w:highlight w:val="none"/>
                      <w:lang w:val="en-US" w:eastAsia="zh-CN"/>
                    </w:rPr>
                  </w:pPr>
                  <w:r>
                    <w:rPr>
                      <w:rFonts w:hint="eastAsia"/>
                      <w:highlight w:val="none"/>
                      <w:lang w:val="en-US" w:eastAsia="zh-CN"/>
                    </w:rPr>
                    <w:t>30</w:t>
                  </w:r>
                </w:p>
              </w:tc>
            </w:tr>
            <w:tr w14:paraId="451CD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45F8AE85">
                  <w:pPr>
                    <w:pStyle w:val="32"/>
                    <w:bidi w:val="0"/>
                    <w:rPr>
                      <w:highlight w:val="none"/>
                    </w:rPr>
                  </w:pPr>
                </w:p>
              </w:tc>
              <w:tc>
                <w:tcPr>
                  <w:tcW w:w="746" w:type="dxa"/>
                  <w:tcBorders>
                    <w:tl2br w:val="nil"/>
                    <w:tr2bl w:val="nil"/>
                  </w:tcBorders>
                  <w:vAlign w:val="center"/>
                </w:tcPr>
                <w:p w14:paraId="6C971ADB">
                  <w:pPr>
                    <w:pStyle w:val="32"/>
                    <w:bidi w:val="0"/>
                    <w:rPr>
                      <w:rFonts w:hint="default" w:eastAsia="宋体"/>
                      <w:highlight w:val="none"/>
                      <w:lang w:val="en-US" w:eastAsia="zh-CN"/>
                    </w:rPr>
                  </w:pPr>
                  <w:r>
                    <w:rPr>
                      <w:rFonts w:hint="eastAsia"/>
                      <w:highlight w:val="none"/>
                      <w:lang w:val="en-US" w:eastAsia="zh-CN"/>
                    </w:rPr>
                    <w:t>17</w:t>
                  </w:r>
                </w:p>
              </w:tc>
              <w:tc>
                <w:tcPr>
                  <w:tcW w:w="2311" w:type="dxa"/>
                  <w:tcBorders>
                    <w:tl2br w:val="nil"/>
                    <w:tr2bl w:val="nil"/>
                  </w:tcBorders>
                  <w:vAlign w:val="center"/>
                </w:tcPr>
                <w:p w14:paraId="23771E14">
                  <w:pPr>
                    <w:pStyle w:val="32"/>
                    <w:bidi w:val="0"/>
                    <w:rPr>
                      <w:rFonts w:hint="default"/>
                      <w:highlight w:val="none"/>
                      <w:lang w:val="en-US" w:eastAsia="zh-CN"/>
                    </w:rPr>
                  </w:pPr>
                  <w:r>
                    <w:rPr>
                      <w:rFonts w:hint="eastAsia"/>
                      <w:highlight w:val="none"/>
                      <w:lang w:val="en-US" w:eastAsia="zh-CN"/>
                    </w:rPr>
                    <w:t>东湖社区卫生服务站</w:t>
                  </w:r>
                </w:p>
              </w:tc>
              <w:tc>
                <w:tcPr>
                  <w:tcW w:w="1069" w:type="dxa"/>
                  <w:tcBorders>
                    <w:tl2br w:val="nil"/>
                    <w:tr2bl w:val="nil"/>
                  </w:tcBorders>
                  <w:vAlign w:val="center"/>
                </w:tcPr>
                <w:p w14:paraId="149BD53A">
                  <w:pPr>
                    <w:pStyle w:val="32"/>
                    <w:bidi w:val="0"/>
                    <w:rPr>
                      <w:rFonts w:hint="default"/>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26EF6435">
                  <w:pPr>
                    <w:pStyle w:val="32"/>
                    <w:bidi w:val="0"/>
                    <w:rPr>
                      <w:rFonts w:hint="default"/>
                      <w:highlight w:val="none"/>
                      <w:lang w:val="en-US" w:eastAsia="zh-CN"/>
                    </w:rPr>
                  </w:pPr>
                  <w:r>
                    <w:rPr>
                      <w:rFonts w:hint="eastAsia"/>
                      <w:highlight w:val="none"/>
                      <w:lang w:val="en-US" w:eastAsia="zh-CN"/>
                    </w:rPr>
                    <w:t>3200</w:t>
                  </w:r>
                </w:p>
              </w:tc>
              <w:tc>
                <w:tcPr>
                  <w:tcW w:w="1268" w:type="dxa"/>
                  <w:gridSpan w:val="2"/>
                  <w:tcBorders>
                    <w:tl2br w:val="nil"/>
                    <w:tr2bl w:val="nil"/>
                  </w:tcBorders>
                  <w:vAlign w:val="center"/>
                </w:tcPr>
                <w:p w14:paraId="768FA168">
                  <w:pPr>
                    <w:pStyle w:val="32"/>
                    <w:bidi w:val="0"/>
                    <w:rPr>
                      <w:rFonts w:hint="default"/>
                      <w:highlight w:val="none"/>
                      <w:lang w:val="en-US" w:eastAsia="zh-CN"/>
                    </w:rPr>
                  </w:pPr>
                  <w:r>
                    <w:rPr>
                      <w:rFonts w:hint="eastAsia"/>
                      <w:highlight w:val="none"/>
                      <w:lang w:val="en-US" w:eastAsia="zh-CN"/>
                    </w:rPr>
                    <w:t>医院</w:t>
                  </w:r>
                </w:p>
              </w:tc>
              <w:tc>
                <w:tcPr>
                  <w:tcW w:w="1192" w:type="dxa"/>
                  <w:tcBorders>
                    <w:tl2br w:val="nil"/>
                    <w:tr2bl w:val="nil"/>
                  </w:tcBorders>
                  <w:vAlign w:val="center"/>
                </w:tcPr>
                <w:p w14:paraId="0C021E61">
                  <w:pPr>
                    <w:pStyle w:val="32"/>
                    <w:bidi w:val="0"/>
                    <w:rPr>
                      <w:rFonts w:hint="default" w:eastAsia="宋体"/>
                      <w:highlight w:val="none"/>
                      <w:lang w:val="en-US" w:eastAsia="zh-CN"/>
                    </w:rPr>
                  </w:pPr>
                  <w:r>
                    <w:rPr>
                      <w:rFonts w:hint="eastAsia"/>
                      <w:highlight w:val="none"/>
                      <w:lang w:val="en-US" w:eastAsia="zh-CN"/>
                    </w:rPr>
                    <w:t>10</w:t>
                  </w:r>
                </w:p>
              </w:tc>
            </w:tr>
            <w:tr w14:paraId="3D7A8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63391EFD">
                  <w:pPr>
                    <w:pStyle w:val="32"/>
                    <w:bidi w:val="0"/>
                    <w:rPr>
                      <w:highlight w:val="none"/>
                    </w:rPr>
                  </w:pPr>
                </w:p>
              </w:tc>
              <w:tc>
                <w:tcPr>
                  <w:tcW w:w="746" w:type="dxa"/>
                  <w:tcBorders>
                    <w:tl2br w:val="nil"/>
                    <w:tr2bl w:val="nil"/>
                  </w:tcBorders>
                  <w:vAlign w:val="center"/>
                </w:tcPr>
                <w:p w14:paraId="05963C1F">
                  <w:pPr>
                    <w:pStyle w:val="32"/>
                    <w:bidi w:val="0"/>
                    <w:rPr>
                      <w:rFonts w:hint="default" w:eastAsia="宋体"/>
                      <w:highlight w:val="none"/>
                      <w:lang w:val="en-US" w:eastAsia="zh-CN"/>
                    </w:rPr>
                  </w:pPr>
                  <w:r>
                    <w:rPr>
                      <w:rFonts w:hint="eastAsia"/>
                      <w:highlight w:val="none"/>
                      <w:lang w:val="en-US" w:eastAsia="zh-CN"/>
                    </w:rPr>
                    <w:t>18</w:t>
                  </w:r>
                </w:p>
              </w:tc>
              <w:tc>
                <w:tcPr>
                  <w:tcW w:w="2311" w:type="dxa"/>
                  <w:tcBorders>
                    <w:tl2br w:val="nil"/>
                    <w:tr2bl w:val="nil"/>
                  </w:tcBorders>
                  <w:vAlign w:val="center"/>
                </w:tcPr>
                <w:p w14:paraId="42EA0FA8">
                  <w:pPr>
                    <w:pStyle w:val="32"/>
                    <w:bidi w:val="0"/>
                    <w:rPr>
                      <w:rFonts w:hint="default"/>
                      <w:highlight w:val="none"/>
                      <w:lang w:val="en-US" w:eastAsia="zh-CN"/>
                    </w:rPr>
                  </w:pPr>
                  <w:r>
                    <w:rPr>
                      <w:rFonts w:hint="eastAsia"/>
                      <w:highlight w:val="none"/>
                      <w:lang w:val="en-US" w:eastAsia="zh-CN"/>
                    </w:rPr>
                    <w:t>新苑社区卫生服务站</w:t>
                  </w:r>
                </w:p>
              </w:tc>
              <w:tc>
                <w:tcPr>
                  <w:tcW w:w="1069" w:type="dxa"/>
                  <w:tcBorders>
                    <w:tl2br w:val="nil"/>
                    <w:tr2bl w:val="nil"/>
                  </w:tcBorders>
                  <w:vAlign w:val="center"/>
                </w:tcPr>
                <w:p w14:paraId="405DE1B0">
                  <w:pPr>
                    <w:pStyle w:val="32"/>
                    <w:bidi w:val="0"/>
                    <w:rPr>
                      <w:rFonts w:hint="default"/>
                      <w:highlight w:val="none"/>
                      <w:lang w:val="en-US" w:eastAsia="zh-CN"/>
                    </w:rPr>
                  </w:pPr>
                  <w:r>
                    <w:rPr>
                      <w:rFonts w:hint="eastAsia"/>
                      <w:highlight w:val="none"/>
                      <w:lang w:val="en-US" w:eastAsia="zh-CN"/>
                    </w:rPr>
                    <w:t>南侧</w:t>
                  </w:r>
                </w:p>
              </w:tc>
              <w:tc>
                <w:tcPr>
                  <w:tcW w:w="995" w:type="dxa"/>
                  <w:tcBorders>
                    <w:tl2br w:val="nil"/>
                    <w:tr2bl w:val="nil"/>
                  </w:tcBorders>
                  <w:vAlign w:val="center"/>
                </w:tcPr>
                <w:p w14:paraId="31E469B1">
                  <w:pPr>
                    <w:pStyle w:val="32"/>
                    <w:bidi w:val="0"/>
                    <w:rPr>
                      <w:rFonts w:hint="default"/>
                      <w:highlight w:val="none"/>
                      <w:lang w:val="en-US" w:eastAsia="zh-CN"/>
                    </w:rPr>
                  </w:pPr>
                  <w:r>
                    <w:rPr>
                      <w:rFonts w:hint="eastAsia"/>
                      <w:highlight w:val="none"/>
                      <w:lang w:val="en-US" w:eastAsia="zh-CN"/>
                    </w:rPr>
                    <w:t>3000</w:t>
                  </w:r>
                </w:p>
              </w:tc>
              <w:tc>
                <w:tcPr>
                  <w:tcW w:w="1268" w:type="dxa"/>
                  <w:gridSpan w:val="2"/>
                  <w:tcBorders>
                    <w:tl2br w:val="nil"/>
                    <w:tr2bl w:val="nil"/>
                  </w:tcBorders>
                  <w:vAlign w:val="center"/>
                </w:tcPr>
                <w:p w14:paraId="49BBC100">
                  <w:pPr>
                    <w:pStyle w:val="32"/>
                    <w:bidi w:val="0"/>
                    <w:ind w:firstLine="0" w:firstLineChars="0"/>
                    <w:rPr>
                      <w:rFonts w:hint="default"/>
                      <w:highlight w:val="none"/>
                      <w:lang w:val="en-US" w:eastAsia="zh-CN"/>
                    </w:rPr>
                  </w:pPr>
                  <w:r>
                    <w:rPr>
                      <w:rFonts w:hint="eastAsia"/>
                      <w:highlight w:val="none"/>
                      <w:lang w:val="en-US" w:eastAsia="zh-CN"/>
                    </w:rPr>
                    <w:t>医院</w:t>
                  </w:r>
                </w:p>
              </w:tc>
              <w:tc>
                <w:tcPr>
                  <w:tcW w:w="1192" w:type="dxa"/>
                  <w:tcBorders>
                    <w:tl2br w:val="nil"/>
                    <w:tr2bl w:val="nil"/>
                  </w:tcBorders>
                  <w:vAlign w:val="center"/>
                </w:tcPr>
                <w:p w14:paraId="57D43331">
                  <w:pPr>
                    <w:pStyle w:val="32"/>
                    <w:bidi w:val="0"/>
                    <w:rPr>
                      <w:rFonts w:hint="default" w:eastAsia="宋体"/>
                      <w:highlight w:val="none"/>
                      <w:lang w:val="en-US" w:eastAsia="zh-CN"/>
                    </w:rPr>
                  </w:pPr>
                  <w:r>
                    <w:rPr>
                      <w:rFonts w:hint="eastAsia"/>
                      <w:highlight w:val="none"/>
                      <w:lang w:val="en-US" w:eastAsia="zh-CN"/>
                    </w:rPr>
                    <w:t>10</w:t>
                  </w:r>
                </w:p>
              </w:tc>
            </w:tr>
            <w:tr w14:paraId="06602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01486614">
                  <w:pPr>
                    <w:pStyle w:val="32"/>
                    <w:bidi w:val="0"/>
                    <w:rPr>
                      <w:highlight w:val="none"/>
                    </w:rPr>
                  </w:pPr>
                </w:p>
              </w:tc>
              <w:tc>
                <w:tcPr>
                  <w:tcW w:w="746" w:type="dxa"/>
                  <w:tcBorders>
                    <w:tl2br w:val="nil"/>
                    <w:tr2bl w:val="nil"/>
                  </w:tcBorders>
                  <w:vAlign w:val="center"/>
                </w:tcPr>
                <w:p w14:paraId="74F766B2">
                  <w:pPr>
                    <w:pStyle w:val="32"/>
                    <w:bidi w:val="0"/>
                    <w:rPr>
                      <w:rFonts w:hint="default" w:eastAsia="宋体"/>
                      <w:highlight w:val="none"/>
                      <w:lang w:val="en-US" w:eastAsia="zh-CN"/>
                    </w:rPr>
                  </w:pPr>
                  <w:r>
                    <w:rPr>
                      <w:rFonts w:hint="eastAsia"/>
                      <w:highlight w:val="none"/>
                      <w:lang w:val="en-US" w:eastAsia="zh-CN"/>
                    </w:rPr>
                    <w:t>19</w:t>
                  </w:r>
                </w:p>
              </w:tc>
              <w:tc>
                <w:tcPr>
                  <w:tcW w:w="2311" w:type="dxa"/>
                  <w:tcBorders>
                    <w:tl2br w:val="nil"/>
                    <w:tr2bl w:val="nil"/>
                  </w:tcBorders>
                  <w:vAlign w:val="center"/>
                </w:tcPr>
                <w:p w14:paraId="6C893BB4">
                  <w:pPr>
                    <w:pStyle w:val="32"/>
                    <w:bidi w:val="0"/>
                    <w:rPr>
                      <w:rFonts w:hint="default"/>
                      <w:highlight w:val="none"/>
                      <w:lang w:val="en-US" w:eastAsia="zh-CN"/>
                    </w:rPr>
                  </w:pPr>
                  <w:r>
                    <w:rPr>
                      <w:rFonts w:hint="eastAsia"/>
                      <w:highlight w:val="none"/>
                      <w:lang w:val="en-US" w:eastAsia="zh-CN"/>
                    </w:rPr>
                    <w:t>库尔勒市美康口腔医院</w:t>
                  </w:r>
                </w:p>
              </w:tc>
              <w:tc>
                <w:tcPr>
                  <w:tcW w:w="1069" w:type="dxa"/>
                  <w:tcBorders>
                    <w:tl2br w:val="nil"/>
                    <w:tr2bl w:val="nil"/>
                  </w:tcBorders>
                  <w:vAlign w:val="center"/>
                </w:tcPr>
                <w:p w14:paraId="6A4407FB">
                  <w:pPr>
                    <w:pStyle w:val="32"/>
                    <w:bidi w:val="0"/>
                    <w:rPr>
                      <w:rFonts w:hint="default"/>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7FAB042F">
                  <w:pPr>
                    <w:pStyle w:val="32"/>
                    <w:bidi w:val="0"/>
                    <w:rPr>
                      <w:rFonts w:hint="default"/>
                      <w:highlight w:val="none"/>
                      <w:lang w:val="en-US" w:eastAsia="zh-CN"/>
                    </w:rPr>
                  </w:pPr>
                  <w:r>
                    <w:rPr>
                      <w:rFonts w:hint="eastAsia"/>
                      <w:highlight w:val="none"/>
                      <w:lang w:val="en-US" w:eastAsia="zh-CN"/>
                    </w:rPr>
                    <w:t>4300</w:t>
                  </w:r>
                </w:p>
              </w:tc>
              <w:tc>
                <w:tcPr>
                  <w:tcW w:w="1268" w:type="dxa"/>
                  <w:gridSpan w:val="2"/>
                  <w:tcBorders>
                    <w:tl2br w:val="nil"/>
                    <w:tr2bl w:val="nil"/>
                  </w:tcBorders>
                  <w:vAlign w:val="center"/>
                </w:tcPr>
                <w:p w14:paraId="2DF6A985">
                  <w:pPr>
                    <w:pStyle w:val="32"/>
                    <w:bidi w:val="0"/>
                    <w:ind w:firstLine="0" w:firstLineChars="0"/>
                    <w:rPr>
                      <w:rFonts w:hint="default"/>
                      <w:highlight w:val="none"/>
                      <w:lang w:val="en-US" w:eastAsia="zh-CN"/>
                    </w:rPr>
                  </w:pPr>
                  <w:r>
                    <w:rPr>
                      <w:rFonts w:hint="eastAsia"/>
                      <w:highlight w:val="none"/>
                      <w:lang w:val="en-US" w:eastAsia="zh-CN"/>
                    </w:rPr>
                    <w:t>医院</w:t>
                  </w:r>
                </w:p>
              </w:tc>
              <w:tc>
                <w:tcPr>
                  <w:tcW w:w="1192" w:type="dxa"/>
                  <w:tcBorders>
                    <w:tl2br w:val="nil"/>
                    <w:tr2bl w:val="nil"/>
                  </w:tcBorders>
                  <w:vAlign w:val="center"/>
                </w:tcPr>
                <w:p w14:paraId="2AD9B502">
                  <w:pPr>
                    <w:pStyle w:val="32"/>
                    <w:bidi w:val="0"/>
                    <w:rPr>
                      <w:rFonts w:hint="default" w:eastAsia="宋体"/>
                      <w:highlight w:val="none"/>
                      <w:lang w:val="en-US" w:eastAsia="zh-CN"/>
                    </w:rPr>
                  </w:pPr>
                  <w:r>
                    <w:rPr>
                      <w:rFonts w:hint="eastAsia"/>
                      <w:highlight w:val="none"/>
                      <w:lang w:val="en-US" w:eastAsia="zh-CN"/>
                    </w:rPr>
                    <w:t>10</w:t>
                  </w:r>
                </w:p>
              </w:tc>
            </w:tr>
            <w:tr w14:paraId="44715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70E107D0">
                  <w:pPr>
                    <w:pStyle w:val="32"/>
                    <w:bidi w:val="0"/>
                    <w:rPr>
                      <w:highlight w:val="none"/>
                    </w:rPr>
                  </w:pPr>
                </w:p>
              </w:tc>
              <w:tc>
                <w:tcPr>
                  <w:tcW w:w="746" w:type="dxa"/>
                  <w:tcBorders>
                    <w:tl2br w:val="nil"/>
                    <w:tr2bl w:val="nil"/>
                  </w:tcBorders>
                  <w:vAlign w:val="center"/>
                </w:tcPr>
                <w:p w14:paraId="71FB2DC1">
                  <w:pPr>
                    <w:pStyle w:val="32"/>
                    <w:bidi w:val="0"/>
                    <w:rPr>
                      <w:rFonts w:hint="default" w:eastAsia="宋体"/>
                      <w:highlight w:val="none"/>
                      <w:lang w:val="en-US" w:eastAsia="zh-CN"/>
                    </w:rPr>
                  </w:pPr>
                  <w:r>
                    <w:rPr>
                      <w:rFonts w:hint="eastAsia"/>
                      <w:highlight w:val="none"/>
                      <w:lang w:val="en-US" w:eastAsia="zh-CN"/>
                    </w:rPr>
                    <w:t>20</w:t>
                  </w:r>
                </w:p>
              </w:tc>
              <w:tc>
                <w:tcPr>
                  <w:tcW w:w="2311" w:type="dxa"/>
                  <w:tcBorders>
                    <w:tl2br w:val="nil"/>
                    <w:tr2bl w:val="nil"/>
                  </w:tcBorders>
                  <w:vAlign w:val="center"/>
                </w:tcPr>
                <w:p w14:paraId="2B6DC7AE">
                  <w:pPr>
                    <w:pStyle w:val="32"/>
                    <w:bidi w:val="0"/>
                    <w:rPr>
                      <w:rFonts w:hint="default"/>
                      <w:highlight w:val="none"/>
                      <w:lang w:val="en-US" w:eastAsia="zh-CN"/>
                    </w:rPr>
                  </w:pPr>
                  <w:r>
                    <w:rPr>
                      <w:rFonts w:hint="eastAsia"/>
                      <w:highlight w:val="none"/>
                      <w:lang w:val="en-US" w:eastAsia="zh-CN"/>
                    </w:rPr>
                    <w:t>库尔勒中医医院</w:t>
                  </w:r>
                </w:p>
              </w:tc>
              <w:tc>
                <w:tcPr>
                  <w:tcW w:w="1069" w:type="dxa"/>
                  <w:tcBorders>
                    <w:tl2br w:val="nil"/>
                    <w:tr2bl w:val="nil"/>
                  </w:tcBorders>
                  <w:vAlign w:val="center"/>
                </w:tcPr>
                <w:p w14:paraId="1E790F8D">
                  <w:pPr>
                    <w:pStyle w:val="32"/>
                    <w:bidi w:val="0"/>
                    <w:rPr>
                      <w:rFonts w:hint="default"/>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6D2DB92F">
                  <w:pPr>
                    <w:pStyle w:val="32"/>
                    <w:bidi w:val="0"/>
                    <w:rPr>
                      <w:rFonts w:hint="default"/>
                      <w:highlight w:val="none"/>
                      <w:lang w:val="en-US" w:eastAsia="zh-CN"/>
                    </w:rPr>
                  </w:pPr>
                  <w:r>
                    <w:rPr>
                      <w:rFonts w:hint="eastAsia"/>
                      <w:highlight w:val="none"/>
                      <w:lang w:val="en-US" w:eastAsia="zh-CN"/>
                    </w:rPr>
                    <w:t>4870</w:t>
                  </w:r>
                </w:p>
              </w:tc>
              <w:tc>
                <w:tcPr>
                  <w:tcW w:w="1268" w:type="dxa"/>
                  <w:gridSpan w:val="2"/>
                  <w:tcBorders>
                    <w:tl2br w:val="nil"/>
                    <w:tr2bl w:val="nil"/>
                  </w:tcBorders>
                  <w:vAlign w:val="center"/>
                </w:tcPr>
                <w:p w14:paraId="26AD2C35">
                  <w:pPr>
                    <w:pStyle w:val="32"/>
                    <w:bidi w:val="0"/>
                    <w:ind w:firstLine="0" w:firstLineChars="0"/>
                    <w:rPr>
                      <w:rFonts w:hint="default"/>
                      <w:highlight w:val="none"/>
                      <w:lang w:val="en-US" w:eastAsia="zh-CN"/>
                    </w:rPr>
                  </w:pPr>
                  <w:r>
                    <w:rPr>
                      <w:rFonts w:hint="eastAsia"/>
                      <w:highlight w:val="none"/>
                      <w:lang w:val="en-US" w:eastAsia="zh-CN"/>
                    </w:rPr>
                    <w:t>医院</w:t>
                  </w:r>
                </w:p>
              </w:tc>
              <w:tc>
                <w:tcPr>
                  <w:tcW w:w="1192" w:type="dxa"/>
                  <w:tcBorders>
                    <w:tl2br w:val="nil"/>
                    <w:tr2bl w:val="nil"/>
                  </w:tcBorders>
                  <w:vAlign w:val="center"/>
                </w:tcPr>
                <w:p w14:paraId="18DF8575">
                  <w:pPr>
                    <w:pStyle w:val="32"/>
                    <w:bidi w:val="0"/>
                    <w:rPr>
                      <w:rFonts w:hint="default" w:eastAsia="宋体"/>
                      <w:highlight w:val="none"/>
                      <w:lang w:val="en-US" w:eastAsia="zh-CN"/>
                    </w:rPr>
                  </w:pPr>
                  <w:r>
                    <w:rPr>
                      <w:rFonts w:hint="eastAsia"/>
                      <w:highlight w:val="none"/>
                      <w:lang w:val="en-US" w:eastAsia="zh-CN"/>
                    </w:rPr>
                    <w:t>100</w:t>
                  </w:r>
                </w:p>
              </w:tc>
            </w:tr>
            <w:tr w14:paraId="3D8C9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1BC20150">
                  <w:pPr>
                    <w:pStyle w:val="32"/>
                    <w:bidi w:val="0"/>
                    <w:rPr>
                      <w:highlight w:val="none"/>
                    </w:rPr>
                  </w:pPr>
                </w:p>
              </w:tc>
              <w:tc>
                <w:tcPr>
                  <w:tcW w:w="746" w:type="dxa"/>
                  <w:tcBorders>
                    <w:tl2br w:val="nil"/>
                    <w:tr2bl w:val="nil"/>
                  </w:tcBorders>
                  <w:vAlign w:val="center"/>
                </w:tcPr>
                <w:p w14:paraId="057CCD98">
                  <w:pPr>
                    <w:pStyle w:val="32"/>
                    <w:bidi w:val="0"/>
                    <w:rPr>
                      <w:rFonts w:hint="default" w:eastAsia="宋体"/>
                      <w:highlight w:val="none"/>
                      <w:lang w:val="en-US" w:eastAsia="zh-CN"/>
                    </w:rPr>
                  </w:pPr>
                  <w:r>
                    <w:rPr>
                      <w:rFonts w:hint="eastAsia"/>
                      <w:highlight w:val="none"/>
                      <w:lang w:val="en-US" w:eastAsia="zh-CN"/>
                    </w:rPr>
                    <w:t>21</w:t>
                  </w:r>
                </w:p>
              </w:tc>
              <w:tc>
                <w:tcPr>
                  <w:tcW w:w="2311" w:type="dxa"/>
                  <w:tcBorders>
                    <w:tl2br w:val="nil"/>
                    <w:tr2bl w:val="nil"/>
                  </w:tcBorders>
                  <w:vAlign w:val="center"/>
                </w:tcPr>
                <w:p w14:paraId="0C0A9CAB">
                  <w:pPr>
                    <w:pStyle w:val="32"/>
                    <w:bidi w:val="0"/>
                    <w:rPr>
                      <w:rFonts w:hint="default"/>
                      <w:highlight w:val="none"/>
                      <w:lang w:val="en-US" w:eastAsia="zh-CN"/>
                    </w:rPr>
                  </w:pPr>
                  <w:r>
                    <w:rPr>
                      <w:rFonts w:hint="eastAsia"/>
                      <w:highlight w:val="none"/>
                      <w:lang w:val="en-US" w:eastAsia="zh-CN"/>
                    </w:rPr>
                    <w:t>农二师技工学校</w:t>
                  </w:r>
                </w:p>
              </w:tc>
              <w:tc>
                <w:tcPr>
                  <w:tcW w:w="1069" w:type="dxa"/>
                  <w:tcBorders>
                    <w:tl2br w:val="nil"/>
                    <w:tr2bl w:val="nil"/>
                  </w:tcBorders>
                  <w:vAlign w:val="center"/>
                </w:tcPr>
                <w:p w14:paraId="0AFE52AD">
                  <w:pPr>
                    <w:pStyle w:val="32"/>
                    <w:bidi w:val="0"/>
                    <w:rPr>
                      <w:rFonts w:hint="default"/>
                      <w:highlight w:val="none"/>
                      <w:lang w:val="en-US" w:eastAsia="zh-CN"/>
                    </w:rPr>
                  </w:pPr>
                  <w:r>
                    <w:rPr>
                      <w:rFonts w:hint="eastAsia"/>
                      <w:highlight w:val="none"/>
                      <w:lang w:val="en-US" w:eastAsia="zh-CN"/>
                    </w:rPr>
                    <w:t>南侧</w:t>
                  </w:r>
                </w:p>
              </w:tc>
              <w:tc>
                <w:tcPr>
                  <w:tcW w:w="995" w:type="dxa"/>
                  <w:tcBorders>
                    <w:tl2br w:val="nil"/>
                    <w:tr2bl w:val="nil"/>
                  </w:tcBorders>
                  <w:vAlign w:val="center"/>
                </w:tcPr>
                <w:p w14:paraId="0176B745">
                  <w:pPr>
                    <w:pStyle w:val="32"/>
                    <w:bidi w:val="0"/>
                    <w:rPr>
                      <w:rFonts w:hint="default"/>
                      <w:highlight w:val="none"/>
                      <w:lang w:val="en-US" w:eastAsia="zh-CN"/>
                    </w:rPr>
                  </w:pPr>
                  <w:r>
                    <w:rPr>
                      <w:rFonts w:hint="eastAsia"/>
                      <w:highlight w:val="none"/>
                      <w:lang w:val="en-US" w:eastAsia="zh-CN"/>
                    </w:rPr>
                    <w:t>4900</w:t>
                  </w:r>
                </w:p>
              </w:tc>
              <w:tc>
                <w:tcPr>
                  <w:tcW w:w="1268" w:type="dxa"/>
                  <w:gridSpan w:val="2"/>
                  <w:tcBorders>
                    <w:tl2br w:val="nil"/>
                    <w:tr2bl w:val="nil"/>
                  </w:tcBorders>
                  <w:vAlign w:val="center"/>
                </w:tcPr>
                <w:p w14:paraId="12A23FB5">
                  <w:pPr>
                    <w:pStyle w:val="32"/>
                    <w:bidi w:val="0"/>
                    <w:rPr>
                      <w:rFonts w:hint="default"/>
                      <w:highlight w:val="none"/>
                      <w:lang w:val="en-US" w:eastAsia="zh-CN"/>
                    </w:rPr>
                  </w:pPr>
                  <w:r>
                    <w:rPr>
                      <w:rFonts w:hint="eastAsia"/>
                      <w:highlight w:val="none"/>
                      <w:lang w:val="en-US" w:eastAsia="zh-CN"/>
                    </w:rPr>
                    <w:t>学校</w:t>
                  </w:r>
                </w:p>
              </w:tc>
              <w:tc>
                <w:tcPr>
                  <w:tcW w:w="1192" w:type="dxa"/>
                  <w:tcBorders>
                    <w:tl2br w:val="nil"/>
                    <w:tr2bl w:val="nil"/>
                  </w:tcBorders>
                  <w:vAlign w:val="center"/>
                </w:tcPr>
                <w:p w14:paraId="3FBF8009">
                  <w:pPr>
                    <w:pStyle w:val="32"/>
                    <w:bidi w:val="0"/>
                    <w:rPr>
                      <w:rFonts w:hint="default" w:eastAsia="宋体"/>
                      <w:highlight w:val="none"/>
                      <w:lang w:val="en-US" w:eastAsia="zh-CN"/>
                    </w:rPr>
                  </w:pPr>
                  <w:r>
                    <w:rPr>
                      <w:rFonts w:hint="eastAsia"/>
                      <w:highlight w:val="none"/>
                      <w:lang w:val="en-US" w:eastAsia="zh-CN"/>
                    </w:rPr>
                    <w:t>1000</w:t>
                  </w:r>
                </w:p>
              </w:tc>
            </w:tr>
            <w:tr w14:paraId="7057C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362CA80F">
                  <w:pPr>
                    <w:pStyle w:val="32"/>
                    <w:bidi w:val="0"/>
                    <w:rPr>
                      <w:highlight w:val="none"/>
                    </w:rPr>
                  </w:pPr>
                </w:p>
              </w:tc>
              <w:tc>
                <w:tcPr>
                  <w:tcW w:w="746" w:type="dxa"/>
                  <w:tcBorders>
                    <w:tl2br w:val="nil"/>
                    <w:tr2bl w:val="nil"/>
                  </w:tcBorders>
                  <w:vAlign w:val="center"/>
                </w:tcPr>
                <w:p w14:paraId="08F645F0">
                  <w:pPr>
                    <w:pStyle w:val="32"/>
                    <w:bidi w:val="0"/>
                    <w:rPr>
                      <w:rFonts w:hint="default"/>
                      <w:highlight w:val="none"/>
                      <w:lang w:val="en-US" w:eastAsia="zh-CN"/>
                    </w:rPr>
                  </w:pPr>
                  <w:r>
                    <w:rPr>
                      <w:rFonts w:hint="eastAsia"/>
                      <w:highlight w:val="none"/>
                      <w:lang w:val="en-US" w:eastAsia="zh-CN"/>
                    </w:rPr>
                    <w:t>22</w:t>
                  </w:r>
                </w:p>
              </w:tc>
              <w:tc>
                <w:tcPr>
                  <w:tcW w:w="2311" w:type="dxa"/>
                  <w:tcBorders>
                    <w:tl2br w:val="nil"/>
                    <w:tr2bl w:val="nil"/>
                  </w:tcBorders>
                  <w:vAlign w:val="center"/>
                </w:tcPr>
                <w:p w14:paraId="39B07446">
                  <w:pPr>
                    <w:pStyle w:val="32"/>
                    <w:bidi w:val="0"/>
                    <w:rPr>
                      <w:rFonts w:hint="eastAsia"/>
                      <w:highlight w:val="none"/>
                      <w:lang w:val="en-US" w:eastAsia="zh-CN"/>
                    </w:rPr>
                  </w:pPr>
                  <w:r>
                    <w:rPr>
                      <w:rFonts w:hint="eastAsia"/>
                      <w:highlight w:val="none"/>
                      <w:lang w:val="en-US" w:eastAsia="zh-CN"/>
                    </w:rPr>
                    <w:t>库尔勒市第三中学</w:t>
                  </w:r>
                </w:p>
              </w:tc>
              <w:tc>
                <w:tcPr>
                  <w:tcW w:w="1069" w:type="dxa"/>
                  <w:tcBorders>
                    <w:tl2br w:val="nil"/>
                    <w:tr2bl w:val="nil"/>
                  </w:tcBorders>
                  <w:vAlign w:val="center"/>
                </w:tcPr>
                <w:p w14:paraId="73AFD047">
                  <w:pPr>
                    <w:pStyle w:val="32"/>
                    <w:bidi w:val="0"/>
                    <w:rPr>
                      <w:rFonts w:hint="default"/>
                      <w:highlight w:val="none"/>
                      <w:lang w:val="en-US" w:eastAsia="zh-CN"/>
                    </w:rPr>
                  </w:pPr>
                  <w:r>
                    <w:rPr>
                      <w:rFonts w:hint="eastAsia"/>
                      <w:highlight w:val="none"/>
                      <w:lang w:val="en-US" w:eastAsia="zh-CN"/>
                    </w:rPr>
                    <w:t>西南侧</w:t>
                  </w:r>
                </w:p>
              </w:tc>
              <w:tc>
                <w:tcPr>
                  <w:tcW w:w="995" w:type="dxa"/>
                  <w:tcBorders>
                    <w:tl2br w:val="nil"/>
                    <w:tr2bl w:val="nil"/>
                  </w:tcBorders>
                  <w:vAlign w:val="center"/>
                </w:tcPr>
                <w:p w14:paraId="58D2AA0C">
                  <w:pPr>
                    <w:pStyle w:val="32"/>
                    <w:bidi w:val="0"/>
                    <w:rPr>
                      <w:rFonts w:hint="default"/>
                      <w:highlight w:val="none"/>
                      <w:lang w:val="en-US" w:eastAsia="zh-CN"/>
                    </w:rPr>
                  </w:pPr>
                  <w:r>
                    <w:rPr>
                      <w:rFonts w:hint="eastAsia"/>
                      <w:highlight w:val="none"/>
                      <w:lang w:val="en-US" w:eastAsia="zh-CN"/>
                    </w:rPr>
                    <w:t>3800</w:t>
                  </w:r>
                </w:p>
              </w:tc>
              <w:tc>
                <w:tcPr>
                  <w:tcW w:w="1268" w:type="dxa"/>
                  <w:gridSpan w:val="2"/>
                  <w:tcBorders>
                    <w:tl2br w:val="nil"/>
                    <w:tr2bl w:val="nil"/>
                  </w:tcBorders>
                  <w:vAlign w:val="center"/>
                </w:tcPr>
                <w:p w14:paraId="17D593D9">
                  <w:pPr>
                    <w:pStyle w:val="32"/>
                    <w:bidi w:val="0"/>
                    <w:rPr>
                      <w:rFonts w:hint="default"/>
                      <w:highlight w:val="none"/>
                      <w:lang w:val="en-US" w:eastAsia="zh-CN"/>
                    </w:rPr>
                  </w:pPr>
                  <w:r>
                    <w:rPr>
                      <w:rFonts w:hint="eastAsia"/>
                      <w:highlight w:val="none"/>
                      <w:lang w:val="en-US" w:eastAsia="zh-CN"/>
                    </w:rPr>
                    <w:t>学校</w:t>
                  </w:r>
                </w:p>
              </w:tc>
              <w:tc>
                <w:tcPr>
                  <w:tcW w:w="1192" w:type="dxa"/>
                  <w:tcBorders>
                    <w:tl2br w:val="nil"/>
                    <w:tr2bl w:val="nil"/>
                  </w:tcBorders>
                  <w:vAlign w:val="center"/>
                </w:tcPr>
                <w:p w14:paraId="245E37D3">
                  <w:pPr>
                    <w:pStyle w:val="32"/>
                    <w:bidi w:val="0"/>
                    <w:rPr>
                      <w:rFonts w:hint="default" w:eastAsia="宋体"/>
                      <w:highlight w:val="none"/>
                      <w:lang w:val="en-US" w:eastAsia="zh-CN"/>
                    </w:rPr>
                  </w:pPr>
                  <w:r>
                    <w:rPr>
                      <w:rFonts w:hint="eastAsia"/>
                      <w:highlight w:val="none"/>
                      <w:lang w:val="en-US" w:eastAsia="zh-CN"/>
                    </w:rPr>
                    <w:t>1000</w:t>
                  </w:r>
                </w:p>
              </w:tc>
            </w:tr>
            <w:tr w14:paraId="5480C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7F903447">
                  <w:pPr>
                    <w:pStyle w:val="32"/>
                    <w:bidi w:val="0"/>
                    <w:rPr>
                      <w:highlight w:val="none"/>
                    </w:rPr>
                  </w:pPr>
                </w:p>
              </w:tc>
              <w:tc>
                <w:tcPr>
                  <w:tcW w:w="746" w:type="dxa"/>
                  <w:tcBorders>
                    <w:tl2br w:val="nil"/>
                    <w:tr2bl w:val="nil"/>
                  </w:tcBorders>
                  <w:vAlign w:val="center"/>
                </w:tcPr>
                <w:p w14:paraId="2B89CBBE">
                  <w:pPr>
                    <w:pStyle w:val="32"/>
                    <w:bidi w:val="0"/>
                    <w:rPr>
                      <w:rFonts w:hint="default" w:eastAsia="宋体"/>
                      <w:highlight w:val="none"/>
                      <w:lang w:val="en-US" w:eastAsia="zh-CN"/>
                    </w:rPr>
                  </w:pPr>
                  <w:r>
                    <w:rPr>
                      <w:rFonts w:hint="eastAsia"/>
                      <w:highlight w:val="none"/>
                      <w:lang w:val="en-US" w:eastAsia="zh-CN"/>
                    </w:rPr>
                    <w:t>23</w:t>
                  </w:r>
                </w:p>
              </w:tc>
              <w:tc>
                <w:tcPr>
                  <w:tcW w:w="2311" w:type="dxa"/>
                  <w:tcBorders>
                    <w:tl2br w:val="nil"/>
                    <w:tr2bl w:val="nil"/>
                  </w:tcBorders>
                  <w:vAlign w:val="center"/>
                </w:tcPr>
                <w:p w14:paraId="6F3380DA">
                  <w:pPr>
                    <w:pStyle w:val="32"/>
                    <w:bidi w:val="0"/>
                    <w:rPr>
                      <w:rFonts w:hint="default"/>
                      <w:highlight w:val="none"/>
                      <w:lang w:val="en-US" w:eastAsia="zh-CN"/>
                    </w:rPr>
                  </w:pPr>
                  <w:r>
                    <w:rPr>
                      <w:rFonts w:hint="eastAsia"/>
                      <w:highlight w:val="none"/>
                      <w:lang w:val="en-US" w:eastAsia="zh-CN"/>
                    </w:rPr>
                    <w:t>库尔勒市第二十二中学</w:t>
                  </w:r>
                </w:p>
              </w:tc>
              <w:tc>
                <w:tcPr>
                  <w:tcW w:w="1069" w:type="dxa"/>
                  <w:tcBorders>
                    <w:tl2br w:val="nil"/>
                    <w:tr2bl w:val="nil"/>
                  </w:tcBorders>
                  <w:vAlign w:val="center"/>
                </w:tcPr>
                <w:p w14:paraId="147CDF45">
                  <w:pPr>
                    <w:pStyle w:val="32"/>
                    <w:bidi w:val="0"/>
                    <w:rPr>
                      <w:rFonts w:hint="default"/>
                      <w:highlight w:val="none"/>
                      <w:lang w:val="en-US" w:eastAsia="zh-CN"/>
                    </w:rPr>
                  </w:pPr>
                  <w:r>
                    <w:rPr>
                      <w:rFonts w:hint="eastAsia"/>
                      <w:highlight w:val="none"/>
                      <w:lang w:val="en-US" w:eastAsia="zh-CN"/>
                    </w:rPr>
                    <w:t>南侧</w:t>
                  </w:r>
                </w:p>
              </w:tc>
              <w:tc>
                <w:tcPr>
                  <w:tcW w:w="995" w:type="dxa"/>
                  <w:tcBorders>
                    <w:tl2br w:val="nil"/>
                    <w:tr2bl w:val="nil"/>
                  </w:tcBorders>
                  <w:vAlign w:val="center"/>
                </w:tcPr>
                <w:p w14:paraId="0937F5EF">
                  <w:pPr>
                    <w:pStyle w:val="32"/>
                    <w:bidi w:val="0"/>
                    <w:rPr>
                      <w:rFonts w:hint="default"/>
                      <w:highlight w:val="none"/>
                      <w:lang w:val="en-US" w:eastAsia="zh-CN"/>
                    </w:rPr>
                  </w:pPr>
                  <w:r>
                    <w:rPr>
                      <w:rFonts w:hint="eastAsia"/>
                      <w:highlight w:val="none"/>
                      <w:lang w:val="en-US" w:eastAsia="zh-CN"/>
                    </w:rPr>
                    <w:t>4200</w:t>
                  </w:r>
                </w:p>
              </w:tc>
              <w:tc>
                <w:tcPr>
                  <w:tcW w:w="1268" w:type="dxa"/>
                  <w:gridSpan w:val="2"/>
                  <w:tcBorders>
                    <w:tl2br w:val="nil"/>
                    <w:tr2bl w:val="nil"/>
                  </w:tcBorders>
                  <w:vAlign w:val="center"/>
                </w:tcPr>
                <w:p w14:paraId="1399C93B">
                  <w:pPr>
                    <w:pStyle w:val="32"/>
                    <w:bidi w:val="0"/>
                    <w:rPr>
                      <w:rFonts w:hint="default"/>
                      <w:highlight w:val="none"/>
                      <w:lang w:val="en-US" w:eastAsia="zh-CN"/>
                    </w:rPr>
                  </w:pPr>
                  <w:r>
                    <w:rPr>
                      <w:rFonts w:hint="eastAsia"/>
                      <w:highlight w:val="none"/>
                      <w:lang w:val="en-US" w:eastAsia="zh-CN"/>
                    </w:rPr>
                    <w:t>学校</w:t>
                  </w:r>
                </w:p>
              </w:tc>
              <w:tc>
                <w:tcPr>
                  <w:tcW w:w="1192" w:type="dxa"/>
                  <w:tcBorders>
                    <w:tl2br w:val="nil"/>
                    <w:tr2bl w:val="nil"/>
                  </w:tcBorders>
                  <w:vAlign w:val="center"/>
                </w:tcPr>
                <w:p w14:paraId="3B8096F2">
                  <w:pPr>
                    <w:pStyle w:val="32"/>
                    <w:bidi w:val="0"/>
                    <w:rPr>
                      <w:rFonts w:hint="default" w:eastAsia="宋体"/>
                      <w:highlight w:val="none"/>
                      <w:lang w:val="en-US" w:eastAsia="zh-CN"/>
                    </w:rPr>
                  </w:pPr>
                  <w:r>
                    <w:rPr>
                      <w:rFonts w:hint="eastAsia"/>
                      <w:highlight w:val="none"/>
                      <w:lang w:val="en-US" w:eastAsia="zh-CN"/>
                    </w:rPr>
                    <w:t>1000</w:t>
                  </w:r>
                </w:p>
              </w:tc>
            </w:tr>
            <w:tr w14:paraId="0B62C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7D047E24">
                  <w:pPr>
                    <w:pStyle w:val="32"/>
                    <w:bidi w:val="0"/>
                    <w:rPr>
                      <w:highlight w:val="none"/>
                    </w:rPr>
                  </w:pPr>
                </w:p>
              </w:tc>
              <w:tc>
                <w:tcPr>
                  <w:tcW w:w="746" w:type="dxa"/>
                  <w:tcBorders>
                    <w:tl2br w:val="nil"/>
                    <w:tr2bl w:val="nil"/>
                  </w:tcBorders>
                  <w:vAlign w:val="center"/>
                </w:tcPr>
                <w:p w14:paraId="62456F23">
                  <w:pPr>
                    <w:pStyle w:val="32"/>
                    <w:bidi w:val="0"/>
                    <w:rPr>
                      <w:rFonts w:hint="default" w:eastAsia="宋体"/>
                      <w:highlight w:val="none"/>
                      <w:lang w:val="en-US" w:eastAsia="zh-CN"/>
                    </w:rPr>
                  </w:pPr>
                  <w:r>
                    <w:rPr>
                      <w:rFonts w:hint="eastAsia"/>
                      <w:highlight w:val="none"/>
                      <w:lang w:val="en-US" w:eastAsia="zh-CN"/>
                    </w:rPr>
                    <w:t>24</w:t>
                  </w:r>
                </w:p>
              </w:tc>
              <w:tc>
                <w:tcPr>
                  <w:tcW w:w="2311" w:type="dxa"/>
                  <w:tcBorders>
                    <w:tl2br w:val="nil"/>
                    <w:tr2bl w:val="nil"/>
                  </w:tcBorders>
                  <w:vAlign w:val="center"/>
                </w:tcPr>
                <w:p w14:paraId="5370F903">
                  <w:pPr>
                    <w:pStyle w:val="32"/>
                    <w:bidi w:val="0"/>
                    <w:rPr>
                      <w:rFonts w:hint="eastAsia"/>
                      <w:highlight w:val="none"/>
                      <w:lang w:val="en-US" w:eastAsia="zh-CN"/>
                    </w:rPr>
                  </w:pPr>
                  <w:r>
                    <w:rPr>
                      <w:rFonts w:hint="eastAsia"/>
                      <w:highlight w:val="none"/>
                      <w:lang w:val="en-US" w:eastAsia="zh-CN"/>
                    </w:rPr>
                    <w:t>库尔勒市第十二中学</w:t>
                  </w:r>
                </w:p>
              </w:tc>
              <w:tc>
                <w:tcPr>
                  <w:tcW w:w="1069" w:type="dxa"/>
                  <w:tcBorders>
                    <w:tl2br w:val="nil"/>
                    <w:tr2bl w:val="nil"/>
                  </w:tcBorders>
                  <w:vAlign w:val="center"/>
                </w:tcPr>
                <w:p w14:paraId="2FB26319">
                  <w:pPr>
                    <w:pStyle w:val="32"/>
                    <w:bidi w:val="0"/>
                    <w:ind w:firstLine="0" w:firstLineChars="0"/>
                    <w:rPr>
                      <w:rFonts w:hint="eastAsia"/>
                      <w:highlight w:val="none"/>
                      <w:lang w:val="en-US" w:eastAsia="zh-CN"/>
                    </w:rPr>
                  </w:pPr>
                  <w:r>
                    <w:rPr>
                      <w:rFonts w:hint="eastAsia"/>
                      <w:highlight w:val="none"/>
                      <w:lang w:val="en-US" w:eastAsia="zh-CN"/>
                    </w:rPr>
                    <w:t>西侧</w:t>
                  </w:r>
                </w:p>
              </w:tc>
              <w:tc>
                <w:tcPr>
                  <w:tcW w:w="995" w:type="dxa"/>
                  <w:tcBorders>
                    <w:tl2br w:val="nil"/>
                    <w:tr2bl w:val="nil"/>
                  </w:tcBorders>
                  <w:vAlign w:val="center"/>
                </w:tcPr>
                <w:p w14:paraId="0D779FAC">
                  <w:pPr>
                    <w:pStyle w:val="32"/>
                    <w:bidi w:val="0"/>
                    <w:ind w:firstLine="0" w:firstLineChars="0"/>
                    <w:rPr>
                      <w:rFonts w:hint="eastAsia"/>
                      <w:highlight w:val="none"/>
                      <w:lang w:val="en-US" w:eastAsia="zh-CN"/>
                    </w:rPr>
                  </w:pPr>
                  <w:r>
                    <w:rPr>
                      <w:rFonts w:hint="eastAsia"/>
                      <w:highlight w:val="none"/>
                      <w:lang w:val="en-US" w:eastAsia="zh-CN"/>
                    </w:rPr>
                    <w:t>4800</w:t>
                  </w:r>
                </w:p>
              </w:tc>
              <w:tc>
                <w:tcPr>
                  <w:tcW w:w="1268" w:type="dxa"/>
                  <w:gridSpan w:val="2"/>
                  <w:tcBorders>
                    <w:tl2br w:val="nil"/>
                    <w:tr2bl w:val="nil"/>
                  </w:tcBorders>
                  <w:vAlign w:val="center"/>
                </w:tcPr>
                <w:p w14:paraId="56311691">
                  <w:pPr>
                    <w:pStyle w:val="32"/>
                    <w:bidi w:val="0"/>
                    <w:rPr>
                      <w:rFonts w:hint="default"/>
                      <w:highlight w:val="none"/>
                      <w:lang w:val="en-US" w:eastAsia="zh-CN"/>
                    </w:rPr>
                  </w:pPr>
                  <w:r>
                    <w:rPr>
                      <w:rFonts w:hint="eastAsia"/>
                      <w:highlight w:val="none"/>
                      <w:lang w:val="en-US" w:eastAsia="zh-CN"/>
                    </w:rPr>
                    <w:t>学校</w:t>
                  </w:r>
                </w:p>
              </w:tc>
              <w:tc>
                <w:tcPr>
                  <w:tcW w:w="1192" w:type="dxa"/>
                  <w:tcBorders>
                    <w:tl2br w:val="nil"/>
                    <w:tr2bl w:val="nil"/>
                  </w:tcBorders>
                  <w:vAlign w:val="center"/>
                </w:tcPr>
                <w:p w14:paraId="2D591939">
                  <w:pPr>
                    <w:pStyle w:val="32"/>
                    <w:bidi w:val="0"/>
                    <w:rPr>
                      <w:rFonts w:hint="default" w:eastAsia="宋体"/>
                      <w:highlight w:val="none"/>
                      <w:lang w:val="en-US" w:eastAsia="zh-CN"/>
                    </w:rPr>
                  </w:pPr>
                  <w:r>
                    <w:rPr>
                      <w:rFonts w:hint="eastAsia"/>
                      <w:highlight w:val="none"/>
                      <w:lang w:val="en-US" w:eastAsia="zh-CN"/>
                    </w:rPr>
                    <w:t>1000</w:t>
                  </w:r>
                </w:p>
              </w:tc>
            </w:tr>
            <w:tr w14:paraId="2AEF7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38" w:type="dxa"/>
                  <w:vMerge w:val="continue"/>
                  <w:tcBorders>
                    <w:tl2br w:val="nil"/>
                    <w:tr2bl w:val="nil"/>
                  </w:tcBorders>
                  <w:vAlign w:val="center"/>
                </w:tcPr>
                <w:p w14:paraId="6B3627E1">
                  <w:pPr>
                    <w:pStyle w:val="32"/>
                    <w:bidi w:val="0"/>
                    <w:rPr>
                      <w:highlight w:val="none"/>
                    </w:rPr>
                  </w:pPr>
                </w:p>
              </w:tc>
              <w:tc>
                <w:tcPr>
                  <w:tcW w:w="746" w:type="dxa"/>
                  <w:tcBorders>
                    <w:tl2br w:val="nil"/>
                    <w:tr2bl w:val="nil"/>
                  </w:tcBorders>
                  <w:vAlign w:val="center"/>
                </w:tcPr>
                <w:p w14:paraId="2648B18F">
                  <w:pPr>
                    <w:pStyle w:val="32"/>
                    <w:bidi w:val="0"/>
                    <w:rPr>
                      <w:rFonts w:hint="default" w:eastAsia="宋体"/>
                      <w:highlight w:val="none"/>
                      <w:lang w:val="en-US" w:eastAsia="zh-CN"/>
                    </w:rPr>
                  </w:pPr>
                  <w:r>
                    <w:rPr>
                      <w:rFonts w:hint="eastAsia"/>
                      <w:highlight w:val="none"/>
                      <w:lang w:val="en-US" w:eastAsia="zh-CN"/>
                    </w:rPr>
                    <w:t>25</w:t>
                  </w:r>
                </w:p>
              </w:tc>
              <w:tc>
                <w:tcPr>
                  <w:tcW w:w="2311" w:type="dxa"/>
                  <w:tcBorders>
                    <w:tl2br w:val="nil"/>
                    <w:tr2bl w:val="nil"/>
                  </w:tcBorders>
                  <w:vAlign w:val="center"/>
                </w:tcPr>
                <w:p w14:paraId="046C98D6">
                  <w:pPr>
                    <w:pStyle w:val="32"/>
                    <w:bidi w:val="0"/>
                    <w:rPr>
                      <w:rFonts w:hint="default"/>
                      <w:highlight w:val="none"/>
                      <w:lang w:val="en-US" w:eastAsia="zh-CN"/>
                    </w:rPr>
                  </w:pPr>
                  <w:r>
                    <w:rPr>
                      <w:rFonts w:hint="eastAsia"/>
                      <w:highlight w:val="none"/>
                      <w:lang w:val="en-US" w:eastAsia="zh-CN"/>
                    </w:rPr>
                    <w:t>库尔勒市新华南路小学</w:t>
                  </w:r>
                </w:p>
              </w:tc>
              <w:tc>
                <w:tcPr>
                  <w:tcW w:w="1069" w:type="dxa"/>
                  <w:tcBorders>
                    <w:tl2br w:val="nil"/>
                    <w:tr2bl w:val="nil"/>
                  </w:tcBorders>
                  <w:vAlign w:val="center"/>
                </w:tcPr>
                <w:p w14:paraId="17C12B95">
                  <w:pPr>
                    <w:pStyle w:val="32"/>
                    <w:bidi w:val="0"/>
                    <w:ind w:firstLine="0" w:firstLineChars="0"/>
                    <w:rPr>
                      <w:rFonts w:hint="default"/>
                      <w:highlight w:val="none"/>
                      <w:lang w:val="en-US" w:eastAsia="zh-CN"/>
                    </w:rPr>
                  </w:pPr>
                  <w:r>
                    <w:rPr>
                      <w:rFonts w:hint="eastAsia"/>
                      <w:highlight w:val="none"/>
                      <w:lang w:val="en-US" w:eastAsia="zh-CN"/>
                    </w:rPr>
                    <w:t>西侧</w:t>
                  </w:r>
                </w:p>
              </w:tc>
              <w:tc>
                <w:tcPr>
                  <w:tcW w:w="995" w:type="dxa"/>
                  <w:tcBorders>
                    <w:tl2br w:val="nil"/>
                    <w:tr2bl w:val="nil"/>
                  </w:tcBorders>
                  <w:vAlign w:val="center"/>
                </w:tcPr>
                <w:p w14:paraId="6959ACF2">
                  <w:pPr>
                    <w:pStyle w:val="32"/>
                    <w:bidi w:val="0"/>
                    <w:ind w:firstLine="0" w:firstLineChars="0"/>
                    <w:rPr>
                      <w:rFonts w:hint="default"/>
                      <w:highlight w:val="none"/>
                      <w:lang w:val="en-US" w:eastAsia="zh-CN"/>
                    </w:rPr>
                  </w:pPr>
                  <w:r>
                    <w:rPr>
                      <w:rFonts w:hint="eastAsia"/>
                      <w:highlight w:val="none"/>
                      <w:lang w:val="en-US" w:eastAsia="zh-CN"/>
                    </w:rPr>
                    <w:t>4200</w:t>
                  </w:r>
                </w:p>
              </w:tc>
              <w:tc>
                <w:tcPr>
                  <w:tcW w:w="1268" w:type="dxa"/>
                  <w:gridSpan w:val="2"/>
                  <w:tcBorders>
                    <w:tl2br w:val="nil"/>
                    <w:tr2bl w:val="nil"/>
                  </w:tcBorders>
                  <w:vAlign w:val="center"/>
                </w:tcPr>
                <w:p w14:paraId="579C3034">
                  <w:pPr>
                    <w:pStyle w:val="32"/>
                    <w:bidi w:val="0"/>
                    <w:rPr>
                      <w:rFonts w:hint="default"/>
                      <w:highlight w:val="none"/>
                      <w:lang w:val="en-US" w:eastAsia="zh-CN"/>
                    </w:rPr>
                  </w:pPr>
                  <w:r>
                    <w:rPr>
                      <w:rFonts w:hint="eastAsia"/>
                      <w:highlight w:val="none"/>
                      <w:lang w:val="en-US" w:eastAsia="zh-CN"/>
                    </w:rPr>
                    <w:t>学校</w:t>
                  </w:r>
                </w:p>
              </w:tc>
              <w:tc>
                <w:tcPr>
                  <w:tcW w:w="1192" w:type="dxa"/>
                  <w:tcBorders>
                    <w:tl2br w:val="nil"/>
                    <w:tr2bl w:val="nil"/>
                  </w:tcBorders>
                  <w:vAlign w:val="center"/>
                </w:tcPr>
                <w:p w14:paraId="7A1A429F">
                  <w:pPr>
                    <w:pStyle w:val="32"/>
                    <w:bidi w:val="0"/>
                    <w:rPr>
                      <w:rFonts w:hint="default" w:eastAsia="宋体"/>
                      <w:highlight w:val="none"/>
                      <w:lang w:val="en-US" w:eastAsia="zh-CN"/>
                    </w:rPr>
                  </w:pPr>
                  <w:r>
                    <w:rPr>
                      <w:rFonts w:hint="eastAsia"/>
                      <w:highlight w:val="none"/>
                      <w:lang w:val="en-US" w:eastAsia="zh-CN"/>
                    </w:rPr>
                    <w:t>1000</w:t>
                  </w:r>
                </w:p>
              </w:tc>
            </w:tr>
            <w:tr w14:paraId="2A5BF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2501D45C">
                  <w:pPr>
                    <w:pStyle w:val="32"/>
                    <w:bidi w:val="0"/>
                    <w:rPr>
                      <w:highlight w:val="none"/>
                    </w:rPr>
                  </w:pPr>
                </w:p>
              </w:tc>
              <w:tc>
                <w:tcPr>
                  <w:tcW w:w="6389" w:type="dxa"/>
                  <w:gridSpan w:val="6"/>
                  <w:tcBorders>
                    <w:tl2br w:val="nil"/>
                    <w:tr2bl w:val="nil"/>
                  </w:tcBorders>
                  <w:vAlign w:val="center"/>
                </w:tcPr>
                <w:p w14:paraId="2D944AAB">
                  <w:pPr>
                    <w:pStyle w:val="32"/>
                    <w:bidi w:val="0"/>
                    <w:rPr>
                      <w:highlight w:val="none"/>
                    </w:rPr>
                  </w:pPr>
                  <w:r>
                    <w:rPr>
                      <w:rFonts w:hint="eastAsia"/>
                      <w:highlight w:val="none"/>
                    </w:rPr>
                    <w:t>厂址周边</w:t>
                  </w:r>
                  <w:r>
                    <w:rPr>
                      <w:highlight w:val="none"/>
                    </w:rPr>
                    <w:t>500m</w:t>
                  </w:r>
                  <w:r>
                    <w:rPr>
                      <w:rFonts w:hint="eastAsia"/>
                      <w:highlight w:val="none"/>
                    </w:rPr>
                    <w:t>范围内人口数小计</w:t>
                  </w:r>
                </w:p>
              </w:tc>
              <w:tc>
                <w:tcPr>
                  <w:tcW w:w="1192" w:type="dxa"/>
                  <w:tcBorders>
                    <w:tl2br w:val="nil"/>
                    <w:tr2bl w:val="nil"/>
                  </w:tcBorders>
                  <w:vAlign w:val="center"/>
                </w:tcPr>
                <w:p w14:paraId="5D7D82B5">
                  <w:pPr>
                    <w:pStyle w:val="32"/>
                    <w:bidi w:val="0"/>
                    <w:rPr>
                      <w:highlight w:val="none"/>
                    </w:rPr>
                  </w:pPr>
                  <w:r>
                    <w:rPr>
                      <w:rFonts w:hint="eastAsia"/>
                      <w:highlight w:val="none"/>
                    </w:rPr>
                    <w:t>0</w:t>
                  </w:r>
                </w:p>
              </w:tc>
            </w:tr>
            <w:tr w14:paraId="37DF1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5C0D5CE1">
                  <w:pPr>
                    <w:pStyle w:val="32"/>
                    <w:bidi w:val="0"/>
                    <w:rPr>
                      <w:highlight w:val="none"/>
                    </w:rPr>
                  </w:pPr>
                </w:p>
              </w:tc>
              <w:tc>
                <w:tcPr>
                  <w:tcW w:w="6389" w:type="dxa"/>
                  <w:gridSpan w:val="6"/>
                  <w:tcBorders>
                    <w:tl2br w:val="nil"/>
                    <w:tr2bl w:val="nil"/>
                  </w:tcBorders>
                  <w:vAlign w:val="center"/>
                </w:tcPr>
                <w:p w14:paraId="704ACDC7">
                  <w:pPr>
                    <w:pStyle w:val="32"/>
                    <w:bidi w:val="0"/>
                    <w:rPr>
                      <w:highlight w:val="none"/>
                    </w:rPr>
                  </w:pPr>
                  <w:r>
                    <w:rPr>
                      <w:rFonts w:hint="eastAsia"/>
                      <w:highlight w:val="none"/>
                    </w:rPr>
                    <w:t>厂址周边</w:t>
                  </w:r>
                  <w:r>
                    <w:rPr>
                      <w:highlight w:val="none"/>
                    </w:rPr>
                    <w:t>5km</w:t>
                  </w:r>
                  <w:r>
                    <w:rPr>
                      <w:rFonts w:hint="eastAsia"/>
                      <w:highlight w:val="none"/>
                    </w:rPr>
                    <w:t>范围内人口数小计</w:t>
                  </w:r>
                </w:p>
              </w:tc>
              <w:tc>
                <w:tcPr>
                  <w:tcW w:w="1192" w:type="dxa"/>
                  <w:tcBorders>
                    <w:tl2br w:val="nil"/>
                    <w:tr2bl w:val="nil"/>
                  </w:tcBorders>
                  <w:vAlign w:val="center"/>
                </w:tcPr>
                <w:p w14:paraId="76335876">
                  <w:pPr>
                    <w:pStyle w:val="32"/>
                    <w:bidi w:val="0"/>
                    <w:rPr>
                      <w:rFonts w:hint="default" w:eastAsia="宋体"/>
                      <w:highlight w:val="none"/>
                      <w:lang w:val="en-US" w:eastAsia="zh-CN"/>
                    </w:rPr>
                  </w:pPr>
                  <w:r>
                    <w:rPr>
                      <w:rFonts w:hint="eastAsia"/>
                      <w:highlight w:val="none"/>
                      <w:lang w:val="en-US" w:eastAsia="zh-CN"/>
                    </w:rPr>
                    <w:t>8660</w:t>
                  </w:r>
                </w:p>
              </w:tc>
            </w:tr>
            <w:tr w14:paraId="7280B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0D881F64">
                  <w:pPr>
                    <w:pStyle w:val="32"/>
                    <w:bidi w:val="0"/>
                    <w:rPr>
                      <w:highlight w:val="none"/>
                    </w:rPr>
                  </w:pPr>
                </w:p>
              </w:tc>
              <w:tc>
                <w:tcPr>
                  <w:tcW w:w="6389" w:type="dxa"/>
                  <w:gridSpan w:val="6"/>
                  <w:tcBorders>
                    <w:tl2br w:val="nil"/>
                    <w:tr2bl w:val="nil"/>
                  </w:tcBorders>
                  <w:vAlign w:val="center"/>
                </w:tcPr>
                <w:p w14:paraId="4955CCD0">
                  <w:pPr>
                    <w:pStyle w:val="32"/>
                    <w:bidi w:val="0"/>
                    <w:rPr>
                      <w:highlight w:val="none"/>
                    </w:rPr>
                  </w:pPr>
                  <w:r>
                    <w:rPr>
                      <w:rFonts w:hint="eastAsia"/>
                      <w:highlight w:val="none"/>
                    </w:rPr>
                    <w:t>大气环境敏感程度</w:t>
                  </w:r>
                  <w:r>
                    <w:rPr>
                      <w:highlight w:val="none"/>
                    </w:rPr>
                    <w:t>E</w:t>
                  </w:r>
                  <w:r>
                    <w:rPr>
                      <w:rFonts w:hint="eastAsia"/>
                      <w:highlight w:val="none"/>
                    </w:rPr>
                    <w:t>值</w:t>
                  </w:r>
                </w:p>
              </w:tc>
              <w:tc>
                <w:tcPr>
                  <w:tcW w:w="1192" w:type="dxa"/>
                  <w:tcBorders>
                    <w:tl2br w:val="nil"/>
                    <w:tr2bl w:val="nil"/>
                  </w:tcBorders>
                  <w:vAlign w:val="center"/>
                </w:tcPr>
                <w:p w14:paraId="5B628F57">
                  <w:pPr>
                    <w:pStyle w:val="32"/>
                    <w:bidi w:val="0"/>
                    <w:rPr>
                      <w:highlight w:val="none"/>
                    </w:rPr>
                  </w:pPr>
                  <w:r>
                    <w:rPr>
                      <w:highlight w:val="none"/>
                    </w:rPr>
                    <w:t>E</w:t>
                  </w:r>
                  <w:r>
                    <w:rPr>
                      <w:rFonts w:hint="eastAsia"/>
                      <w:highlight w:val="none"/>
                    </w:rPr>
                    <w:t>3</w:t>
                  </w:r>
                </w:p>
              </w:tc>
            </w:tr>
            <w:tr w14:paraId="2C4A4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restart"/>
                  <w:tcBorders>
                    <w:tl2br w:val="nil"/>
                    <w:tr2bl w:val="nil"/>
                  </w:tcBorders>
                  <w:vAlign w:val="center"/>
                </w:tcPr>
                <w:p w14:paraId="45768005">
                  <w:pPr>
                    <w:pStyle w:val="32"/>
                    <w:bidi w:val="0"/>
                    <w:rPr>
                      <w:highlight w:val="none"/>
                    </w:rPr>
                  </w:pPr>
                  <w:r>
                    <w:rPr>
                      <w:rFonts w:hint="eastAsia"/>
                      <w:highlight w:val="none"/>
                    </w:rPr>
                    <w:t>地表水</w:t>
                  </w:r>
                </w:p>
              </w:tc>
              <w:tc>
                <w:tcPr>
                  <w:tcW w:w="7581" w:type="dxa"/>
                  <w:gridSpan w:val="7"/>
                  <w:tcBorders>
                    <w:tl2br w:val="nil"/>
                    <w:tr2bl w:val="nil"/>
                  </w:tcBorders>
                  <w:vAlign w:val="center"/>
                </w:tcPr>
                <w:p w14:paraId="36F5B86D">
                  <w:pPr>
                    <w:pStyle w:val="32"/>
                    <w:bidi w:val="0"/>
                    <w:rPr>
                      <w:highlight w:val="none"/>
                    </w:rPr>
                  </w:pPr>
                  <w:r>
                    <w:rPr>
                      <w:rFonts w:hint="eastAsia"/>
                      <w:highlight w:val="none"/>
                    </w:rPr>
                    <w:t>受纳水体</w:t>
                  </w:r>
                </w:p>
              </w:tc>
            </w:tr>
            <w:tr w14:paraId="45CAF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3D667FEA">
                  <w:pPr>
                    <w:pStyle w:val="32"/>
                    <w:bidi w:val="0"/>
                    <w:rPr>
                      <w:highlight w:val="none"/>
                    </w:rPr>
                  </w:pPr>
                </w:p>
              </w:tc>
              <w:tc>
                <w:tcPr>
                  <w:tcW w:w="746" w:type="dxa"/>
                  <w:tcBorders>
                    <w:tl2br w:val="nil"/>
                    <w:tr2bl w:val="nil"/>
                  </w:tcBorders>
                  <w:vAlign w:val="center"/>
                </w:tcPr>
                <w:p w14:paraId="6F29EB01">
                  <w:pPr>
                    <w:pStyle w:val="32"/>
                    <w:bidi w:val="0"/>
                    <w:rPr>
                      <w:highlight w:val="none"/>
                    </w:rPr>
                  </w:pPr>
                  <w:r>
                    <w:rPr>
                      <w:rFonts w:hint="eastAsia"/>
                      <w:highlight w:val="none"/>
                    </w:rPr>
                    <w:t>序号</w:t>
                  </w:r>
                </w:p>
              </w:tc>
              <w:tc>
                <w:tcPr>
                  <w:tcW w:w="2311" w:type="dxa"/>
                  <w:tcBorders>
                    <w:tl2br w:val="nil"/>
                    <w:tr2bl w:val="nil"/>
                  </w:tcBorders>
                  <w:vAlign w:val="center"/>
                </w:tcPr>
                <w:p w14:paraId="53F5C427">
                  <w:pPr>
                    <w:pStyle w:val="32"/>
                    <w:bidi w:val="0"/>
                    <w:rPr>
                      <w:highlight w:val="none"/>
                    </w:rPr>
                  </w:pPr>
                  <w:r>
                    <w:rPr>
                      <w:rFonts w:hint="eastAsia"/>
                      <w:highlight w:val="none"/>
                    </w:rPr>
                    <w:t>收纳水体名称</w:t>
                  </w:r>
                </w:p>
              </w:tc>
              <w:tc>
                <w:tcPr>
                  <w:tcW w:w="2064" w:type="dxa"/>
                  <w:gridSpan w:val="2"/>
                  <w:tcBorders>
                    <w:tl2br w:val="nil"/>
                    <w:tr2bl w:val="nil"/>
                  </w:tcBorders>
                  <w:vAlign w:val="center"/>
                </w:tcPr>
                <w:p w14:paraId="16157D8E">
                  <w:pPr>
                    <w:pStyle w:val="32"/>
                    <w:bidi w:val="0"/>
                    <w:rPr>
                      <w:highlight w:val="none"/>
                    </w:rPr>
                  </w:pPr>
                  <w:r>
                    <w:rPr>
                      <w:rFonts w:hint="eastAsia"/>
                      <w:highlight w:val="none"/>
                    </w:rPr>
                    <w:t>排放点水域环境功能</w:t>
                  </w:r>
                </w:p>
              </w:tc>
              <w:tc>
                <w:tcPr>
                  <w:tcW w:w="2460" w:type="dxa"/>
                  <w:gridSpan w:val="3"/>
                  <w:tcBorders>
                    <w:tl2br w:val="nil"/>
                    <w:tr2bl w:val="nil"/>
                  </w:tcBorders>
                  <w:vAlign w:val="center"/>
                </w:tcPr>
                <w:p w14:paraId="2488A219">
                  <w:pPr>
                    <w:pStyle w:val="32"/>
                    <w:bidi w:val="0"/>
                    <w:rPr>
                      <w:highlight w:val="none"/>
                    </w:rPr>
                  </w:pPr>
                  <w:r>
                    <w:rPr>
                      <w:highlight w:val="none"/>
                    </w:rPr>
                    <w:t>24h</w:t>
                  </w:r>
                  <w:r>
                    <w:rPr>
                      <w:rFonts w:hint="eastAsia"/>
                      <w:highlight w:val="none"/>
                    </w:rPr>
                    <w:t>内流经范围</w:t>
                  </w:r>
                </w:p>
              </w:tc>
            </w:tr>
            <w:tr w14:paraId="47252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207745DA">
                  <w:pPr>
                    <w:pStyle w:val="32"/>
                    <w:bidi w:val="0"/>
                    <w:rPr>
                      <w:highlight w:val="none"/>
                    </w:rPr>
                  </w:pPr>
                </w:p>
              </w:tc>
              <w:tc>
                <w:tcPr>
                  <w:tcW w:w="746" w:type="dxa"/>
                  <w:tcBorders>
                    <w:tl2br w:val="nil"/>
                    <w:tr2bl w:val="nil"/>
                  </w:tcBorders>
                  <w:vAlign w:val="center"/>
                </w:tcPr>
                <w:p w14:paraId="1E65F205">
                  <w:pPr>
                    <w:pStyle w:val="32"/>
                    <w:bidi w:val="0"/>
                    <w:rPr>
                      <w:highlight w:val="none"/>
                    </w:rPr>
                  </w:pPr>
                  <w:r>
                    <w:rPr>
                      <w:highlight w:val="none"/>
                    </w:rPr>
                    <w:t>1</w:t>
                  </w:r>
                </w:p>
              </w:tc>
              <w:tc>
                <w:tcPr>
                  <w:tcW w:w="2311" w:type="dxa"/>
                  <w:tcBorders>
                    <w:tl2br w:val="nil"/>
                    <w:tr2bl w:val="nil"/>
                  </w:tcBorders>
                  <w:vAlign w:val="center"/>
                </w:tcPr>
                <w:p w14:paraId="7D52B919">
                  <w:pPr>
                    <w:pStyle w:val="32"/>
                    <w:bidi w:val="0"/>
                    <w:rPr>
                      <w:highlight w:val="none"/>
                    </w:rPr>
                  </w:pPr>
                  <w:r>
                    <w:rPr>
                      <w:rFonts w:hint="eastAsia"/>
                      <w:highlight w:val="none"/>
                    </w:rPr>
                    <w:t>无</w:t>
                  </w:r>
                </w:p>
              </w:tc>
              <w:tc>
                <w:tcPr>
                  <w:tcW w:w="2064" w:type="dxa"/>
                  <w:gridSpan w:val="2"/>
                  <w:tcBorders>
                    <w:tl2br w:val="nil"/>
                    <w:tr2bl w:val="nil"/>
                  </w:tcBorders>
                  <w:vAlign w:val="center"/>
                </w:tcPr>
                <w:p w14:paraId="6FE923AB">
                  <w:pPr>
                    <w:pStyle w:val="32"/>
                    <w:bidi w:val="0"/>
                    <w:rPr>
                      <w:highlight w:val="none"/>
                    </w:rPr>
                  </w:pPr>
                  <w:r>
                    <w:rPr>
                      <w:rFonts w:hint="eastAsia"/>
                      <w:highlight w:val="none"/>
                    </w:rPr>
                    <w:t>/</w:t>
                  </w:r>
                </w:p>
              </w:tc>
              <w:tc>
                <w:tcPr>
                  <w:tcW w:w="2460" w:type="dxa"/>
                  <w:gridSpan w:val="3"/>
                  <w:tcBorders>
                    <w:tl2br w:val="nil"/>
                    <w:tr2bl w:val="nil"/>
                  </w:tcBorders>
                  <w:vAlign w:val="center"/>
                </w:tcPr>
                <w:p w14:paraId="2DFF9C8B">
                  <w:pPr>
                    <w:pStyle w:val="32"/>
                    <w:bidi w:val="0"/>
                    <w:rPr>
                      <w:highlight w:val="none"/>
                    </w:rPr>
                  </w:pPr>
                  <w:r>
                    <w:rPr>
                      <w:rFonts w:hint="eastAsia"/>
                      <w:highlight w:val="none"/>
                    </w:rPr>
                    <w:t>/</w:t>
                  </w:r>
                </w:p>
              </w:tc>
            </w:tr>
            <w:tr w14:paraId="753C3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8" w:type="dxa"/>
                  <w:vMerge w:val="continue"/>
                  <w:tcBorders>
                    <w:tl2br w:val="nil"/>
                    <w:tr2bl w:val="nil"/>
                  </w:tcBorders>
                  <w:vAlign w:val="center"/>
                </w:tcPr>
                <w:p w14:paraId="7DE69996">
                  <w:pPr>
                    <w:pStyle w:val="32"/>
                    <w:bidi w:val="0"/>
                    <w:rPr>
                      <w:highlight w:val="none"/>
                    </w:rPr>
                  </w:pPr>
                </w:p>
              </w:tc>
              <w:tc>
                <w:tcPr>
                  <w:tcW w:w="7581" w:type="dxa"/>
                  <w:gridSpan w:val="7"/>
                  <w:tcBorders>
                    <w:tl2br w:val="nil"/>
                    <w:tr2bl w:val="nil"/>
                  </w:tcBorders>
                  <w:vAlign w:val="center"/>
                </w:tcPr>
                <w:p w14:paraId="3FDB72F3">
                  <w:pPr>
                    <w:pStyle w:val="32"/>
                    <w:bidi w:val="0"/>
                    <w:rPr>
                      <w:highlight w:val="none"/>
                    </w:rPr>
                  </w:pPr>
                  <w:r>
                    <w:rPr>
                      <w:rFonts w:hint="eastAsia"/>
                      <w:highlight w:val="none"/>
                    </w:rPr>
                    <w:t>内陆水体排放点下游</w:t>
                  </w:r>
                  <w:r>
                    <w:rPr>
                      <w:highlight w:val="none"/>
                    </w:rPr>
                    <w:t>10km</w:t>
                  </w:r>
                  <w:r>
                    <w:rPr>
                      <w:rFonts w:hint="eastAsia"/>
                      <w:highlight w:val="none"/>
                    </w:rPr>
                    <w:t>（近岸海域一个潮周期最大水平距离两倍）范围内敏感目标</w:t>
                  </w:r>
                </w:p>
              </w:tc>
            </w:tr>
            <w:tr w14:paraId="235F1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8" w:type="dxa"/>
                  <w:vMerge w:val="continue"/>
                  <w:tcBorders>
                    <w:tl2br w:val="nil"/>
                    <w:tr2bl w:val="nil"/>
                  </w:tcBorders>
                  <w:vAlign w:val="center"/>
                </w:tcPr>
                <w:p w14:paraId="37179530">
                  <w:pPr>
                    <w:pStyle w:val="32"/>
                    <w:bidi w:val="0"/>
                    <w:rPr>
                      <w:highlight w:val="none"/>
                    </w:rPr>
                  </w:pPr>
                </w:p>
              </w:tc>
              <w:tc>
                <w:tcPr>
                  <w:tcW w:w="746" w:type="dxa"/>
                  <w:tcBorders>
                    <w:tl2br w:val="nil"/>
                    <w:tr2bl w:val="nil"/>
                  </w:tcBorders>
                  <w:vAlign w:val="center"/>
                </w:tcPr>
                <w:p w14:paraId="61B6A0CA">
                  <w:pPr>
                    <w:pStyle w:val="32"/>
                    <w:bidi w:val="0"/>
                    <w:rPr>
                      <w:highlight w:val="none"/>
                    </w:rPr>
                  </w:pPr>
                  <w:r>
                    <w:rPr>
                      <w:rFonts w:hint="eastAsia"/>
                      <w:highlight w:val="none"/>
                    </w:rPr>
                    <w:t>序号</w:t>
                  </w:r>
                </w:p>
              </w:tc>
              <w:tc>
                <w:tcPr>
                  <w:tcW w:w="2311" w:type="dxa"/>
                  <w:tcBorders>
                    <w:tl2br w:val="nil"/>
                    <w:tr2bl w:val="nil"/>
                  </w:tcBorders>
                  <w:vAlign w:val="center"/>
                </w:tcPr>
                <w:p w14:paraId="4A00F874">
                  <w:pPr>
                    <w:pStyle w:val="32"/>
                    <w:bidi w:val="0"/>
                    <w:rPr>
                      <w:highlight w:val="none"/>
                    </w:rPr>
                  </w:pPr>
                  <w:r>
                    <w:rPr>
                      <w:rFonts w:hint="eastAsia"/>
                      <w:highlight w:val="none"/>
                    </w:rPr>
                    <w:t>敏感目标名称</w:t>
                  </w:r>
                </w:p>
              </w:tc>
              <w:tc>
                <w:tcPr>
                  <w:tcW w:w="1069" w:type="dxa"/>
                  <w:tcBorders>
                    <w:tl2br w:val="nil"/>
                    <w:tr2bl w:val="nil"/>
                  </w:tcBorders>
                  <w:vAlign w:val="center"/>
                </w:tcPr>
                <w:p w14:paraId="191F3F3D">
                  <w:pPr>
                    <w:pStyle w:val="32"/>
                    <w:bidi w:val="0"/>
                    <w:rPr>
                      <w:highlight w:val="none"/>
                    </w:rPr>
                  </w:pPr>
                  <w:r>
                    <w:rPr>
                      <w:rFonts w:hint="eastAsia"/>
                      <w:highlight w:val="none"/>
                    </w:rPr>
                    <w:t>地表水环境敏感特征</w:t>
                  </w:r>
                </w:p>
              </w:tc>
              <w:tc>
                <w:tcPr>
                  <w:tcW w:w="1072" w:type="dxa"/>
                  <w:gridSpan w:val="2"/>
                  <w:tcBorders>
                    <w:tl2br w:val="nil"/>
                    <w:tr2bl w:val="nil"/>
                  </w:tcBorders>
                  <w:vAlign w:val="center"/>
                </w:tcPr>
                <w:p w14:paraId="379E5B36">
                  <w:pPr>
                    <w:pStyle w:val="32"/>
                    <w:bidi w:val="0"/>
                    <w:rPr>
                      <w:highlight w:val="none"/>
                    </w:rPr>
                  </w:pPr>
                  <w:r>
                    <w:rPr>
                      <w:rFonts w:hint="eastAsia"/>
                      <w:highlight w:val="none"/>
                    </w:rPr>
                    <w:t>环境敏感目标分级</w:t>
                  </w:r>
                </w:p>
              </w:tc>
              <w:tc>
                <w:tcPr>
                  <w:tcW w:w="1191" w:type="dxa"/>
                  <w:tcBorders>
                    <w:tl2br w:val="nil"/>
                    <w:tr2bl w:val="nil"/>
                  </w:tcBorders>
                  <w:vAlign w:val="center"/>
                </w:tcPr>
                <w:p w14:paraId="6EC000F6">
                  <w:pPr>
                    <w:pStyle w:val="32"/>
                    <w:bidi w:val="0"/>
                    <w:rPr>
                      <w:highlight w:val="none"/>
                    </w:rPr>
                  </w:pPr>
                  <w:r>
                    <w:rPr>
                      <w:rFonts w:hint="eastAsia"/>
                      <w:highlight w:val="none"/>
                    </w:rPr>
                    <w:t>水质目标</w:t>
                  </w:r>
                </w:p>
              </w:tc>
              <w:tc>
                <w:tcPr>
                  <w:tcW w:w="1192" w:type="dxa"/>
                  <w:tcBorders>
                    <w:tl2br w:val="nil"/>
                    <w:tr2bl w:val="nil"/>
                  </w:tcBorders>
                  <w:vAlign w:val="center"/>
                </w:tcPr>
                <w:p w14:paraId="28314434">
                  <w:pPr>
                    <w:pStyle w:val="32"/>
                    <w:bidi w:val="0"/>
                    <w:jc w:val="both"/>
                    <w:rPr>
                      <w:highlight w:val="none"/>
                    </w:rPr>
                  </w:pPr>
                  <w:r>
                    <w:rPr>
                      <w:rFonts w:hint="eastAsia"/>
                      <w:highlight w:val="none"/>
                    </w:rPr>
                    <w:t>与本项目距离</w:t>
                  </w:r>
                  <w:r>
                    <w:rPr>
                      <w:highlight w:val="none"/>
                    </w:rPr>
                    <w:t>/m</w:t>
                  </w:r>
                </w:p>
              </w:tc>
            </w:tr>
            <w:tr w14:paraId="1EAC3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38" w:type="dxa"/>
                  <w:vMerge w:val="continue"/>
                  <w:tcBorders>
                    <w:tl2br w:val="nil"/>
                    <w:tr2bl w:val="nil"/>
                  </w:tcBorders>
                  <w:vAlign w:val="center"/>
                </w:tcPr>
                <w:p w14:paraId="63030EE0">
                  <w:pPr>
                    <w:pStyle w:val="32"/>
                    <w:bidi w:val="0"/>
                    <w:rPr>
                      <w:highlight w:val="none"/>
                    </w:rPr>
                  </w:pPr>
                </w:p>
              </w:tc>
              <w:tc>
                <w:tcPr>
                  <w:tcW w:w="746" w:type="dxa"/>
                  <w:tcBorders>
                    <w:tl2br w:val="nil"/>
                    <w:tr2bl w:val="nil"/>
                  </w:tcBorders>
                  <w:vAlign w:val="center"/>
                </w:tcPr>
                <w:p w14:paraId="15A37CAA">
                  <w:pPr>
                    <w:pStyle w:val="32"/>
                    <w:bidi w:val="0"/>
                    <w:rPr>
                      <w:highlight w:val="none"/>
                    </w:rPr>
                  </w:pPr>
                  <w:r>
                    <w:rPr>
                      <w:rFonts w:hint="eastAsia"/>
                      <w:highlight w:val="none"/>
                    </w:rPr>
                    <w:t>1</w:t>
                  </w:r>
                </w:p>
              </w:tc>
              <w:tc>
                <w:tcPr>
                  <w:tcW w:w="2311" w:type="dxa"/>
                  <w:tcBorders>
                    <w:tl2br w:val="nil"/>
                    <w:tr2bl w:val="nil"/>
                  </w:tcBorders>
                  <w:vAlign w:val="center"/>
                </w:tcPr>
                <w:p w14:paraId="7D96FDF4">
                  <w:pPr>
                    <w:pStyle w:val="32"/>
                    <w:bidi w:val="0"/>
                    <w:rPr>
                      <w:highlight w:val="none"/>
                    </w:rPr>
                  </w:pPr>
                  <w:r>
                    <w:rPr>
                      <w:rFonts w:hint="eastAsia"/>
                      <w:highlight w:val="none"/>
                    </w:rPr>
                    <w:t>/</w:t>
                  </w:r>
                </w:p>
              </w:tc>
              <w:tc>
                <w:tcPr>
                  <w:tcW w:w="1069" w:type="dxa"/>
                  <w:tcBorders>
                    <w:tl2br w:val="nil"/>
                    <w:tr2bl w:val="nil"/>
                  </w:tcBorders>
                  <w:vAlign w:val="center"/>
                </w:tcPr>
                <w:p w14:paraId="17D87E9F">
                  <w:pPr>
                    <w:pStyle w:val="32"/>
                    <w:bidi w:val="0"/>
                    <w:rPr>
                      <w:highlight w:val="none"/>
                    </w:rPr>
                  </w:pPr>
                  <w:r>
                    <w:rPr>
                      <w:rFonts w:hint="eastAsia"/>
                      <w:highlight w:val="none"/>
                    </w:rPr>
                    <w:t>/</w:t>
                  </w:r>
                </w:p>
              </w:tc>
              <w:tc>
                <w:tcPr>
                  <w:tcW w:w="1072" w:type="dxa"/>
                  <w:gridSpan w:val="2"/>
                  <w:tcBorders>
                    <w:tl2br w:val="nil"/>
                    <w:tr2bl w:val="nil"/>
                  </w:tcBorders>
                  <w:vAlign w:val="center"/>
                </w:tcPr>
                <w:p w14:paraId="2D81CB5B">
                  <w:pPr>
                    <w:pStyle w:val="32"/>
                    <w:bidi w:val="0"/>
                    <w:rPr>
                      <w:highlight w:val="none"/>
                    </w:rPr>
                  </w:pPr>
                  <w:r>
                    <w:rPr>
                      <w:rFonts w:hint="eastAsia"/>
                      <w:highlight w:val="none"/>
                    </w:rPr>
                    <w:t>/</w:t>
                  </w:r>
                </w:p>
              </w:tc>
              <w:tc>
                <w:tcPr>
                  <w:tcW w:w="1191" w:type="dxa"/>
                  <w:tcBorders>
                    <w:tl2br w:val="nil"/>
                    <w:tr2bl w:val="nil"/>
                  </w:tcBorders>
                  <w:vAlign w:val="center"/>
                </w:tcPr>
                <w:p w14:paraId="018AEA0A">
                  <w:pPr>
                    <w:pStyle w:val="32"/>
                    <w:bidi w:val="0"/>
                    <w:rPr>
                      <w:highlight w:val="none"/>
                    </w:rPr>
                  </w:pPr>
                  <w:r>
                    <w:rPr>
                      <w:rFonts w:hint="eastAsia"/>
                      <w:highlight w:val="none"/>
                    </w:rPr>
                    <w:t>/</w:t>
                  </w:r>
                </w:p>
              </w:tc>
              <w:tc>
                <w:tcPr>
                  <w:tcW w:w="1192" w:type="dxa"/>
                  <w:tcBorders>
                    <w:tl2br w:val="nil"/>
                    <w:tr2bl w:val="nil"/>
                  </w:tcBorders>
                  <w:vAlign w:val="center"/>
                </w:tcPr>
                <w:p w14:paraId="5DCD28EB">
                  <w:pPr>
                    <w:pStyle w:val="32"/>
                    <w:bidi w:val="0"/>
                    <w:rPr>
                      <w:rFonts w:hint="eastAsia" w:eastAsia="宋体"/>
                      <w:highlight w:val="none"/>
                      <w:lang w:val="en-US" w:eastAsia="zh-CN"/>
                    </w:rPr>
                  </w:pPr>
                  <w:r>
                    <w:rPr>
                      <w:rFonts w:hint="eastAsia"/>
                      <w:highlight w:val="none"/>
                      <w:lang w:val="en-US" w:eastAsia="zh-CN"/>
                    </w:rPr>
                    <w:t>/</w:t>
                  </w:r>
                </w:p>
              </w:tc>
            </w:tr>
            <w:tr w14:paraId="24740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38" w:type="dxa"/>
                  <w:vMerge w:val="continue"/>
                  <w:tcBorders>
                    <w:tl2br w:val="nil"/>
                    <w:tr2bl w:val="nil"/>
                  </w:tcBorders>
                  <w:vAlign w:val="center"/>
                </w:tcPr>
                <w:p w14:paraId="33E4275F">
                  <w:pPr>
                    <w:pStyle w:val="32"/>
                    <w:bidi w:val="0"/>
                    <w:rPr>
                      <w:highlight w:val="none"/>
                    </w:rPr>
                  </w:pPr>
                </w:p>
              </w:tc>
              <w:tc>
                <w:tcPr>
                  <w:tcW w:w="6389" w:type="dxa"/>
                  <w:gridSpan w:val="6"/>
                  <w:tcBorders>
                    <w:tl2br w:val="nil"/>
                    <w:tr2bl w:val="nil"/>
                  </w:tcBorders>
                  <w:vAlign w:val="center"/>
                </w:tcPr>
                <w:p w14:paraId="627FB990">
                  <w:pPr>
                    <w:pStyle w:val="32"/>
                    <w:bidi w:val="0"/>
                    <w:rPr>
                      <w:highlight w:val="none"/>
                    </w:rPr>
                  </w:pPr>
                  <w:r>
                    <w:rPr>
                      <w:rFonts w:hint="eastAsia"/>
                      <w:highlight w:val="none"/>
                    </w:rPr>
                    <w:t>地表水环境敏感程度</w:t>
                  </w:r>
                  <w:r>
                    <w:rPr>
                      <w:highlight w:val="none"/>
                    </w:rPr>
                    <w:t>E</w:t>
                  </w:r>
                  <w:r>
                    <w:rPr>
                      <w:rFonts w:hint="eastAsia"/>
                      <w:highlight w:val="none"/>
                    </w:rPr>
                    <w:t>值</w:t>
                  </w:r>
                </w:p>
              </w:tc>
              <w:tc>
                <w:tcPr>
                  <w:tcW w:w="1192" w:type="dxa"/>
                  <w:tcBorders>
                    <w:tl2br w:val="nil"/>
                    <w:tr2bl w:val="nil"/>
                  </w:tcBorders>
                  <w:vAlign w:val="center"/>
                </w:tcPr>
                <w:p w14:paraId="47405DB7">
                  <w:pPr>
                    <w:pStyle w:val="32"/>
                    <w:bidi w:val="0"/>
                    <w:rPr>
                      <w:highlight w:val="none"/>
                    </w:rPr>
                  </w:pPr>
                  <w:r>
                    <w:rPr>
                      <w:highlight w:val="none"/>
                    </w:rPr>
                    <w:t>E</w:t>
                  </w:r>
                  <w:r>
                    <w:rPr>
                      <w:rFonts w:hint="eastAsia"/>
                      <w:highlight w:val="none"/>
                    </w:rPr>
                    <w:t>3</w:t>
                  </w:r>
                </w:p>
              </w:tc>
            </w:tr>
            <w:tr w14:paraId="6F8EC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8" w:type="dxa"/>
                  <w:vMerge w:val="restart"/>
                  <w:tcBorders>
                    <w:tl2br w:val="nil"/>
                    <w:tr2bl w:val="nil"/>
                  </w:tcBorders>
                  <w:vAlign w:val="center"/>
                </w:tcPr>
                <w:p w14:paraId="34A1FFDF">
                  <w:pPr>
                    <w:pStyle w:val="32"/>
                    <w:bidi w:val="0"/>
                    <w:rPr>
                      <w:highlight w:val="none"/>
                    </w:rPr>
                  </w:pPr>
                  <w:r>
                    <w:rPr>
                      <w:rFonts w:hint="eastAsia"/>
                      <w:highlight w:val="none"/>
                    </w:rPr>
                    <w:t>地下水</w:t>
                  </w:r>
                </w:p>
              </w:tc>
              <w:tc>
                <w:tcPr>
                  <w:tcW w:w="746" w:type="dxa"/>
                  <w:tcBorders>
                    <w:tl2br w:val="nil"/>
                    <w:tr2bl w:val="nil"/>
                  </w:tcBorders>
                  <w:vAlign w:val="center"/>
                </w:tcPr>
                <w:p w14:paraId="753009F1">
                  <w:pPr>
                    <w:pStyle w:val="32"/>
                    <w:bidi w:val="0"/>
                    <w:rPr>
                      <w:highlight w:val="none"/>
                    </w:rPr>
                  </w:pPr>
                  <w:r>
                    <w:rPr>
                      <w:rFonts w:hint="eastAsia"/>
                      <w:highlight w:val="none"/>
                    </w:rPr>
                    <w:t>序号</w:t>
                  </w:r>
                </w:p>
              </w:tc>
              <w:tc>
                <w:tcPr>
                  <w:tcW w:w="2311" w:type="dxa"/>
                  <w:tcBorders>
                    <w:tl2br w:val="nil"/>
                    <w:tr2bl w:val="nil"/>
                  </w:tcBorders>
                  <w:vAlign w:val="center"/>
                </w:tcPr>
                <w:p w14:paraId="1DDBB828">
                  <w:pPr>
                    <w:pStyle w:val="32"/>
                    <w:bidi w:val="0"/>
                    <w:rPr>
                      <w:highlight w:val="none"/>
                    </w:rPr>
                  </w:pPr>
                  <w:r>
                    <w:rPr>
                      <w:rFonts w:hint="eastAsia"/>
                      <w:highlight w:val="none"/>
                    </w:rPr>
                    <w:t>环境敏感区名称</w:t>
                  </w:r>
                </w:p>
              </w:tc>
              <w:tc>
                <w:tcPr>
                  <w:tcW w:w="1069" w:type="dxa"/>
                  <w:tcBorders>
                    <w:tl2br w:val="nil"/>
                    <w:tr2bl w:val="nil"/>
                  </w:tcBorders>
                  <w:vAlign w:val="center"/>
                </w:tcPr>
                <w:p w14:paraId="46EDE5C9">
                  <w:pPr>
                    <w:pStyle w:val="32"/>
                    <w:bidi w:val="0"/>
                    <w:rPr>
                      <w:highlight w:val="none"/>
                    </w:rPr>
                  </w:pPr>
                  <w:r>
                    <w:rPr>
                      <w:rFonts w:hint="eastAsia"/>
                      <w:highlight w:val="none"/>
                    </w:rPr>
                    <w:t>环境敏感特征</w:t>
                  </w:r>
                </w:p>
              </w:tc>
              <w:tc>
                <w:tcPr>
                  <w:tcW w:w="995" w:type="dxa"/>
                  <w:tcBorders>
                    <w:tl2br w:val="nil"/>
                    <w:tr2bl w:val="nil"/>
                  </w:tcBorders>
                  <w:vAlign w:val="center"/>
                </w:tcPr>
                <w:p w14:paraId="272C1F2D">
                  <w:pPr>
                    <w:pStyle w:val="32"/>
                    <w:bidi w:val="0"/>
                    <w:rPr>
                      <w:highlight w:val="none"/>
                    </w:rPr>
                  </w:pPr>
                  <w:r>
                    <w:rPr>
                      <w:rFonts w:hint="eastAsia"/>
                      <w:highlight w:val="none"/>
                    </w:rPr>
                    <w:t>水质目标</w:t>
                  </w:r>
                </w:p>
              </w:tc>
              <w:tc>
                <w:tcPr>
                  <w:tcW w:w="1268" w:type="dxa"/>
                  <w:gridSpan w:val="2"/>
                  <w:tcBorders>
                    <w:tl2br w:val="nil"/>
                    <w:tr2bl w:val="nil"/>
                  </w:tcBorders>
                  <w:vAlign w:val="center"/>
                </w:tcPr>
                <w:p w14:paraId="246BFEA7">
                  <w:pPr>
                    <w:pStyle w:val="32"/>
                    <w:bidi w:val="0"/>
                    <w:rPr>
                      <w:highlight w:val="none"/>
                    </w:rPr>
                  </w:pPr>
                  <w:r>
                    <w:rPr>
                      <w:rFonts w:hint="eastAsia"/>
                      <w:highlight w:val="none"/>
                    </w:rPr>
                    <w:t>包气带防污性能</w:t>
                  </w:r>
                </w:p>
              </w:tc>
              <w:tc>
                <w:tcPr>
                  <w:tcW w:w="1192" w:type="dxa"/>
                  <w:tcBorders>
                    <w:tl2br w:val="nil"/>
                    <w:tr2bl w:val="nil"/>
                  </w:tcBorders>
                  <w:vAlign w:val="center"/>
                </w:tcPr>
                <w:p w14:paraId="581AC105">
                  <w:pPr>
                    <w:pStyle w:val="32"/>
                    <w:bidi w:val="0"/>
                    <w:jc w:val="both"/>
                    <w:rPr>
                      <w:highlight w:val="none"/>
                    </w:rPr>
                  </w:pPr>
                  <w:r>
                    <w:rPr>
                      <w:rFonts w:hint="eastAsia"/>
                      <w:highlight w:val="none"/>
                    </w:rPr>
                    <w:t>与下游厂界距离</w:t>
                  </w:r>
                  <w:r>
                    <w:rPr>
                      <w:highlight w:val="none"/>
                    </w:rPr>
                    <w:t>/m</w:t>
                  </w:r>
                </w:p>
              </w:tc>
            </w:tr>
            <w:tr w14:paraId="7557E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38" w:type="dxa"/>
                  <w:vMerge w:val="continue"/>
                  <w:tcBorders>
                    <w:tl2br w:val="nil"/>
                    <w:tr2bl w:val="nil"/>
                  </w:tcBorders>
                  <w:vAlign w:val="center"/>
                </w:tcPr>
                <w:p w14:paraId="3C50167D">
                  <w:pPr>
                    <w:pStyle w:val="32"/>
                    <w:bidi w:val="0"/>
                    <w:rPr>
                      <w:highlight w:val="none"/>
                    </w:rPr>
                  </w:pPr>
                </w:p>
              </w:tc>
              <w:tc>
                <w:tcPr>
                  <w:tcW w:w="746" w:type="dxa"/>
                  <w:tcBorders>
                    <w:tl2br w:val="nil"/>
                    <w:tr2bl w:val="nil"/>
                  </w:tcBorders>
                  <w:vAlign w:val="center"/>
                </w:tcPr>
                <w:p w14:paraId="477EC4FE">
                  <w:pPr>
                    <w:pStyle w:val="32"/>
                    <w:bidi w:val="0"/>
                    <w:rPr>
                      <w:highlight w:val="none"/>
                    </w:rPr>
                  </w:pPr>
                  <w:r>
                    <w:rPr>
                      <w:highlight w:val="none"/>
                    </w:rPr>
                    <w:t>1</w:t>
                  </w:r>
                </w:p>
              </w:tc>
              <w:tc>
                <w:tcPr>
                  <w:tcW w:w="2311" w:type="dxa"/>
                  <w:tcBorders>
                    <w:tl2br w:val="nil"/>
                    <w:tr2bl w:val="nil"/>
                  </w:tcBorders>
                  <w:vAlign w:val="center"/>
                </w:tcPr>
                <w:p w14:paraId="4CB6654A">
                  <w:pPr>
                    <w:pStyle w:val="32"/>
                    <w:bidi w:val="0"/>
                    <w:rPr>
                      <w:highlight w:val="none"/>
                    </w:rPr>
                  </w:pPr>
                  <w:r>
                    <w:rPr>
                      <w:rFonts w:hint="eastAsia"/>
                      <w:highlight w:val="none"/>
                    </w:rPr>
                    <w:t>无</w:t>
                  </w:r>
                </w:p>
              </w:tc>
              <w:tc>
                <w:tcPr>
                  <w:tcW w:w="1069" w:type="dxa"/>
                  <w:tcBorders>
                    <w:tl2br w:val="nil"/>
                    <w:tr2bl w:val="nil"/>
                  </w:tcBorders>
                  <w:vAlign w:val="center"/>
                </w:tcPr>
                <w:p w14:paraId="53B1870A">
                  <w:pPr>
                    <w:pStyle w:val="32"/>
                    <w:bidi w:val="0"/>
                    <w:rPr>
                      <w:rFonts w:hint="eastAsia" w:eastAsia="宋体"/>
                      <w:highlight w:val="none"/>
                      <w:lang w:eastAsia="zh-CN"/>
                    </w:rPr>
                  </w:pPr>
                  <w:r>
                    <w:rPr>
                      <w:rFonts w:hint="eastAsia"/>
                      <w:highlight w:val="none"/>
                      <w:lang w:val="en-US" w:eastAsia="zh-CN"/>
                    </w:rPr>
                    <w:t>不</w:t>
                  </w:r>
                  <w:r>
                    <w:rPr>
                      <w:rFonts w:hint="eastAsia"/>
                      <w:highlight w:val="none"/>
                    </w:rPr>
                    <w:t>较敏感</w:t>
                  </w:r>
                  <w:r>
                    <w:rPr>
                      <w:highlight w:val="none"/>
                    </w:rPr>
                    <w:t>G</w:t>
                  </w:r>
                  <w:r>
                    <w:rPr>
                      <w:rFonts w:hint="eastAsia"/>
                      <w:highlight w:val="none"/>
                      <w:lang w:val="en-US" w:eastAsia="zh-CN"/>
                    </w:rPr>
                    <w:t>3</w:t>
                  </w:r>
                </w:p>
              </w:tc>
              <w:tc>
                <w:tcPr>
                  <w:tcW w:w="995" w:type="dxa"/>
                  <w:tcBorders>
                    <w:tl2br w:val="nil"/>
                    <w:tr2bl w:val="nil"/>
                  </w:tcBorders>
                  <w:vAlign w:val="center"/>
                </w:tcPr>
                <w:p w14:paraId="209D76B7">
                  <w:pPr>
                    <w:pStyle w:val="32"/>
                    <w:bidi w:val="0"/>
                    <w:rPr>
                      <w:highlight w:val="none"/>
                    </w:rPr>
                  </w:pPr>
                  <w:r>
                    <w:rPr>
                      <w:highlight w:val="none"/>
                    </w:rPr>
                    <w:t>III</w:t>
                  </w:r>
                  <w:r>
                    <w:rPr>
                      <w:rFonts w:hint="eastAsia"/>
                      <w:highlight w:val="none"/>
                    </w:rPr>
                    <w:t>类</w:t>
                  </w:r>
                </w:p>
              </w:tc>
              <w:tc>
                <w:tcPr>
                  <w:tcW w:w="1268" w:type="dxa"/>
                  <w:gridSpan w:val="2"/>
                  <w:tcBorders>
                    <w:tl2br w:val="nil"/>
                    <w:tr2bl w:val="nil"/>
                  </w:tcBorders>
                  <w:vAlign w:val="center"/>
                </w:tcPr>
                <w:p w14:paraId="019CFA8E">
                  <w:pPr>
                    <w:pStyle w:val="32"/>
                    <w:bidi w:val="0"/>
                    <w:rPr>
                      <w:rFonts w:hint="eastAsia" w:eastAsia="宋体"/>
                      <w:highlight w:val="none"/>
                      <w:lang w:eastAsia="zh-CN"/>
                    </w:rPr>
                  </w:pPr>
                  <w:r>
                    <w:rPr>
                      <w:highlight w:val="none"/>
                    </w:rPr>
                    <w:t>D</w:t>
                  </w:r>
                  <w:r>
                    <w:rPr>
                      <w:rFonts w:hint="eastAsia"/>
                      <w:highlight w:val="none"/>
                      <w:lang w:val="en-US" w:eastAsia="zh-CN"/>
                    </w:rPr>
                    <w:t>1</w:t>
                  </w:r>
                </w:p>
              </w:tc>
              <w:tc>
                <w:tcPr>
                  <w:tcW w:w="1192" w:type="dxa"/>
                  <w:tcBorders>
                    <w:tl2br w:val="nil"/>
                    <w:tr2bl w:val="nil"/>
                  </w:tcBorders>
                  <w:vAlign w:val="center"/>
                </w:tcPr>
                <w:p w14:paraId="65571F7D">
                  <w:pPr>
                    <w:pStyle w:val="32"/>
                    <w:bidi w:val="0"/>
                    <w:rPr>
                      <w:highlight w:val="none"/>
                    </w:rPr>
                  </w:pPr>
                  <w:r>
                    <w:rPr>
                      <w:highlight w:val="none"/>
                    </w:rPr>
                    <w:t>/</w:t>
                  </w:r>
                </w:p>
              </w:tc>
            </w:tr>
            <w:tr w14:paraId="7DC9B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38" w:type="dxa"/>
                  <w:vMerge w:val="continue"/>
                  <w:tcBorders>
                    <w:tl2br w:val="nil"/>
                    <w:tr2bl w:val="nil"/>
                  </w:tcBorders>
                  <w:vAlign w:val="center"/>
                </w:tcPr>
                <w:p w14:paraId="0320BEF6">
                  <w:pPr>
                    <w:pStyle w:val="32"/>
                    <w:bidi w:val="0"/>
                    <w:rPr>
                      <w:highlight w:val="none"/>
                    </w:rPr>
                  </w:pPr>
                </w:p>
              </w:tc>
              <w:tc>
                <w:tcPr>
                  <w:tcW w:w="6389" w:type="dxa"/>
                  <w:gridSpan w:val="6"/>
                  <w:tcBorders>
                    <w:tl2br w:val="nil"/>
                    <w:tr2bl w:val="nil"/>
                  </w:tcBorders>
                  <w:vAlign w:val="center"/>
                </w:tcPr>
                <w:p w14:paraId="0AA8CAE9">
                  <w:pPr>
                    <w:pStyle w:val="32"/>
                    <w:bidi w:val="0"/>
                    <w:rPr>
                      <w:highlight w:val="none"/>
                    </w:rPr>
                  </w:pPr>
                  <w:r>
                    <w:rPr>
                      <w:rFonts w:hint="eastAsia"/>
                      <w:highlight w:val="none"/>
                    </w:rPr>
                    <w:t>地下水环境敏感程度</w:t>
                  </w:r>
                  <w:r>
                    <w:rPr>
                      <w:highlight w:val="none"/>
                    </w:rPr>
                    <w:t>E</w:t>
                  </w:r>
                  <w:r>
                    <w:rPr>
                      <w:rFonts w:hint="eastAsia"/>
                      <w:highlight w:val="none"/>
                    </w:rPr>
                    <w:t>值</w:t>
                  </w:r>
                </w:p>
              </w:tc>
              <w:tc>
                <w:tcPr>
                  <w:tcW w:w="1192" w:type="dxa"/>
                  <w:tcBorders>
                    <w:tl2br w:val="nil"/>
                    <w:tr2bl w:val="nil"/>
                  </w:tcBorders>
                  <w:vAlign w:val="center"/>
                </w:tcPr>
                <w:p w14:paraId="13B23951">
                  <w:pPr>
                    <w:pStyle w:val="32"/>
                    <w:bidi w:val="0"/>
                    <w:rPr>
                      <w:rFonts w:hint="eastAsia" w:eastAsia="宋体"/>
                      <w:highlight w:val="none"/>
                      <w:lang w:eastAsia="zh-CN"/>
                    </w:rPr>
                  </w:pPr>
                  <w:r>
                    <w:rPr>
                      <w:highlight w:val="none"/>
                    </w:rPr>
                    <w:t>E</w:t>
                  </w:r>
                  <w:r>
                    <w:rPr>
                      <w:rFonts w:hint="eastAsia"/>
                      <w:highlight w:val="none"/>
                      <w:lang w:val="en-US" w:eastAsia="zh-CN"/>
                    </w:rPr>
                    <w:t>2</w:t>
                  </w:r>
                </w:p>
              </w:tc>
            </w:tr>
          </w:tbl>
          <w:p w14:paraId="3A92849E">
            <w:pPr>
              <w:ind w:left="0" w:leftChars="0" w:firstLine="0" w:firstLineChars="0"/>
              <w:rPr>
                <w:rFonts w:hint="eastAsia"/>
                <w:b/>
                <w:bCs/>
                <w:lang w:val="en-US" w:eastAsia="zh-CN"/>
              </w:rPr>
            </w:pPr>
            <w:r>
              <w:rPr>
                <w:rFonts w:hint="eastAsia"/>
                <w:b/>
                <w:bCs/>
                <w:lang w:val="en-US" w:eastAsia="zh-CN"/>
              </w:rPr>
              <w:t>4.4.2环境风险评价等级</w:t>
            </w:r>
          </w:p>
          <w:p w14:paraId="03FE615E">
            <w:pPr>
              <w:ind w:firstLine="480"/>
            </w:pPr>
            <w:r>
              <w:t>根据《建设项目环境风险评价技术导则》（HJ169-2018）</w:t>
            </w:r>
            <w:r>
              <w:rPr>
                <w:rFonts w:hint="eastAsia"/>
              </w:rPr>
              <w:t>，计算所涉及的每种</w:t>
            </w:r>
            <w:r>
              <w:rPr>
                <w:rFonts w:hint="eastAsia" w:cstheme="minorBidi"/>
                <w:b w:val="0"/>
                <w:bCs w:val="0"/>
                <w:szCs w:val="22"/>
              </w:rPr>
              <w:t>风险物质</w:t>
            </w:r>
            <w:r>
              <w:rPr>
                <w:rFonts w:hint="eastAsia"/>
              </w:rPr>
              <w:t>在厂界内的最大存在总量与其对应临界量的比值Q。</w:t>
            </w:r>
          </w:p>
          <w:p w14:paraId="25031D3D">
            <w:pPr>
              <w:widowControl/>
              <w:ind w:firstLine="480"/>
              <w:rPr>
                <w:rFonts w:ascii="宋体" w:hAnsi="宋体" w:cs="宋体"/>
              </w:rPr>
            </w:pPr>
            <w:r>
              <w:rPr>
                <w:rFonts w:hint="eastAsia"/>
              </w:rPr>
              <w:t>当只涉及一种</w:t>
            </w:r>
            <w:r>
              <w:rPr>
                <w:rFonts w:hint="eastAsia" w:cstheme="minorBidi"/>
                <w:b w:val="0"/>
                <w:bCs w:val="0"/>
                <w:szCs w:val="22"/>
              </w:rPr>
              <w:t>风险物质</w:t>
            </w:r>
            <w:r>
              <w:rPr>
                <w:rFonts w:hint="eastAsia"/>
              </w:rPr>
              <w:t>时，计算该物质总量与其临界量比值，即为Q；</w:t>
            </w:r>
          </w:p>
          <w:p w14:paraId="55B496A4">
            <w:pPr>
              <w:ind w:firstLine="480"/>
            </w:pPr>
            <w:r>
              <w:t>当存在多种</w:t>
            </w:r>
            <w:r>
              <w:rPr>
                <w:rFonts w:hint="eastAsia" w:cstheme="minorBidi"/>
                <w:b w:val="0"/>
                <w:bCs w:val="0"/>
                <w:szCs w:val="22"/>
              </w:rPr>
              <w:t>风险物质</w:t>
            </w:r>
            <w:r>
              <w:t>时，则按式（C.1）计算物质总量与其临界量比值（Q）：</w:t>
            </w:r>
          </w:p>
          <w:p w14:paraId="02A73872">
            <w:pPr>
              <w:pStyle w:val="2"/>
              <w:ind w:left="480"/>
            </w:pPr>
            <m:oMathPara>
              <m:oMath>
                <m:r>
                  <m:rPr/>
                  <w:rPr>
                    <w:rFonts w:ascii="Cambria Math" w:hAnsi="Cambria Math"/>
                  </w:rPr>
                  <m:t>Q=</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den>
                </m:f>
                <m:r>
                  <m:rPr/>
                  <w:rPr>
                    <w:rFonts w:ascii="Cambria Math" w:hAnsi="Cambria Math"/>
                  </w:rPr>
                  <m:t>+</m:t>
                </m:r>
                <m:r>
                  <m:rPr/>
                  <w:rPr>
                    <w:rFonts w:ascii="Cambria Math" w:hAnsi="Cambria Math" w:cs="Cambria Math"/>
                  </w:rPr>
                  <m:t>⋯</m:t>
                </m:r>
                <m:f>
                  <m:fPr>
                    <m:ctrlPr>
                      <w:rPr>
                        <w:rFonts w:ascii="Cambria Math" w:hAnsi="Cambria Math" w:cs="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n</m:t>
                        </m:r>
                        <m:ctrlPr>
                          <w:rPr>
                            <w:rFonts w:ascii="Cambria Math" w:hAnsi="Cambria Math"/>
                            <w:i/>
                          </w:rPr>
                        </m:ctrlPr>
                      </m:sub>
                    </m:sSub>
                    <m:ctrlPr>
                      <w:rPr>
                        <w:rFonts w:ascii="Cambria Math" w:hAnsi="Cambria Math" w:cs="Cambria Math"/>
                        <w:i/>
                      </w:rPr>
                    </m:ctrlPr>
                  </m:num>
                  <m:den>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n</m:t>
                        </m:r>
                        <m:ctrlPr>
                          <w:rPr>
                            <w:rFonts w:ascii="Cambria Math" w:hAnsi="Cambria Math"/>
                            <w:i/>
                          </w:rPr>
                        </m:ctrlPr>
                      </m:sub>
                    </m:sSub>
                    <m:ctrlPr>
                      <w:rPr>
                        <w:rFonts w:ascii="Cambria Math" w:hAnsi="Cambria Math" w:cs="Cambria Math"/>
                        <w:i/>
                      </w:rPr>
                    </m:ctrlPr>
                  </m:den>
                </m:f>
              </m:oMath>
            </m:oMathPara>
          </w:p>
          <w:p w14:paraId="539FD431">
            <w:pPr>
              <w:ind w:firstLine="480"/>
            </w:pPr>
            <w:r>
              <w:t>式中：q</w:t>
            </w:r>
            <w:r>
              <w:rPr>
                <w:vertAlign w:val="subscript"/>
              </w:rPr>
              <w:t>1</w:t>
            </w:r>
            <w:r>
              <w:t>，q</w:t>
            </w:r>
            <w:r>
              <w:rPr>
                <w:vertAlign w:val="subscript"/>
              </w:rPr>
              <w:t>2</w:t>
            </w:r>
            <w:r>
              <w:t>，...，q</w:t>
            </w:r>
            <w:r>
              <w:rPr>
                <w:vertAlign w:val="subscript"/>
              </w:rPr>
              <w:t>n</w:t>
            </w:r>
            <w:r>
              <w:t>——每种</w:t>
            </w:r>
            <w:r>
              <w:rPr>
                <w:rFonts w:hint="eastAsia" w:cstheme="minorBidi"/>
                <w:b w:val="0"/>
                <w:bCs w:val="0"/>
                <w:szCs w:val="22"/>
              </w:rPr>
              <w:t>风险物质</w:t>
            </w:r>
            <w:r>
              <w:t>的最大存在总量，t；</w:t>
            </w:r>
          </w:p>
          <w:p w14:paraId="6322EBC1">
            <w:pPr>
              <w:ind w:firstLine="1200" w:firstLineChars="500"/>
            </w:pPr>
            <w:r>
              <w:t>Q1</w:t>
            </w:r>
            <w:r>
              <w:rPr>
                <w:rFonts w:hint="eastAsia"/>
              </w:rPr>
              <w:t>，</w:t>
            </w:r>
            <w:r>
              <w:t>Q2</w:t>
            </w:r>
            <w:r>
              <w:rPr>
                <w:rFonts w:hint="eastAsia"/>
              </w:rPr>
              <w:t>，</w:t>
            </w:r>
            <w:r>
              <w:t>...</w:t>
            </w:r>
            <w:r>
              <w:rPr>
                <w:rFonts w:hint="eastAsia"/>
              </w:rPr>
              <w:t>，</w:t>
            </w:r>
            <w:r>
              <w:t>Qn——每种</w:t>
            </w:r>
            <w:r>
              <w:rPr>
                <w:rFonts w:hint="eastAsia" w:cstheme="minorBidi"/>
                <w:b w:val="0"/>
                <w:bCs w:val="0"/>
                <w:szCs w:val="22"/>
              </w:rPr>
              <w:t>风险物质</w:t>
            </w:r>
            <w:r>
              <w:t>的临界量，t。</w:t>
            </w:r>
          </w:p>
          <w:p w14:paraId="4A6C39D7">
            <w:pPr>
              <w:ind w:firstLine="480"/>
            </w:pPr>
            <w:r>
              <w:t>当Q＜1时，该项目环境风险潜势为Ⅰ。当Q≥1时，将Q值划分为：</w:t>
            </w:r>
          </w:p>
          <w:p w14:paraId="0B66A5AF">
            <w:pPr>
              <w:ind w:firstLine="480"/>
            </w:pPr>
            <w:r>
              <w:t>（1）1≤Q＜10；</w:t>
            </w:r>
          </w:p>
          <w:p w14:paraId="6B5A5EE2">
            <w:pPr>
              <w:ind w:firstLine="480"/>
            </w:pPr>
            <w:r>
              <w:t>（2）10≤Q＜100；</w:t>
            </w:r>
          </w:p>
          <w:p w14:paraId="136F9E02">
            <w:pPr>
              <w:ind w:firstLine="480"/>
            </w:pPr>
            <w:r>
              <w:t>（3）Q≥100。</w:t>
            </w:r>
          </w:p>
          <w:p w14:paraId="4FF86199">
            <w:pPr>
              <w:ind w:firstLine="480"/>
            </w:pPr>
            <w:r>
              <w:rPr>
                <w:rFonts w:hint="eastAsia"/>
                <w:color w:val="000000" w:themeColor="text1"/>
                <w:szCs w:val="20"/>
                <w14:textFill>
                  <w14:solidFill>
                    <w14:schemeClr w14:val="tx1"/>
                  </w14:solidFill>
                </w14:textFill>
              </w:rPr>
              <w:t>本项目涉及的</w:t>
            </w:r>
            <w:r>
              <w:rPr>
                <w:rFonts w:hint="eastAsia" w:cstheme="minorBidi"/>
                <w:b w:val="0"/>
                <w:bCs w:val="0"/>
                <w:szCs w:val="22"/>
              </w:rPr>
              <w:t>风险物质</w:t>
            </w:r>
            <w:r>
              <w:rPr>
                <w:rFonts w:hint="eastAsia"/>
                <w:color w:val="000000" w:themeColor="text1"/>
                <w:szCs w:val="20"/>
                <w14:textFill>
                  <w14:solidFill>
                    <w14:schemeClr w14:val="tx1"/>
                  </w14:solidFill>
                </w14:textFill>
              </w:rPr>
              <w:t>为汽油、柴油</w:t>
            </w:r>
            <w:r>
              <w:rPr>
                <w:rFonts w:hint="eastAsia"/>
                <w:color w:val="000000" w:themeColor="text1"/>
                <w:szCs w:val="20"/>
                <w:lang w:val="en-US" w:eastAsia="zh-CN"/>
                <w14:textFill>
                  <w14:solidFill>
                    <w14:schemeClr w14:val="tx1"/>
                  </w14:solidFill>
                </w14:textFill>
              </w:rPr>
              <w:t>及废润滑油</w:t>
            </w:r>
            <w:r>
              <w:rPr>
                <w:rFonts w:hint="eastAsia"/>
                <w:color w:val="000000" w:themeColor="text1"/>
                <w:szCs w:val="20"/>
                <w14:textFill>
                  <w14:solidFill>
                    <w14:schemeClr w14:val="tx1"/>
                  </w14:solidFill>
                </w14:textFill>
              </w:rPr>
              <w:t>，风险物质数量与其临界量比值（Q）。</w:t>
            </w:r>
            <w:r>
              <w:rPr>
                <w:rFonts w:hint="eastAsia" w:cs="等线"/>
                <w:color w:val="000000" w:themeColor="text1"/>
                <w:szCs w:val="20"/>
                <w14:textFill>
                  <w14:solidFill>
                    <w14:schemeClr w14:val="tx1"/>
                  </w14:solidFill>
                </w14:textFill>
              </w:rPr>
              <w:t>本项目的比值</w:t>
            </w:r>
            <w:r>
              <w:rPr>
                <w:rFonts w:cs="等线"/>
                <w:color w:val="000000" w:themeColor="text1"/>
                <w:szCs w:val="20"/>
                <w14:textFill>
                  <w14:solidFill>
                    <w14:schemeClr w14:val="tx1"/>
                  </w14:solidFill>
                </w14:textFill>
              </w:rPr>
              <w:t>Q</w:t>
            </w:r>
            <w:r>
              <w:rPr>
                <w:rFonts w:hint="eastAsia" w:cs="等线"/>
                <w:color w:val="000000" w:themeColor="text1"/>
                <w:szCs w:val="20"/>
                <w14:textFill>
                  <w14:solidFill>
                    <w14:schemeClr w14:val="tx1"/>
                  </w14:solidFill>
                </w14:textFill>
              </w:rPr>
              <w:t>计算结果见表</w:t>
            </w:r>
            <w:r>
              <w:rPr>
                <w:rFonts w:hint="eastAsia" w:cs="等线"/>
                <w:color w:val="000000" w:themeColor="text1"/>
                <w:szCs w:val="20"/>
                <w:lang w:val="en-US" w:eastAsia="zh-CN"/>
                <w14:textFill>
                  <w14:solidFill>
                    <w14:schemeClr w14:val="tx1"/>
                  </w14:solidFill>
                </w14:textFill>
              </w:rPr>
              <w:t>4-12</w:t>
            </w:r>
            <w:r>
              <w:rPr>
                <w:rFonts w:hint="eastAsia" w:cs="等线"/>
                <w:color w:val="000000" w:themeColor="text1"/>
                <w:szCs w:val="20"/>
                <w14:textFill>
                  <w14:solidFill>
                    <w14:schemeClr w14:val="tx1"/>
                  </w14:solidFill>
                </w14:textFill>
              </w:rPr>
              <w:t>。</w:t>
            </w:r>
          </w:p>
          <w:p w14:paraId="6766F31A">
            <w:pPr>
              <w:pStyle w:val="28"/>
              <w:spacing w:before="156"/>
              <w:ind w:firstLine="422"/>
              <w:outlineLvl w:val="9"/>
              <w:rPr>
                <w:rFonts w:hint="eastAsia"/>
              </w:rPr>
            </w:pPr>
            <w:r>
              <w:rPr>
                <w:rFonts w:hint="eastAsia"/>
              </w:rPr>
              <w:t>表</w:t>
            </w:r>
            <w:r>
              <w:rPr>
                <w:rFonts w:hint="eastAsia"/>
                <w:lang w:val="en-US" w:eastAsia="zh-CN"/>
              </w:rPr>
              <w:t xml:space="preserve">4-12 </w:t>
            </w:r>
            <w:r>
              <w:rPr>
                <w:rFonts w:hint="eastAsia"/>
              </w:rPr>
              <w:t xml:space="preserve"> </w:t>
            </w:r>
            <w:r>
              <w:rPr>
                <w:rFonts w:hint="eastAsia" w:ascii="Times New Roman" w:hAnsi="Times New Roman" w:eastAsia="宋体" w:cs="Times New Roman"/>
              </w:rPr>
              <w:t>本项目风险物质</w:t>
            </w:r>
            <w:r>
              <w:rPr>
                <w:rFonts w:hint="eastAsia" w:ascii="Times New Roman" w:hAnsi="Times New Roman" w:eastAsia="宋体" w:cs="Times New Roman"/>
                <w:lang w:val="en-US" w:eastAsia="zh-CN"/>
              </w:rPr>
              <w:t>最大储量</w:t>
            </w:r>
            <w:r>
              <w:rPr>
                <w:rFonts w:hint="eastAsia" w:ascii="Times New Roman" w:hAnsi="Times New Roman" w:eastAsia="宋体" w:cs="Times New Roman"/>
              </w:rPr>
              <w:t>与临界量</w:t>
            </w:r>
            <w:r>
              <w:rPr>
                <w:rFonts w:hint="eastAsia"/>
              </w:rPr>
              <w:t>比值（Q）</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1708"/>
              <w:gridCol w:w="2035"/>
              <w:gridCol w:w="2035"/>
            </w:tblGrid>
            <w:tr w14:paraId="0A4AC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80" w:type="dxa"/>
                  <w:tcBorders>
                    <w:tl2br w:val="nil"/>
                    <w:tr2bl w:val="nil"/>
                  </w:tcBorders>
                </w:tcPr>
                <w:p w14:paraId="75DB94D3">
                  <w:pPr>
                    <w:pStyle w:val="32"/>
                    <w:keepNext w:val="0"/>
                    <w:keepLines w:val="0"/>
                    <w:pageBreakBefore w:val="0"/>
                    <w:widowControl w:val="0"/>
                    <w:kinsoku/>
                    <w:wordWrap/>
                    <w:overflowPunct/>
                    <w:topLinePunct w:val="0"/>
                    <w:autoSpaceDE/>
                    <w:autoSpaceDN/>
                    <w:bidi w:val="0"/>
                    <w:spacing w:line="240" w:lineRule="auto"/>
                    <w:textAlignment w:val="auto"/>
                  </w:pPr>
                  <w:r>
                    <w:rPr>
                      <w:rFonts w:hint="eastAsia" w:cstheme="minorBidi"/>
                      <w:b w:val="0"/>
                      <w:bCs w:val="0"/>
                      <w:szCs w:val="22"/>
                    </w:rPr>
                    <w:t>风险物质</w:t>
                  </w:r>
                  <w:r>
                    <w:rPr>
                      <w:rFonts w:hint="eastAsia"/>
                    </w:rPr>
                    <w:t>名称</w:t>
                  </w:r>
                </w:p>
              </w:tc>
              <w:tc>
                <w:tcPr>
                  <w:tcW w:w="1708" w:type="dxa"/>
                  <w:tcBorders>
                    <w:tl2br w:val="nil"/>
                    <w:tr2bl w:val="nil"/>
                  </w:tcBorders>
                </w:tcPr>
                <w:p w14:paraId="0A4AEFD7">
                  <w:pPr>
                    <w:pStyle w:val="32"/>
                    <w:keepNext w:val="0"/>
                    <w:keepLines w:val="0"/>
                    <w:pageBreakBefore w:val="0"/>
                    <w:widowControl w:val="0"/>
                    <w:kinsoku/>
                    <w:wordWrap/>
                    <w:overflowPunct/>
                    <w:topLinePunct w:val="0"/>
                    <w:autoSpaceDE/>
                    <w:autoSpaceDN/>
                    <w:bidi w:val="0"/>
                    <w:spacing w:line="240" w:lineRule="auto"/>
                    <w:textAlignment w:val="auto"/>
                  </w:pPr>
                  <w:r>
                    <w:rPr>
                      <w:kern w:val="2"/>
                      <w:szCs w:val="21"/>
                    </w:rPr>
                    <w:t>临界量</w:t>
                  </w:r>
                  <w:r>
                    <w:t>Qn</w:t>
                  </w:r>
                  <w:r>
                    <w:rPr>
                      <w:kern w:val="2"/>
                      <w:szCs w:val="21"/>
                    </w:rPr>
                    <w:t>（t）</w:t>
                  </w:r>
                </w:p>
              </w:tc>
              <w:tc>
                <w:tcPr>
                  <w:tcW w:w="2035" w:type="dxa"/>
                  <w:tcBorders>
                    <w:tl2br w:val="nil"/>
                    <w:tr2bl w:val="nil"/>
                  </w:tcBorders>
                </w:tcPr>
                <w:p w14:paraId="6F479903">
                  <w:pPr>
                    <w:pStyle w:val="38"/>
                    <w:keepNext w:val="0"/>
                    <w:keepLines w:val="0"/>
                    <w:pageBreakBefore w:val="0"/>
                    <w:widowControl w:val="0"/>
                    <w:tabs>
                      <w:tab w:val="left" w:pos="924"/>
                    </w:tabs>
                    <w:kinsoku/>
                    <w:wordWrap/>
                    <w:overflowPunct/>
                    <w:topLinePunct w:val="0"/>
                    <w:autoSpaceDE/>
                    <w:autoSpaceDN/>
                    <w:bidi w:val="0"/>
                    <w:adjustRightInd w:val="0"/>
                    <w:snapToGrid w:val="0"/>
                    <w:spacing w:line="240" w:lineRule="auto"/>
                    <w:ind w:firstLine="0" w:firstLineChars="0"/>
                    <w:jc w:val="both"/>
                    <w:textAlignment w:val="auto"/>
                  </w:pPr>
                  <w:r>
                    <w:rPr>
                      <w:kern w:val="2"/>
                      <w:sz w:val="21"/>
                      <w:szCs w:val="21"/>
                    </w:rPr>
                    <w:t>最大实际储量</w:t>
                  </w:r>
                  <w:r>
                    <w:t>q</w:t>
                  </w:r>
                  <w:r>
                    <w:rPr>
                      <w:vertAlign w:val="subscript"/>
                    </w:rPr>
                    <w:t>n</w:t>
                  </w:r>
                  <w:r>
                    <w:rPr>
                      <w:kern w:val="2"/>
                      <w:sz w:val="21"/>
                      <w:szCs w:val="21"/>
                    </w:rPr>
                    <w:t>（t）</w:t>
                  </w:r>
                </w:p>
              </w:tc>
              <w:tc>
                <w:tcPr>
                  <w:tcW w:w="2035" w:type="dxa"/>
                  <w:tcBorders>
                    <w:tl2br w:val="nil"/>
                    <w:tr2bl w:val="nil"/>
                  </w:tcBorders>
                </w:tcPr>
                <w:p w14:paraId="4D885372">
                  <w:pPr>
                    <w:pStyle w:val="32"/>
                    <w:keepNext w:val="0"/>
                    <w:keepLines w:val="0"/>
                    <w:pageBreakBefore w:val="0"/>
                    <w:widowControl w:val="0"/>
                    <w:kinsoku/>
                    <w:wordWrap/>
                    <w:overflowPunct/>
                    <w:topLinePunct w:val="0"/>
                    <w:autoSpaceDE/>
                    <w:autoSpaceDN/>
                    <w:bidi w:val="0"/>
                    <w:spacing w:line="240" w:lineRule="auto"/>
                    <w:textAlignment w:val="auto"/>
                  </w:pPr>
                  <w:r>
                    <w:t>Q</w:t>
                  </w:r>
                  <w:r>
                    <w:rPr>
                      <w:rFonts w:hint="eastAsia"/>
                    </w:rPr>
                    <w:t>值</w:t>
                  </w:r>
                </w:p>
              </w:tc>
            </w:tr>
            <w:tr w14:paraId="6DC02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l2br w:val="nil"/>
                    <w:tr2bl w:val="nil"/>
                  </w:tcBorders>
                </w:tcPr>
                <w:p w14:paraId="787B044B">
                  <w:pPr>
                    <w:pStyle w:val="32"/>
                  </w:pPr>
                  <w:r>
                    <w:rPr>
                      <w:rFonts w:hint="eastAsia"/>
                    </w:rPr>
                    <w:t>汽油</w:t>
                  </w:r>
                </w:p>
              </w:tc>
              <w:tc>
                <w:tcPr>
                  <w:tcW w:w="1708" w:type="dxa"/>
                  <w:tcBorders>
                    <w:tl2br w:val="nil"/>
                    <w:tr2bl w:val="nil"/>
                  </w:tcBorders>
                </w:tcPr>
                <w:p w14:paraId="44139A7C">
                  <w:pPr>
                    <w:pStyle w:val="32"/>
                  </w:pPr>
                  <w:r>
                    <w:rPr>
                      <w:rFonts w:hint="eastAsia"/>
                    </w:rPr>
                    <w:t>2500</w:t>
                  </w:r>
                </w:p>
              </w:tc>
              <w:tc>
                <w:tcPr>
                  <w:tcW w:w="2035" w:type="dxa"/>
                  <w:tcBorders>
                    <w:tl2br w:val="nil"/>
                    <w:tr2bl w:val="nil"/>
                  </w:tcBorders>
                </w:tcPr>
                <w:p w14:paraId="7E617FA6">
                  <w:pPr>
                    <w:pStyle w:val="32"/>
                    <w:rPr>
                      <w:rFonts w:hint="default" w:eastAsia="宋体"/>
                      <w:lang w:val="en-US" w:eastAsia="zh-CN"/>
                    </w:rPr>
                  </w:pPr>
                  <w:r>
                    <w:rPr>
                      <w:rFonts w:hint="eastAsia"/>
                      <w:lang w:val="en-US" w:eastAsia="zh-CN"/>
                    </w:rPr>
                    <w:t>41.25</w:t>
                  </w:r>
                </w:p>
              </w:tc>
              <w:tc>
                <w:tcPr>
                  <w:tcW w:w="2035" w:type="dxa"/>
                  <w:tcBorders>
                    <w:tl2br w:val="nil"/>
                    <w:tr2bl w:val="nil"/>
                  </w:tcBorders>
                </w:tcPr>
                <w:p w14:paraId="4A7C94C0">
                  <w:pPr>
                    <w:pStyle w:val="32"/>
                    <w:rPr>
                      <w:rFonts w:hint="default" w:eastAsia="宋体"/>
                      <w:lang w:val="en-US" w:eastAsia="zh-CN"/>
                    </w:rPr>
                  </w:pPr>
                  <w:r>
                    <w:rPr>
                      <w:rFonts w:hint="eastAsia"/>
                      <w:lang w:val="en-US" w:eastAsia="zh-CN"/>
                    </w:rPr>
                    <w:t>0.0165</w:t>
                  </w:r>
                </w:p>
              </w:tc>
            </w:tr>
            <w:tr w14:paraId="56AF9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l2br w:val="nil"/>
                    <w:tr2bl w:val="nil"/>
                  </w:tcBorders>
                </w:tcPr>
                <w:p w14:paraId="1434E8B3">
                  <w:pPr>
                    <w:pStyle w:val="32"/>
                  </w:pPr>
                  <w:r>
                    <w:rPr>
                      <w:rFonts w:hint="eastAsia"/>
                    </w:rPr>
                    <w:t>柴油</w:t>
                  </w:r>
                </w:p>
              </w:tc>
              <w:tc>
                <w:tcPr>
                  <w:tcW w:w="1708" w:type="dxa"/>
                  <w:tcBorders>
                    <w:tl2br w:val="nil"/>
                    <w:tr2bl w:val="nil"/>
                  </w:tcBorders>
                </w:tcPr>
                <w:p w14:paraId="46D59AF2">
                  <w:pPr>
                    <w:pStyle w:val="32"/>
                  </w:pPr>
                  <w:r>
                    <w:rPr>
                      <w:rFonts w:hint="eastAsia"/>
                    </w:rPr>
                    <w:t>2500</w:t>
                  </w:r>
                </w:p>
              </w:tc>
              <w:tc>
                <w:tcPr>
                  <w:tcW w:w="2035" w:type="dxa"/>
                  <w:tcBorders>
                    <w:tl2br w:val="nil"/>
                    <w:tr2bl w:val="nil"/>
                  </w:tcBorders>
                </w:tcPr>
                <w:p w14:paraId="4B26C1CD">
                  <w:pPr>
                    <w:pStyle w:val="32"/>
                    <w:rPr>
                      <w:rFonts w:hint="default" w:eastAsia="宋体"/>
                      <w:lang w:val="en-US" w:eastAsia="zh-CN"/>
                    </w:rPr>
                  </w:pPr>
                  <w:r>
                    <w:rPr>
                      <w:rFonts w:hint="eastAsia"/>
                      <w:lang w:val="en-US" w:eastAsia="zh-CN"/>
                    </w:rPr>
                    <w:t>50.4</w:t>
                  </w:r>
                </w:p>
              </w:tc>
              <w:tc>
                <w:tcPr>
                  <w:tcW w:w="2035" w:type="dxa"/>
                  <w:tcBorders>
                    <w:tl2br w:val="nil"/>
                    <w:tr2bl w:val="nil"/>
                  </w:tcBorders>
                </w:tcPr>
                <w:p w14:paraId="2647AB0B">
                  <w:pPr>
                    <w:pStyle w:val="32"/>
                    <w:rPr>
                      <w:rFonts w:hint="default" w:eastAsia="宋体"/>
                      <w:lang w:val="en-US" w:eastAsia="zh-CN"/>
                    </w:rPr>
                  </w:pPr>
                  <w:r>
                    <w:rPr>
                      <w:rFonts w:hint="eastAsia"/>
                    </w:rPr>
                    <w:t>0.020</w:t>
                  </w:r>
                  <w:r>
                    <w:rPr>
                      <w:rFonts w:hint="eastAsia"/>
                      <w:lang w:val="en-US" w:eastAsia="zh-CN"/>
                    </w:rPr>
                    <w:t>16</w:t>
                  </w:r>
                </w:p>
              </w:tc>
            </w:tr>
            <w:tr w14:paraId="1E1AA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0" w:type="dxa"/>
                  <w:tcBorders>
                    <w:tl2br w:val="nil"/>
                    <w:tr2bl w:val="nil"/>
                  </w:tcBorders>
                </w:tcPr>
                <w:p w14:paraId="042521BA">
                  <w:pPr>
                    <w:pStyle w:val="32"/>
                    <w:rPr>
                      <w:rFonts w:hint="default" w:eastAsia="宋体"/>
                      <w:lang w:val="en-US" w:eastAsia="zh-CN"/>
                    </w:rPr>
                  </w:pPr>
                  <w:r>
                    <w:rPr>
                      <w:rFonts w:hint="eastAsia"/>
                      <w:lang w:val="en-US" w:eastAsia="zh-CN"/>
                    </w:rPr>
                    <w:t>废润滑油</w:t>
                  </w:r>
                </w:p>
              </w:tc>
              <w:tc>
                <w:tcPr>
                  <w:tcW w:w="1708" w:type="dxa"/>
                  <w:tcBorders>
                    <w:tl2br w:val="nil"/>
                    <w:tr2bl w:val="nil"/>
                  </w:tcBorders>
                  <w:vAlign w:val="center"/>
                </w:tcPr>
                <w:p w14:paraId="06E5524F">
                  <w:pPr>
                    <w:pStyle w:val="32"/>
                    <w:jc w:val="center"/>
                    <w:rPr>
                      <w:rFonts w:hint="default" w:eastAsia="宋体"/>
                      <w:lang w:val="en-US" w:eastAsia="zh-CN"/>
                    </w:rPr>
                  </w:pPr>
                  <w:r>
                    <w:rPr>
                      <w:rFonts w:hint="eastAsia"/>
                      <w:lang w:val="en-US" w:eastAsia="zh-CN"/>
                    </w:rPr>
                    <w:t>2500</w:t>
                  </w:r>
                </w:p>
              </w:tc>
              <w:tc>
                <w:tcPr>
                  <w:tcW w:w="2035" w:type="dxa"/>
                  <w:tcBorders>
                    <w:tl2br w:val="nil"/>
                    <w:tr2bl w:val="nil"/>
                  </w:tcBorders>
                </w:tcPr>
                <w:p w14:paraId="2A12AA8F">
                  <w:pPr>
                    <w:pStyle w:val="32"/>
                    <w:rPr>
                      <w:rFonts w:hint="default" w:eastAsia="宋体"/>
                      <w:lang w:val="en-US" w:eastAsia="zh-CN"/>
                    </w:rPr>
                  </w:pPr>
                  <w:r>
                    <w:rPr>
                      <w:rFonts w:hint="eastAsia"/>
                      <w:lang w:val="en-US" w:eastAsia="zh-CN"/>
                    </w:rPr>
                    <w:t>0.1</w:t>
                  </w:r>
                </w:p>
              </w:tc>
              <w:tc>
                <w:tcPr>
                  <w:tcW w:w="2035" w:type="dxa"/>
                  <w:tcBorders>
                    <w:tl2br w:val="nil"/>
                    <w:tr2bl w:val="nil"/>
                  </w:tcBorders>
                </w:tcPr>
                <w:p w14:paraId="648BA6CC">
                  <w:pPr>
                    <w:pStyle w:val="32"/>
                    <w:rPr>
                      <w:rFonts w:hint="default" w:eastAsia="宋体"/>
                      <w:lang w:val="en-US" w:eastAsia="zh-CN"/>
                    </w:rPr>
                  </w:pPr>
                  <w:r>
                    <w:rPr>
                      <w:rFonts w:hint="eastAsia"/>
                      <w:lang w:val="en-US" w:eastAsia="zh-CN"/>
                    </w:rPr>
                    <w:t>0.00004</w:t>
                  </w:r>
                </w:p>
              </w:tc>
            </w:tr>
            <w:tr w14:paraId="270FE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23" w:type="dxa"/>
                  <w:gridSpan w:val="3"/>
                  <w:tcBorders>
                    <w:tl2br w:val="nil"/>
                    <w:tr2bl w:val="nil"/>
                  </w:tcBorders>
                </w:tcPr>
                <w:p w14:paraId="503EF7B4">
                  <w:pPr>
                    <w:pStyle w:val="32"/>
                  </w:pPr>
                  <w:r>
                    <w:rPr>
                      <w:rFonts w:hint="eastAsia"/>
                    </w:rPr>
                    <w:t>合计</w:t>
                  </w:r>
                </w:p>
              </w:tc>
              <w:tc>
                <w:tcPr>
                  <w:tcW w:w="2035" w:type="dxa"/>
                  <w:tcBorders>
                    <w:tl2br w:val="nil"/>
                    <w:tr2bl w:val="nil"/>
                  </w:tcBorders>
                </w:tcPr>
                <w:p w14:paraId="551DA8CF">
                  <w:pPr>
                    <w:pStyle w:val="32"/>
                    <w:rPr>
                      <w:rFonts w:hint="default" w:eastAsia="宋体"/>
                      <w:lang w:val="en-US" w:eastAsia="zh-CN"/>
                    </w:rPr>
                  </w:pPr>
                  <w:r>
                    <w:rPr>
                      <w:rFonts w:hint="eastAsia"/>
                      <w:lang w:val="en-US" w:eastAsia="zh-CN"/>
                    </w:rPr>
                    <w:t>0.0367</w:t>
                  </w:r>
                </w:p>
              </w:tc>
            </w:tr>
          </w:tbl>
          <w:p w14:paraId="052267E1">
            <w:pPr>
              <w:ind w:firstLine="480"/>
              <w:textAlignment w:val="auto"/>
              <w:rPr>
                <w:rFonts w:cs="Times New Roman"/>
              </w:rPr>
            </w:pPr>
            <w:r>
              <w:rPr>
                <w:rFonts w:cs="Times New Roman"/>
              </w:rPr>
              <w:t>根据危险物质数量与临界量比值，确定Q</w:t>
            </w:r>
            <w:r>
              <w:rPr>
                <w:rFonts w:ascii="Times New Roman" w:hAnsi="Times New Roman" w:eastAsia="宋体" w:cs="Times New Roman"/>
              </w:rPr>
              <w:t>=</w:t>
            </w:r>
            <w:r>
              <w:rPr>
                <w:rFonts w:hint="eastAsia" w:ascii="Times New Roman" w:hAnsi="Times New Roman" w:eastAsia="宋体" w:cs="Times New Roman"/>
                <w:lang w:val="en-US" w:eastAsia="zh-CN"/>
              </w:rPr>
              <w:t>0.0367</w:t>
            </w:r>
            <w:r>
              <w:rPr>
                <w:rFonts w:ascii="Times New Roman" w:hAnsi="Times New Roman" w:eastAsia="宋体" w:cs="Times New Roman"/>
              </w:rPr>
              <w:t>＜1。</w:t>
            </w:r>
            <w:r>
              <w:rPr>
                <w:rFonts w:cs="Times New Roman"/>
              </w:rPr>
              <w:t>当Q＜1时，该项目</w:t>
            </w:r>
            <w:r>
              <w:rPr>
                <w:rFonts w:hint="eastAsia" w:cs="Times New Roman"/>
              </w:rPr>
              <w:t>环境⻛险潜势</w:t>
            </w:r>
            <w:r>
              <w:rPr>
                <w:rFonts w:cs="Times New Roman"/>
              </w:rPr>
              <w:t>为Ⅰ，</w:t>
            </w:r>
            <w:r>
              <w:rPr>
                <w:rFonts w:hint="eastAsia" w:cs="Times New Roman"/>
              </w:rPr>
              <w:t>环境⻛险潜势</w:t>
            </w:r>
            <w:r>
              <w:rPr>
                <w:rFonts w:cs="Times New Roman"/>
              </w:rPr>
              <w:t>为Ⅰ时，环境风险评价工作等级为简单分析。</w:t>
            </w:r>
          </w:p>
          <w:p w14:paraId="653E88C3">
            <w:pPr>
              <w:pStyle w:val="2"/>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cs="Times New Roman"/>
              </w:rPr>
            </w:pPr>
            <w:r>
              <w:rPr>
                <w:rFonts w:cs="Times New Roman"/>
              </w:rPr>
              <w:t>综上，本项目风险判定为简单评价。</w:t>
            </w:r>
          </w:p>
          <w:p w14:paraId="39CA6F91">
            <w:pPr>
              <w:pStyle w:val="5"/>
              <w:pageBreakBefore w:val="0"/>
              <w:widowControl w:val="0"/>
              <w:kinsoku/>
              <w:wordWrap/>
              <w:overflowPunct/>
              <w:topLinePunct w:val="0"/>
              <w:autoSpaceDE/>
              <w:autoSpaceDN/>
              <w:bidi w:val="0"/>
              <w:adjustRightInd/>
              <w:snapToGrid/>
              <w:spacing w:before="0" w:after="0" w:line="360" w:lineRule="auto"/>
              <w:ind w:left="0" w:leftChars="0"/>
              <w:textAlignment w:val="auto"/>
              <w:rPr>
                <w:rFonts w:ascii="Times New Roman" w:hAnsi="Times New Roman" w:eastAsia="宋体" w:cs="Times New Roman"/>
                <w:b/>
                <w:bCs/>
                <w:snapToGrid w:val="0"/>
                <w:sz w:val="24"/>
                <w:szCs w:val="24"/>
                <w:lang w:val="en-US" w:eastAsia="zh-CN" w:bidi="ar-SA"/>
              </w:rPr>
            </w:pPr>
            <w:r>
              <w:rPr>
                <w:rFonts w:hint="eastAsia" w:ascii="Times New Roman" w:hAnsi="Times New Roman" w:eastAsia="宋体" w:cs="Times New Roman"/>
                <w:b/>
                <w:bCs/>
                <w:snapToGrid w:val="0"/>
                <w:sz w:val="24"/>
                <w:szCs w:val="24"/>
                <w:lang w:val="en-US" w:eastAsia="zh-CN" w:bidi="ar-SA"/>
              </w:rPr>
              <w:t>4.4.3环境风险影响分析</w:t>
            </w:r>
          </w:p>
          <w:p w14:paraId="1285EFD7">
            <w:pPr>
              <w:ind w:firstLine="480"/>
            </w:pPr>
            <w:r>
              <w:rPr>
                <w:rFonts w:cs="Times New Roman"/>
                <w:szCs w:val="24"/>
              </w:rPr>
              <w:t>本项目生产过程中涉及的</w:t>
            </w:r>
            <w:r>
              <w:rPr>
                <w:rFonts w:hint="eastAsia" w:cs="Times New Roman"/>
                <w:szCs w:val="24"/>
                <w:lang w:val="en-US" w:eastAsia="zh-CN"/>
              </w:rPr>
              <w:t>环境风险</w:t>
            </w:r>
            <w:r>
              <w:rPr>
                <w:rFonts w:hint="eastAsia"/>
                <w:color w:val="000000" w:themeColor="text1"/>
                <w14:textFill>
                  <w14:solidFill>
                    <w14:schemeClr w14:val="tx1"/>
                  </w14:solidFill>
                </w14:textFill>
              </w:rPr>
              <w:t>有汽油、柴油</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废润滑油</w:t>
            </w:r>
            <w:r>
              <w:t>泄漏或油气蒸发</w:t>
            </w:r>
            <w:r>
              <w:rPr>
                <w:rFonts w:hint="eastAsia"/>
              </w:rPr>
              <w:t>，</w:t>
            </w:r>
            <w:r>
              <w:t>油气与空气</w:t>
            </w:r>
            <w:r>
              <w:rPr>
                <w:rFonts w:hint="eastAsia"/>
                <w:lang w:eastAsia="zh-CN"/>
              </w:rPr>
              <w:t>混合</w:t>
            </w:r>
            <w:r>
              <w:t>并达到一定的浓度</w:t>
            </w:r>
            <w:r>
              <w:rPr>
                <w:rFonts w:hint="eastAsia"/>
              </w:rPr>
              <w:t>且</w:t>
            </w:r>
            <w:r>
              <w:t>现场有明火</w:t>
            </w:r>
            <w:r>
              <w:rPr>
                <w:rFonts w:hint="eastAsia"/>
              </w:rPr>
              <w:t>的情况下，</w:t>
            </w:r>
            <w:r>
              <w:t>可能发生火灾和爆炸</w:t>
            </w:r>
            <w:r>
              <w:rPr>
                <w:rFonts w:hint="eastAsia"/>
                <w:color w:val="000000" w:themeColor="text1"/>
                <w14:textFill>
                  <w14:solidFill>
                    <w14:schemeClr w14:val="tx1"/>
                  </w14:solidFill>
                </w14:textFill>
              </w:rPr>
              <w:t>引发的伴生/次生污染物排放</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环保设施失效</w:t>
            </w:r>
            <w:r>
              <w:rPr>
                <w:rFonts w:hint="eastAsia"/>
              </w:rPr>
              <w:t>造成大气环境污染</w:t>
            </w:r>
            <w:r>
              <w:rPr>
                <w:rFonts w:hint="eastAsia"/>
                <w:color w:val="000000" w:themeColor="text1"/>
                <w14:textFill>
                  <w14:solidFill>
                    <w14:schemeClr w14:val="tx1"/>
                  </w14:solidFill>
                </w14:textFill>
              </w:rPr>
              <w:t>。</w:t>
            </w:r>
          </w:p>
          <w:p w14:paraId="19FD9F79">
            <w:pPr>
              <w:pStyle w:val="28"/>
              <w:spacing w:before="156"/>
              <w:ind w:firstLine="422"/>
            </w:pPr>
            <w:r>
              <w:rPr>
                <w:rFonts w:hint="eastAsia"/>
              </w:rPr>
              <w:t>表</w:t>
            </w:r>
            <w:r>
              <w:rPr>
                <w:rFonts w:hint="eastAsia"/>
                <w:lang w:val="en-US" w:eastAsia="zh-CN"/>
              </w:rPr>
              <w:t>4-13</w:t>
            </w:r>
            <w:r>
              <w:t xml:space="preserve"> </w:t>
            </w:r>
            <w:r>
              <w:rPr>
                <w:rFonts w:hint="eastAsia"/>
                <w:lang w:val="en-US" w:eastAsia="zh-CN"/>
              </w:rPr>
              <w:t xml:space="preserve"> </w:t>
            </w:r>
            <w:r>
              <w:rPr>
                <w:rFonts w:hint="eastAsia"/>
              </w:rPr>
              <w:t>项目主体装置危险部位和主要风险因素一览表</w:t>
            </w:r>
          </w:p>
          <w:tbl>
            <w:tblPr>
              <w:tblStyle w:val="39"/>
              <w:tblW w:w="83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06"/>
              <w:gridCol w:w="1282"/>
              <w:gridCol w:w="1789"/>
              <w:gridCol w:w="850"/>
              <w:gridCol w:w="2103"/>
            </w:tblGrid>
            <w:tr w14:paraId="13ED6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8" w:type="dxa"/>
                  <w:vMerge w:val="restart"/>
                  <w:tcBorders>
                    <w:tl2br w:val="nil"/>
                    <w:tr2bl w:val="nil"/>
                  </w:tcBorders>
                  <w:vAlign w:val="center"/>
                </w:tcPr>
                <w:p w14:paraId="0B5A7FB3">
                  <w:pPr>
                    <w:pStyle w:val="32"/>
                    <w:bidi w:val="0"/>
                  </w:pPr>
                  <w:r>
                    <w:rPr>
                      <w:rFonts w:hint="eastAsia"/>
                    </w:rPr>
                    <w:t>系统</w:t>
                  </w:r>
                </w:p>
              </w:tc>
              <w:tc>
                <w:tcPr>
                  <w:tcW w:w="1206" w:type="dxa"/>
                  <w:vMerge w:val="restart"/>
                  <w:tcBorders>
                    <w:tl2br w:val="nil"/>
                    <w:tr2bl w:val="nil"/>
                  </w:tcBorders>
                  <w:vAlign w:val="center"/>
                </w:tcPr>
                <w:p w14:paraId="4DB7A049">
                  <w:pPr>
                    <w:pStyle w:val="32"/>
                    <w:bidi w:val="0"/>
                  </w:pPr>
                  <w:r>
                    <w:rPr>
                      <w:rFonts w:hint="eastAsia"/>
                    </w:rPr>
                    <w:t>装置单元</w:t>
                  </w:r>
                </w:p>
              </w:tc>
              <w:tc>
                <w:tcPr>
                  <w:tcW w:w="6024" w:type="dxa"/>
                  <w:gridSpan w:val="4"/>
                  <w:tcBorders>
                    <w:tl2br w:val="nil"/>
                    <w:tr2bl w:val="nil"/>
                  </w:tcBorders>
                  <w:vAlign w:val="center"/>
                </w:tcPr>
                <w:p w14:paraId="166B9140">
                  <w:pPr>
                    <w:pStyle w:val="32"/>
                    <w:bidi w:val="0"/>
                  </w:pPr>
                  <w:r>
                    <w:rPr>
                      <w:rFonts w:hint="eastAsia"/>
                    </w:rPr>
                    <w:t>工艺装置及环境风险参数</w:t>
                  </w:r>
                </w:p>
              </w:tc>
            </w:tr>
            <w:tr w14:paraId="7FA2A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88" w:type="dxa"/>
                  <w:vMerge w:val="continue"/>
                  <w:tcBorders>
                    <w:tl2br w:val="nil"/>
                    <w:tr2bl w:val="nil"/>
                  </w:tcBorders>
                  <w:vAlign w:val="center"/>
                </w:tcPr>
                <w:p w14:paraId="796E4316">
                  <w:pPr>
                    <w:pStyle w:val="32"/>
                    <w:bidi w:val="0"/>
                  </w:pPr>
                </w:p>
              </w:tc>
              <w:tc>
                <w:tcPr>
                  <w:tcW w:w="1206" w:type="dxa"/>
                  <w:vMerge w:val="continue"/>
                  <w:tcBorders>
                    <w:tl2br w:val="nil"/>
                    <w:tr2bl w:val="nil"/>
                  </w:tcBorders>
                  <w:vAlign w:val="center"/>
                </w:tcPr>
                <w:p w14:paraId="3229A231">
                  <w:pPr>
                    <w:pStyle w:val="32"/>
                    <w:bidi w:val="0"/>
                  </w:pPr>
                </w:p>
              </w:tc>
              <w:tc>
                <w:tcPr>
                  <w:tcW w:w="1282" w:type="dxa"/>
                  <w:tcBorders>
                    <w:tl2br w:val="nil"/>
                    <w:tr2bl w:val="nil"/>
                  </w:tcBorders>
                  <w:vAlign w:val="center"/>
                </w:tcPr>
                <w:p w14:paraId="7256AA68">
                  <w:pPr>
                    <w:pStyle w:val="32"/>
                    <w:bidi w:val="0"/>
                  </w:pPr>
                  <w:r>
                    <w:rPr>
                      <w:rFonts w:hint="eastAsia"/>
                    </w:rPr>
                    <w:t>名称</w:t>
                  </w:r>
                </w:p>
              </w:tc>
              <w:tc>
                <w:tcPr>
                  <w:tcW w:w="1789" w:type="dxa"/>
                  <w:tcBorders>
                    <w:tl2br w:val="nil"/>
                    <w:tr2bl w:val="nil"/>
                  </w:tcBorders>
                  <w:vAlign w:val="center"/>
                </w:tcPr>
                <w:p w14:paraId="7B2069DA">
                  <w:pPr>
                    <w:pStyle w:val="32"/>
                    <w:bidi w:val="0"/>
                  </w:pPr>
                  <w:r>
                    <w:rPr>
                      <w:rFonts w:hint="eastAsia"/>
                    </w:rPr>
                    <w:t>物料</w:t>
                  </w:r>
                </w:p>
              </w:tc>
              <w:tc>
                <w:tcPr>
                  <w:tcW w:w="850" w:type="dxa"/>
                  <w:tcBorders>
                    <w:tl2br w:val="nil"/>
                    <w:tr2bl w:val="nil"/>
                  </w:tcBorders>
                  <w:vAlign w:val="center"/>
                </w:tcPr>
                <w:p w14:paraId="3B663DFB">
                  <w:pPr>
                    <w:pStyle w:val="32"/>
                    <w:bidi w:val="0"/>
                  </w:pPr>
                  <w:r>
                    <w:rPr>
                      <w:rFonts w:hint="eastAsia"/>
                    </w:rPr>
                    <w:t>相态</w:t>
                  </w:r>
                </w:p>
              </w:tc>
              <w:tc>
                <w:tcPr>
                  <w:tcW w:w="2103" w:type="dxa"/>
                  <w:tcBorders>
                    <w:tl2br w:val="nil"/>
                    <w:tr2bl w:val="nil"/>
                  </w:tcBorders>
                  <w:vAlign w:val="center"/>
                </w:tcPr>
                <w:p w14:paraId="3B51794C">
                  <w:pPr>
                    <w:pStyle w:val="32"/>
                    <w:bidi w:val="0"/>
                  </w:pPr>
                  <w:r>
                    <w:rPr>
                      <w:rFonts w:hint="eastAsia"/>
                    </w:rPr>
                    <w:t>危险类别</w:t>
                  </w:r>
                </w:p>
              </w:tc>
            </w:tr>
            <w:tr w14:paraId="25D09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88" w:type="dxa"/>
                  <w:tcBorders>
                    <w:tl2br w:val="nil"/>
                    <w:tr2bl w:val="nil"/>
                  </w:tcBorders>
                  <w:vAlign w:val="center"/>
                </w:tcPr>
                <w:p w14:paraId="0BF5F4E9">
                  <w:pPr>
                    <w:pStyle w:val="32"/>
                    <w:bidi w:val="0"/>
                  </w:pPr>
                  <w:r>
                    <w:rPr>
                      <w:rFonts w:hint="eastAsia"/>
                    </w:rPr>
                    <w:t>主要装置</w:t>
                  </w:r>
                </w:p>
              </w:tc>
              <w:tc>
                <w:tcPr>
                  <w:tcW w:w="1206" w:type="dxa"/>
                  <w:tcBorders>
                    <w:tl2br w:val="nil"/>
                    <w:tr2bl w:val="nil"/>
                  </w:tcBorders>
                  <w:vAlign w:val="center"/>
                </w:tcPr>
                <w:p w14:paraId="7EE0361D">
                  <w:pPr>
                    <w:pStyle w:val="32"/>
                    <w:bidi w:val="0"/>
                  </w:pPr>
                  <w:r>
                    <w:rPr>
                      <w:rFonts w:hint="eastAsia"/>
                    </w:rPr>
                    <w:t>加油设备</w:t>
                  </w:r>
                </w:p>
              </w:tc>
              <w:tc>
                <w:tcPr>
                  <w:tcW w:w="1282" w:type="dxa"/>
                  <w:tcBorders>
                    <w:tl2br w:val="nil"/>
                    <w:tr2bl w:val="nil"/>
                  </w:tcBorders>
                  <w:vAlign w:val="center"/>
                </w:tcPr>
                <w:p w14:paraId="50419630">
                  <w:pPr>
                    <w:pStyle w:val="32"/>
                    <w:bidi w:val="0"/>
                  </w:pPr>
                  <w:r>
                    <w:rPr>
                      <w:rFonts w:hint="eastAsia"/>
                    </w:rPr>
                    <w:t>加油枪</w:t>
                  </w:r>
                </w:p>
              </w:tc>
              <w:tc>
                <w:tcPr>
                  <w:tcW w:w="1789" w:type="dxa"/>
                  <w:tcBorders>
                    <w:tl2br w:val="nil"/>
                    <w:tr2bl w:val="nil"/>
                  </w:tcBorders>
                  <w:vAlign w:val="center"/>
                </w:tcPr>
                <w:p w14:paraId="4A33C8B3">
                  <w:pPr>
                    <w:pStyle w:val="32"/>
                    <w:bidi w:val="0"/>
                  </w:pPr>
                  <w:r>
                    <w:rPr>
                      <w:rFonts w:hint="eastAsia"/>
                    </w:rPr>
                    <w:t>汽油、柴油</w:t>
                  </w:r>
                </w:p>
              </w:tc>
              <w:tc>
                <w:tcPr>
                  <w:tcW w:w="850" w:type="dxa"/>
                  <w:tcBorders>
                    <w:tl2br w:val="nil"/>
                    <w:tr2bl w:val="nil"/>
                  </w:tcBorders>
                  <w:vAlign w:val="center"/>
                </w:tcPr>
                <w:p w14:paraId="2B7193A4">
                  <w:pPr>
                    <w:pStyle w:val="32"/>
                    <w:bidi w:val="0"/>
                  </w:pPr>
                  <w:r>
                    <w:rPr>
                      <w:rFonts w:hint="eastAsia"/>
                    </w:rPr>
                    <w:t>液态</w:t>
                  </w:r>
                </w:p>
              </w:tc>
              <w:tc>
                <w:tcPr>
                  <w:tcW w:w="2103" w:type="dxa"/>
                  <w:tcBorders>
                    <w:tl2br w:val="nil"/>
                    <w:tr2bl w:val="nil"/>
                  </w:tcBorders>
                  <w:vAlign w:val="center"/>
                </w:tcPr>
                <w:p w14:paraId="6B948F1C">
                  <w:pPr>
                    <w:pStyle w:val="32"/>
                    <w:bidi w:val="0"/>
                  </w:pPr>
                  <w:r>
                    <w:rPr>
                      <w:rFonts w:hint="eastAsia"/>
                    </w:rPr>
                    <w:t>爆炸及次生事故</w:t>
                  </w:r>
                </w:p>
              </w:tc>
            </w:tr>
            <w:tr w14:paraId="4B71A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88" w:type="dxa"/>
                  <w:vMerge w:val="restart"/>
                  <w:tcBorders>
                    <w:tl2br w:val="nil"/>
                    <w:tr2bl w:val="nil"/>
                  </w:tcBorders>
                  <w:vAlign w:val="center"/>
                </w:tcPr>
                <w:p w14:paraId="6F6C09B3">
                  <w:pPr>
                    <w:pStyle w:val="32"/>
                    <w:bidi w:val="0"/>
                  </w:pPr>
                  <w:r>
                    <w:rPr>
                      <w:rFonts w:hint="eastAsia"/>
                    </w:rPr>
                    <w:t>储运工程</w:t>
                  </w:r>
                </w:p>
              </w:tc>
              <w:tc>
                <w:tcPr>
                  <w:tcW w:w="2488" w:type="dxa"/>
                  <w:gridSpan w:val="2"/>
                  <w:vMerge w:val="restart"/>
                  <w:tcBorders>
                    <w:tl2br w:val="nil"/>
                    <w:tr2bl w:val="nil"/>
                  </w:tcBorders>
                  <w:vAlign w:val="center"/>
                </w:tcPr>
                <w:p w14:paraId="2871477B">
                  <w:pPr>
                    <w:pStyle w:val="32"/>
                    <w:bidi w:val="0"/>
                  </w:pPr>
                  <w:r>
                    <w:rPr>
                      <w:rFonts w:hint="eastAsia"/>
                    </w:rPr>
                    <w:t>储罐区</w:t>
                  </w:r>
                </w:p>
              </w:tc>
              <w:tc>
                <w:tcPr>
                  <w:tcW w:w="1789" w:type="dxa"/>
                  <w:tcBorders>
                    <w:tl2br w:val="nil"/>
                    <w:tr2bl w:val="nil"/>
                  </w:tcBorders>
                  <w:vAlign w:val="center"/>
                </w:tcPr>
                <w:p w14:paraId="7674DB93">
                  <w:pPr>
                    <w:pStyle w:val="32"/>
                    <w:bidi w:val="0"/>
                  </w:pPr>
                  <w:r>
                    <w:rPr>
                      <w:rFonts w:hint="eastAsia"/>
                    </w:rPr>
                    <w:t>汽油</w:t>
                  </w:r>
                </w:p>
              </w:tc>
              <w:tc>
                <w:tcPr>
                  <w:tcW w:w="850" w:type="dxa"/>
                  <w:tcBorders>
                    <w:tl2br w:val="nil"/>
                    <w:tr2bl w:val="nil"/>
                  </w:tcBorders>
                  <w:vAlign w:val="center"/>
                </w:tcPr>
                <w:p w14:paraId="7D08466A">
                  <w:pPr>
                    <w:pStyle w:val="32"/>
                    <w:bidi w:val="0"/>
                  </w:pPr>
                  <w:r>
                    <w:rPr>
                      <w:rFonts w:hint="eastAsia"/>
                    </w:rPr>
                    <w:t>液态</w:t>
                  </w:r>
                </w:p>
              </w:tc>
              <w:tc>
                <w:tcPr>
                  <w:tcW w:w="2103" w:type="dxa"/>
                  <w:tcBorders>
                    <w:tl2br w:val="nil"/>
                    <w:tr2bl w:val="nil"/>
                  </w:tcBorders>
                  <w:vAlign w:val="center"/>
                </w:tcPr>
                <w:p w14:paraId="1EE694F5">
                  <w:pPr>
                    <w:pStyle w:val="32"/>
                    <w:bidi w:val="0"/>
                    <w:rPr>
                      <w:rFonts w:hint="eastAsia" w:eastAsia="宋体"/>
                      <w:lang w:eastAsia="zh-CN"/>
                    </w:rPr>
                  </w:pPr>
                  <w:r>
                    <w:rPr>
                      <w:rFonts w:hint="eastAsia"/>
                      <w:lang w:val="en-US" w:eastAsia="zh-CN"/>
                    </w:rPr>
                    <w:t>泄漏</w:t>
                  </w:r>
                </w:p>
              </w:tc>
            </w:tr>
            <w:tr w14:paraId="4C4BB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88" w:type="dxa"/>
                  <w:vMerge w:val="continue"/>
                  <w:tcBorders>
                    <w:tl2br w:val="nil"/>
                    <w:tr2bl w:val="nil"/>
                  </w:tcBorders>
                  <w:vAlign w:val="center"/>
                </w:tcPr>
                <w:p w14:paraId="64754760">
                  <w:pPr>
                    <w:pStyle w:val="32"/>
                    <w:bidi w:val="0"/>
                  </w:pPr>
                </w:p>
              </w:tc>
              <w:tc>
                <w:tcPr>
                  <w:tcW w:w="2488" w:type="dxa"/>
                  <w:gridSpan w:val="2"/>
                  <w:vMerge w:val="continue"/>
                  <w:tcBorders>
                    <w:tl2br w:val="nil"/>
                    <w:tr2bl w:val="nil"/>
                  </w:tcBorders>
                  <w:vAlign w:val="center"/>
                </w:tcPr>
                <w:p w14:paraId="1E333C28">
                  <w:pPr>
                    <w:pStyle w:val="32"/>
                    <w:bidi w:val="0"/>
                  </w:pPr>
                </w:p>
              </w:tc>
              <w:tc>
                <w:tcPr>
                  <w:tcW w:w="1789" w:type="dxa"/>
                  <w:tcBorders>
                    <w:tl2br w:val="nil"/>
                    <w:tr2bl w:val="nil"/>
                  </w:tcBorders>
                  <w:vAlign w:val="center"/>
                </w:tcPr>
                <w:p w14:paraId="616BA958">
                  <w:pPr>
                    <w:pStyle w:val="32"/>
                    <w:bidi w:val="0"/>
                  </w:pPr>
                  <w:r>
                    <w:rPr>
                      <w:rFonts w:hint="eastAsia"/>
                    </w:rPr>
                    <w:t>柴油</w:t>
                  </w:r>
                </w:p>
              </w:tc>
              <w:tc>
                <w:tcPr>
                  <w:tcW w:w="850" w:type="dxa"/>
                  <w:tcBorders>
                    <w:tl2br w:val="nil"/>
                    <w:tr2bl w:val="nil"/>
                  </w:tcBorders>
                  <w:vAlign w:val="center"/>
                </w:tcPr>
                <w:p w14:paraId="4363A8DC">
                  <w:pPr>
                    <w:pStyle w:val="32"/>
                    <w:bidi w:val="0"/>
                  </w:pPr>
                  <w:r>
                    <w:rPr>
                      <w:rFonts w:hint="eastAsia"/>
                    </w:rPr>
                    <w:t>液态</w:t>
                  </w:r>
                </w:p>
              </w:tc>
              <w:tc>
                <w:tcPr>
                  <w:tcW w:w="2103" w:type="dxa"/>
                  <w:tcBorders>
                    <w:tl2br w:val="nil"/>
                    <w:tr2bl w:val="nil"/>
                  </w:tcBorders>
                  <w:vAlign w:val="center"/>
                </w:tcPr>
                <w:p w14:paraId="56A99044">
                  <w:pPr>
                    <w:pStyle w:val="32"/>
                    <w:bidi w:val="0"/>
                  </w:pPr>
                  <w:r>
                    <w:rPr>
                      <w:rFonts w:hint="eastAsia"/>
                      <w:lang w:val="en-US" w:eastAsia="zh-CN"/>
                    </w:rPr>
                    <w:t>泄漏</w:t>
                  </w:r>
                </w:p>
              </w:tc>
            </w:tr>
            <w:tr w14:paraId="56C73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8" w:type="dxa"/>
                  <w:tcBorders>
                    <w:tl2br w:val="nil"/>
                    <w:tr2bl w:val="nil"/>
                  </w:tcBorders>
                  <w:vAlign w:val="center"/>
                </w:tcPr>
                <w:p w14:paraId="5049C2D4">
                  <w:pPr>
                    <w:pStyle w:val="32"/>
                    <w:bidi w:val="0"/>
                  </w:pPr>
                  <w:r>
                    <w:rPr>
                      <w:rFonts w:hint="eastAsia"/>
                    </w:rPr>
                    <w:t>环保工程</w:t>
                  </w:r>
                </w:p>
              </w:tc>
              <w:tc>
                <w:tcPr>
                  <w:tcW w:w="2488" w:type="dxa"/>
                  <w:gridSpan w:val="2"/>
                  <w:tcBorders>
                    <w:tl2br w:val="nil"/>
                    <w:tr2bl w:val="nil"/>
                  </w:tcBorders>
                  <w:vAlign w:val="center"/>
                </w:tcPr>
                <w:p w14:paraId="285B1545">
                  <w:pPr>
                    <w:pStyle w:val="32"/>
                    <w:bidi w:val="0"/>
                  </w:pPr>
                  <w:r>
                    <w:rPr>
                      <w:rFonts w:hint="eastAsia"/>
                    </w:rPr>
                    <w:t>环保设施（</w:t>
                  </w:r>
                  <w:r>
                    <w:rPr>
                      <w:rFonts w:hint="eastAsia"/>
                      <w:lang w:val="en-US" w:eastAsia="zh-CN"/>
                    </w:rPr>
                    <w:t>二次</w:t>
                  </w:r>
                  <w:r>
                    <w:rPr>
                      <w:rFonts w:hint="eastAsia"/>
                    </w:rPr>
                    <w:t>油气回收装置）</w:t>
                  </w:r>
                </w:p>
              </w:tc>
              <w:tc>
                <w:tcPr>
                  <w:tcW w:w="1789" w:type="dxa"/>
                  <w:tcBorders>
                    <w:tl2br w:val="nil"/>
                    <w:tr2bl w:val="nil"/>
                  </w:tcBorders>
                  <w:vAlign w:val="center"/>
                </w:tcPr>
                <w:p w14:paraId="5547A0D6">
                  <w:pPr>
                    <w:pStyle w:val="32"/>
                    <w:bidi w:val="0"/>
                  </w:pPr>
                  <w:r>
                    <w:rPr>
                      <w:rFonts w:hint="eastAsia"/>
                    </w:rPr>
                    <w:t>非甲烷总烃</w:t>
                  </w:r>
                </w:p>
              </w:tc>
              <w:tc>
                <w:tcPr>
                  <w:tcW w:w="850" w:type="dxa"/>
                  <w:tcBorders>
                    <w:tl2br w:val="nil"/>
                    <w:tr2bl w:val="nil"/>
                  </w:tcBorders>
                  <w:vAlign w:val="center"/>
                </w:tcPr>
                <w:p w14:paraId="586FAF42">
                  <w:pPr>
                    <w:pStyle w:val="32"/>
                    <w:bidi w:val="0"/>
                  </w:pPr>
                  <w:r>
                    <w:rPr>
                      <w:rFonts w:hint="eastAsia"/>
                    </w:rPr>
                    <w:t>气态</w:t>
                  </w:r>
                </w:p>
              </w:tc>
              <w:tc>
                <w:tcPr>
                  <w:tcW w:w="2103" w:type="dxa"/>
                  <w:tcBorders>
                    <w:tl2br w:val="nil"/>
                    <w:tr2bl w:val="nil"/>
                  </w:tcBorders>
                  <w:vAlign w:val="center"/>
                </w:tcPr>
                <w:p w14:paraId="1FAB344E">
                  <w:pPr>
                    <w:pStyle w:val="32"/>
                    <w:bidi w:val="0"/>
                  </w:pPr>
                  <w:r>
                    <w:rPr>
                      <w:rFonts w:hint="eastAsia"/>
                    </w:rPr>
                    <w:t>环保设施失效造成大气环境污染</w:t>
                  </w:r>
                </w:p>
              </w:tc>
            </w:tr>
          </w:tbl>
          <w:p w14:paraId="296D691E">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（1）油品泄漏</w:t>
            </w:r>
          </w:p>
          <w:p w14:paraId="6A76FFFE">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①</w:t>
            </w:r>
            <w:r>
              <w:t>油罐计量仪表失灵，致使油罐加油过程中灌满溢出</w:t>
            </w:r>
            <w:r>
              <w:rPr>
                <w:rFonts w:hint="eastAsia"/>
              </w:rPr>
              <w:t>；</w:t>
            </w:r>
          </w:p>
          <w:p w14:paraId="3844E44F">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②</w:t>
            </w:r>
            <w:r>
              <w:t>在为储罐加油过程中，由于存在气障气阻，致使油类溢出</w:t>
            </w:r>
            <w:r>
              <w:rPr>
                <w:rFonts w:hint="eastAsia"/>
              </w:rPr>
              <w:t>；</w:t>
            </w:r>
          </w:p>
          <w:p w14:paraId="1C29C273">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③</w:t>
            </w:r>
            <w:r>
              <w:t>在加油过程中，由于接口不同，</w:t>
            </w:r>
            <w:r>
              <w:rPr>
                <w:rFonts w:hint="eastAsia"/>
                <w:lang w:eastAsia="zh-CN"/>
              </w:rPr>
              <w:t>衔接</w:t>
            </w:r>
            <w:r>
              <w:t>不严密，致使油类溢出</w:t>
            </w:r>
            <w:r>
              <w:rPr>
                <w:rFonts w:hint="eastAsia"/>
                <w:lang w:eastAsia="zh-CN"/>
              </w:rPr>
              <w:t>；</w:t>
            </w:r>
          </w:p>
          <w:p w14:paraId="508AE6D8">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④</w:t>
            </w:r>
            <w:r>
              <w:t>输油管道腐蚀致使油类泄漏</w:t>
            </w:r>
            <w:r>
              <w:rPr>
                <w:rFonts w:hint="eastAsia"/>
              </w:rPr>
              <w:t>；</w:t>
            </w:r>
          </w:p>
          <w:p w14:paraId="2E7CA0D4">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⑤</w:t>
            </w:r>
            <w:r>
              <w:rPr>
                <w:rFonts w:hint="eastAsia"/>
              </w:rPr>
              <w:t>由于</w:t>
            </w:r>
            <w:r>
              <w:t>施工或自然灾害而破坏输油管道</w:t>
            </w:r>
            <w:r>
              <w:rPr>
                <w:rFonts w:hint="eastAsia"/>
              </w:rPr>
              <w:t>；</w:t>
            </w:r>
          </w:p>
          <w:p w14:paraId="594B6DB7">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⑥</w:t>
            </w:r>
            <w:r>
              <w:t>在收发油过程中</w:t>
            </w:r>
            <w:r>
              <w:rPr>
                <w:rFonts w:hint="eastAsia"/>
              </w:rPr>
              <w:t>，</w:t>
            </w:r>
            <w:r>
              <w:t>由于操作失误，致使油类泄漏</w:t>
            </w:r>
            <w:r>
              <w:rPr>
                <w:rFonts w:hint="eastAsia"/>
              </w:rPr>
              <w:t>；</w:t>
            </w:r>
          </w:p>
          <w:p w14:paraId="0B779A18">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color w:val="000000" w:themeColor="text1"/>
                <w14:textFill>
                  <w14:solidFill>
                    <w14:schemeClr w14:val="tx1"/>
                  </w14:solidFill>
                </w14:textFill>
              </w:rPr>
            </w:pPr>
            <w:r>
              <w:t>本项目各输油管道与油罐</w:t>
            </w:r>
            <w:r>
              <w:rPr>
                <w:rFonts w:hint="eastAsia"/>
                <w:color w:val="000000" w:themeColor="text1"/>
                <w14:textFill>
                  <w14:solidFill>
                    <w14:schemeClr w14:val="tx1"/>
                  </w14:solidFill>
                </w14:textFill>
              </w:rPr>
              <w:t>泄漏后渗入周边土壤和区域地下水，造成土壤、区域地下水体污染。</w:t>
            </w:r>
          </w:p>
          <w:p w14:paraId="631342AF">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火灾及爆炸</w:t>
            </w:r>
          </w:p>
          <w:p w14:paraId="29869F7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pPr>
            <w:r>
              <w:t>加油站若要发生火灾及爆炸，必须具备下列条件：</w:t>
            </w:r>
          </w:p>
          <w:p w14:paraId="7F785176">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①</w:t>
            </w:r>
            <w:r>
              <w:t>油类泄漏或油气蒸发；</w:t>
            </w:r>
          </w:p>
          <w:p w14:paraId="4CCD000C">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②</w:t>
            </w:r>
            <w:r>
              <w:t>有足够的空气助燃；</w:t>
            </w:r>
          </w:p>
          <w:p w14:paraId="1C754F39">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③</w:t>
            </w:r>
            <w:r>
              <w:t>油气必须与空气</w:t>
            </w:r>
            <w:r>
              <w:rPr>
                <w:rFonts w:hint="eastAsia"/>
                <w:lang w:eastAsia="zh-CN"/>
              </w:rPr>
              <w:t>混合</w:t>
            </w:r>
            <w:r>
              <w:t>，并达到一定的浓度；</w:t>
            </w:r>
          </w:p>
          <w:p w14:paraId="12B0FF85">
            <w:pPr>
              <w:pStyle w:val="34"/>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pPr>
            <w:r>
              <w:rPr>
                <w:rFonts w:hint="eastAsia" w:ascii="宋体" w:hAnsi="宋体" w:eastAsia="宋体" w:cs="宋体"/>
                <w:lang w:eastAsia="zh-CN"/>
              </w:rPr>
              <w:t>④</w:t>
            </w:r>
            <w:r>
              <w:t>现场有明火；</w:t>
            </w:r>
          </w:p>
          <w:p w14:paraId="387D25A5">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pPr>
            <w:r>
              <w:t>只有以上四个条件同时具备时，才可能发生火灾和爆炸。根据全国统计，储罐火灾及爆炸事故发生的概率远远低于3.1×10</w:t>
            </w:r>
            <w:r>
              <w:rPr>
                <w:rFonts w:hint="eastAsia"/>
                <w:vertAlign w:val="superscript"/>
              </w:rPr>
              <w:t>-</w:t>
            </w:r>
            <w:r>
              <w:rPr>
                <w:vertAlign w:val="superscript"/>
              </w:rPr>
              <w:t>5</w:t>
            </w:r>
            <w:r>
              <w:t>次/年，并随着近年来防灾技术水平的提高</w:t>
            </w:r>
            <w:r>
              <w:rPr>
                <w:rFonts w:hint="eastAsia"/>
              </w:rPr>
              <w:t>，</w:t>
            </w:r>
            <w:r>
              <w:t>呈下降趋势。</w:t>
            </w:r>
          </w:p>
          <w:p w14:paraId="45F7AC46">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（3）环保设施失效</w:t>
            </w:r>
          </w:p>
          <w:p w14:paraId="0F6309D6">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ascii="Times New Roman" w:hAnsi="Times New Roman" w:eastAsia="宋体" w:cs="Times New Roman"/>
              </w:rPr>
            </w:pPr>
            <w:r>
              <w:rPr>
                <w:rFonts w:hint="eastAsia" w:ascii="Times New Roman" w:hAnsi="Times New Roman" w:eastAsia="宋体" w:cs="Times New Roman"/>
              </w:rPr>
              <w:t>本项目废气治理</w:t>
            </w:r>
            <w:r>
              <w:rPr>
                <w:rFonts w:hint="eastAsia" w:ascii="Times New Roman" w:hAnsi="Times New Roman" w:eastAsia="宋体" w:cs="Times New Roman"/>
                <w:lang w:val="en-US" w:eastAsia="zh-CN"/>
              </w:rPr>
              <w:t>设施</w:t>
            </w:r>
            <w:r>
              <w:rPr>
                <w:rFonts w:hint="eastAsia" w:ascii="Times New Roman" w:hAnsi="Times New Roman" w:eastAsia="宋体" w:cs="Times New Roman"/>
              </w:rPr>
              <w:t>为</w:t>
            </w:r>
            <w:r>
              <w:rPr>
                <w:rFonts w:hint="eastAsia" w:ascii="Times New Roman" w:hAnsi="Times New Roman" w:eastAsia="宋体" w:cs="Times New Roman"/>
                <w:lang w:val="en-US" w:eastAsia="zh-CN"/>
              </w:rPr>
              <w:t>二次</w:t>
            </w:r>
            <w:r>
              <w:rPr>
                <w:rFonts w:hint="eastAsia" w:ascii="Times New Roman" w:hAnsi="Times New Roman" w:eastAsia="宋体" w:cs="Times New Roman"/>
              </w:rPr>
              <w:t>油气回收装置，可能会发生废气处理装置不能正常工作的情况，造成非甲烷总烃的排放，进而影响项目周边环境保护目标。</w:t>
            </w:r>
          </w:p>
          <w:p w14:paraId="608471AE">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为了保证本项目在该地区的可持续发展，生产过程中应采取加强管理、严格操作等方法，保证废气治理设备正常运行。当废气治理设施出现故障不能正常运行时，须尽快有序进行维修，尽量缩短和避免非正常排放的发生，避免对周围环境造成污染影响。</w:t>
            </w:r>
          </w:p>
          <w:p w14:paraId="0B973845">
            <w:pPr>
              <w:pStyle w:val="5"/>
              <w:pageBreakBefore w:val="0"/>
              <w:widowControl w:val="0"/>
              <w:kinsoku/>
              <w:wordWrap/>
              <w:overflowPunct/>
              <w:topLinePunct w:val="0"/>
              <w:autoSpaceDE/>
              <w:autoSpaceDN/>
              <w:bidi w:val="0"/>
              <w:adjustRightInd/>
              <w:snapToGrid/>
              <w:spacing w:before="0"/>
              <w:textAlignment w:val="auto"/>
              <w:rPr>
                <w:rFonts w:hint="eastAsia" w:ascii="Times New Roman" w:hAnsi="Times New Roman" w:eastAsia="宋体" w:cs="Times New Roman"/>
                <w:b/>
                <w:bCs/>
                <w:snapToGrid w:val="0"/>
                <w:sz w:val="24"/>
                <w:szCs w:val="24"/>
                <w:lang w:val="en-US" w:eastAsia="zh-CN" w:bidi="ar-SA"/>
              </w:rPr>
            </w:pPr>
            <w:r>
              <w:rPr>
                <w:rFonts w:hint="eastAsia" w:ascii="Times New Roman" w:hAnsi="Times New Roman" w:eastAsia="宋体" w:cs="Times New Roman"/>
                <w:b/>
                <w:bCs/>
                <w:snapToGrid w:val="0"/>
                <w:sz w:val="24"/>
                <w:szCs w:val="24"/>
                <w:lang w:val="en-US" w:eastAsia="zh-CN" w:bidi="ar-SA"/>
              </w:rPr>
              <w:t>4.4.4环境风险应急预案</w:t>
            </w:r>
          </w:p>
          <w:p w14:paraId="43C4FBBA">
            <w:pPr>
              <w:pStyle w:val="28"/>
              <w:spacing w:before="156"/>
              <w:ind w:firstLine="422"/>
            </w:pPr>
            <w:r>
              <w:rPr>
                <w:rFonts w:hint="eastAsia"/>
              </w:rPr>
              <w:t>表</w:t>
            </w:r>
            <w:r>
              <w:rPr>
                <w:rFonts w:hint="eastAsia"/>
                <w:lang w:val="en-US" w:eastAsia="zh-CN"/>
              </w:rPr>
              <w:t xml:space="preserve">4-14  </w:t>
            </w:r>
            <w:r>
              <w:rPr>
                <w:rFonts w:hint="eastAsia"/>
              </w:rPr>
              <w:t>突发事故应急预案</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7"/>
              <w:gridCol w:w="2134"/>
              <w:gridCol w:w="5253"/>
            </w:tblGrid>
            <w:tr w14:paraId="07605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12" w:space="0"/>
                    <w:left w:val="single" w:color="auto" w:sz="12" w:space="0"/>
                    <w:bottom w:val="single" w:color="auto" w:sz="6" w:space="0"/>
                    <w:right w:val="single" w:color="auto" w:sz="6" w:space="0"/>
                  </w:tcBorders>
                  <w:vAlign w:val="center"/>
                </w:tcPr>
                <w:p w14:paraId="230207FB">
                  <w:pPr>
                    <w:pStyle w:val="32"/>
                  </w:pPr>
                  <w:r>
                    <w:rPr>
                      <w:rFonts w:hint="eastAsia"/>
                    </w:rPr>
                    <w:t>序号</w:t>
                  </w:r>
                </w:p>
              </w:tc>
              <w:tc>
                <w:tcPr>
                  <w:tcW w:w="1282" w:type="pct"/>
                  <w:tcBorders>
                    <w:top w:val="single" w:color="auto" w:sz="12" w:space="0"/>
                    <w:left w:val="single" w:color="auto" w:sz="6" w:space="0"/>
                    <w:bottom w:val="single" w:color="auto" w:sz="6" w:space="0"/>
                    <w:right w:val="single" w:color="auto" w:sz="6" w:space="0"/>
                  </w:tcBorders>
                  <w:vAlign w:val="center"/>
                </w:tcPr>
                <w:p w14:paraId="568C53C3">
                  <w:pPr>
                    <w:pStyle w:val="32"/>
                  </w:pPr>
                  <w:r>
                    <w:rPr>
                      <w:rFonts w:hint="eastAsia"/>
                    </w:rPr>
                    <w:t>项目</w:t>
                  </w:r>
                </w:p>
              </w:tc>
              <w:tc>
                <w:tcPr>
                  <w:tcW w:w="3155" w:type="pct"/>
                  <w:tcBorders>
                    <w:top w:val="single" w:color="auto" w:sz="12" w:space="0"/>
                    <w:left w:val="single" w:color="auto" w:sz="6" w:space="0"/>
                    <w:bottom w:val="single" w:color="auto" w:sz="6" w:space="0"/>
                    <w:right w:val="single" w:color="auto" w:sz="12" w:space="0"/>
                  </w:tcBorders>
                  <w:vAlign w:val="center"/>
                </w:tcPr>
                <w:p w14:paraId="361CCA98">
                  <w:pPr>
                    <w:pStyle w:val="32"/>
                  </w:pPr>
                  <w:r>
                    <w:rPr>
                      <w:rFonts w:hint="eastAsia"/>
                    </w:rPr>
                    <w:t>内容及要求</w:t>
                  </w:r>
                </w:p>
              </w:tc>
            </w:tr>
            <w:tr w14:paraId="31FA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16247EA5">
                  <w:pPr>
                    <w:pStyle w:val="32"/>
                  </w:pPr>
                  <w:r>
                    <w:t>1</w:t>
                  </w:r>
                </w:p>
              </w:tc>
              <w:tc>
                <w:tcPr>
                  <w:tcW w:w="1282" w:type="pct"/>
                  <w:tcBorders>
                    <w:top w:val="single" w:color="auto" w:sz="6" w:space="0"/>
                    <w:left w:val="single" w:color="auto" w:sz="6" w:space="0"/>
                    <w:bottom w:val="single" w:color="auto" w:sz="6" w:space="0"/>
                    <w:right w:val="single" w:color="auto" w:sz="6" w:space="0"/>
                  </w:tcBorders>
                  <w:vAlign w:val="center"/>
                </w:tcPr>
                <w:p w14:paraId="729DE2C6">
                  <w:pPr>
                    <w:pStyle w:val="32"/>
                  </w:pPr>
                  <w:r>
                    <w:rPr>
                      <w:rFonts w:hint="eastAsia"/>
                    </w:rPr>
                    <w:t>应急计划区</w:t>
                  </w:r>
                </w:p>
              </w:tc>
              <w:tc>
                <w:tcPr>
                  <w:tcW w:w="3155" w:type="pct"/>
                  <w:tcBorders>
                    <w:top w:val="single" w:color="auto" w:sz="6" w:space="0"/>
                    <w:left w:val="single" w:color="auto" w:sz="6" w:space="0"/>
                    <w:bottom w:val="single" w:color="auto" w:sz="6" w:space="0"/>
                    <w:right w:val="single" w:color="auto" w:sz="12" w:space="0"/>
                  </w:tcBorders>
                  <w:vAlign w:val="center"/>
                </w:tcPr>
                <w:p w14:paraId="10D95D76">
                  <w:pPr>
                    <w:pStyle w:val="32"/>
                  </w:pPr>
                  <w:r>
                    <w:rPr>
                      <w:rFonts w:hint="eastAsia"/>
                    </w:rPr>
                    <w:t>储罐区、加油设备区</w:t>
                  </w:r>
                </w:p>
              </w:tc>
            </w:tr>
            <w:tr w14:paraId="24F7F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1714F053">
                  <w:pPr>
                    <w:pStyle w:val="32"/>
                  </w:pPr>
                  <w:r>
                    <w:t>2</w:t>
                  </w:r>
                </w:p>
              </w:tc>
              <w:tc>
                <w:tcPr>
                  <w:tcW w:w="1282" w:type="pct"/>
                  <w:tcBorders>
                    <w:top w:val="single" w:color="auto" w:sz="6" w:space="0"/>
                    <w:left w:val="single" w:color="auto" w:sz="6" w:space="0"/>
                    <w:bottom w:val="single" w:color="auto" w:sz="6" w:space="0"/>
                    <w:right w:val="single" w:color="auto" w:sz="6" w:space="0"/>
                  </w:tcBorders>
                  <w:vAlign w:val="center"/>
                </w:tcPr>
                <w:p w14:paraId="7A086380">
                  <w:pPr>
                    <w:pStyle w:val="32"/>
                  </w:pPr>
                  <w:r>
                    <w:rPr>
                      <w:rFonts w:hint="eastAsia"/>
                    </w:rPr>
                    <w:t>应急组织机构、人员</w:t>
                  </w:r>
                </w:p>
              </w:tc>
              <w:tc>
                <w:tcPr>
                  <w:tcW w:w="3155" w:type="pct"/>
                  <w:tcBorders>
                    <w:top w:val="single" w:color="auto" w:sz="6" w:space="0"/>
                    <w:left w:val="single" w:color="auto" w:sz="6" w:space="0"/>
                    <w:bottom w:val="single" w:color="auto" w:sz="6" w:space="0"/>
                    <w:right w:val="single" w:color="auto" w:sz="12" w:space="0"/>
                  </w:tcBorders>
                  <w:vAlign w:val="center"/>
                </w:tcPr>
                <w:p w14:paraId="65024573">
                  <w:pPr>
                    <w:pStyle w:val="32"/>
                  </w:pPr>
                  <w:r>
                    <w:rPr>
                      <w:rFonts w:hint="eastAsia"/>
                    </w:rPr>
                    <w:t>实施三级应急</w:t>
                  </w:r>
                  <w:r>
                    <w:rPr>
                      <w:rFonts w:hint="eastAsia"/>
                      <w:lang w:val="en-US" w:eastAsia="zh-CN"/>
                    </w:rPr>
                    <w:t>组织</w:t>
                  </w:r>
                  <w:r>
                    <w:rPr>
                      <w:rFonts w:hint="eastAsia"/>
                    </w:rPr>
                    <w:t>机构，各级别主要负责人为应急计划、协调第一人，应急人员必须为培训上岗熟练工；区域应急组织结构由当地政府、相关行业专家、卫生安全相关单位组成，并由当地政府进行统一调度</w:t>
                  </w:r>
                </w:p>
              </w:tc>
            </w:tr>
            <w:tr w14:paraId="39E99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661C0471">
                  <w:pPr>
                    <w:pStyle w:val="32"/>
                  </w:pPr>
                  <w:r>
                    <w:t>3</w:t>
                  </w:r>
                </w:p>
              </w:tc>
              <w:tc>
                <w:tcPr>
                  <w:tcW w:w="1282" w:type="pct"/>
                  <w:tcBorders>
                    <w:top w:val="single" w:color="auto" w:sz="6" w:space="0"/>
                    <w:left w:val="single" w:color="auto" w:sz="6" w:space="0"/>
                    <w:bottom w:val="single" w:color="auto" w:sz="6" w:space="0"/>
                    <w:right w:val="single" w:color="auto" w:sz="6" w:space="0"/>
                  </w:tcBorders>
                  <w:vAlign w:val="center"/>
                </w:tcPr>
                <w:p w14:paraId="0233EC7E">
                  <w:pPr>
                    <w:pStyle w:val="32"/>
                  </w:pPr>
                  <w:r>
                    <w:rPr>
                      <w:rFonts w:hint="eastAsia"/>
                    </w:rPr>
                    <w:t>预案分级响应条件</w:t>
                  </w:r>
                </w:p>
              </w:tc>
              <w:tc>
                <w:tcPr>
                  <w:tcW w:w="3155" w:type="pct"/>
                  <w:tcBorders>
                    <w:top w:val="single" w:color="auto" w:sz="6" w:space="0"/>
                    <w:left w:val="single" w:color="auto" w:sz="6" w:space="0"/>
                    <w:bottom w:val="single" w:color="auto" w:sz="6" w:space="0"/>
                    <w:right w:val="single" w:color="auto" w:sz="12" w:space="0"/>
                  </w:tcBorders>
                  <w:vAlign w:val="center"/>
                </w:tcPr>
                <w:p w14:paraId="7280AD87">
                  <w:pPr>
                    <w:pStyle w:val="32"/>
                  </w:pPr>
                  <w:r>
                    <w:rPr>
                      <w:rFonts w:hint="eastAsia"/>
                    </w:rPr>
                    <w:t>根据事故的严重程度制定相应级别的应急预案，以及适合相应情况的处理措施</w:t>
                  </w:r>
                </w:p>
              </w:tc>
            </w:tr>
            <w:tr w14:paraId="2040E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589A60DE">
                  <w:pPr>
                    <w:pStyle w:val="32"/>
                  </w:pPr>
                  <w:r>
                    <w:t>4</w:t>
                  </w:r>
                </w:p>
              </w:tc>
              <w:tc>
                <w:tcPr>
                  <w:tcW w:w="1282" w:type="pct"/>
                  <w:tcBorders>
                    <w:top w:val="single" w:color="auto" w:sz="6" w:space="0"/>
                    <w:left w:val="single" w:color="auto" w:sz="6" w:space="0"/>
                    <w:bottom w:val="single" w:color="auto" w:sz="6" w:space="0"/>
                    <w:right w:val="single" w:color="auto" w:sz="6" w:space="0"/>
                  </w:tcBorders>
                  <w:vAlign w:val="center"/>
                </w:tcPr>
                <w:p w14:paraId="59CCDB06">
                  <w:pPr>
                    <w:pStyle w:val="32"/>
                  </w:pPr>
                  <w:r>
                    <w:rPr>
                      <w:rFonts w:hint="eastAsia"/>
                    </w:rPr>
                    <w:t>应急救援保障</w:t>
                  </w:r>
                </w:p>
              </w:tc>
              <w:tc>
                <w:tcPr>
                  <w:tcW w:w="3155" w:type="pct"/>
                  <w:tcBorders>
                    <w:top w:val="single" w:color="auto" w:sz="6" w:space="0"/>
                    <w:left w:val="single" w:color="auto" w:sz="6" w:space="0"/>
                    <w:bottom w:val="single" w:color="auto" w:sz="6" w:space="0"/>
                    <w:right w:val="single" w:color="auto" w:sz="12" w:space="0"/>
                  </w:tcBorders>
                  <w:vAlign w:val="center"/>
                </w:tcPr>
                <w:p w14:paraId="2034BAA1">
                  <w:pPr>
                    <w:pStyle w:val="32"/>
                  </w:pPr>
                  <w:r>
                    <w:rPr>
                      <w:rFonts w:hint="eastAsia"/>
                    </w:rPr>
                    <w:t>应急设施，设备与器材等</w:t>
                  </w:r>
                </w:p>
              </w:tc>
            </w:tr>
            <w:tr w14:paraId="65575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2B309E4B">
                  <w:pPr>
                    <w:pStyle w:val="32"/>
                  </w:pPr>
                  <w:r>
                    <w:t>5</w:t>
                  </w:r>
                </w:p>
              </w:tc>
              <w:tc>
                <w:tcPr>
                  <w:tcW w:w="1282" w:type="pct"/>
                  <w:tcBorders>
                    <w:top w:val="single" w:color="auto" w:sz="6" w:space="0"/>
                    <w:left w:val="single" w:color="auto" w:sz="6" w:space="0"/>
                    <w:bottom w:val="single" w:color="auto" w:sz="6" w:space="0"/>
                    <w:right w:val="single" w:color="auto" w:sz="6" w:space="0"/>
                  </w:tcBorders>
                  <w:vAlign w:val="center"/>
                </w:tcPr>
                <w:p w14:paraId="5A5F50F5">
                  <w:pPr>
                    <w:pStyle w:val="32"/>
                  </w:pPr>
                  <w:r>
                    <w:rPr>
                      <w:rFonts w:hint="eastAsia"/>
                    </w:rPr>
                    <w:t>报警、通讯联络方式</w:t>
                  </w:r>
                </w:p>
              </w:tc>
              <w:tc>
                <w:tcPr>
                  <w:tcW w:w="3155" w:type="pct"/>
                  <w:tcBorders>
                    <w:top w:val="single" w:color="auto" w:sz="6" w:space="0"/>
                    <w:left w:val="single" w:color="auto" w:sz="6" w:space="0"/>
                    <w:bottom w:val="single" w:color="auto" w:sz="6" w:space="0"/>
                    <w:right w:val="single" w:color="auto" w:sz="12" w:space="0"/>
                  </w:tcBorders>
                  <w:vAlign w:val="center"/>
                </w:tcPr>
                <w:p w14:paraId="52C5A911">
                  <w:pPr>
                    <w:pStyle w:val="32"/>
                  </w:pPr>
                  <w:r>
                    <w:rPr>
                      <w:rFonts w:hint="eastAsia"/>
                    </w:rPr>
                    <w:t>逐一细化应急状态下各主要负责单位的报警通讯方式、地点、电话号码以及相关配套的交通保障、管制、消防联络方法，涉及跨区域的还应与相关区域环境保护部门和上级环保部门保持联系，及时通报事故处理情况，以获得区域性支援</w:t>
                  </w:r>
                </w:p>
              </w:tc>
            </w:tr>
            <w:tr w14:paraId="5CF0C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4BB49070">
                  <w:pPr>
                    <w:pStyle w:val="32"/>
                  </w:pPr>
                  <w:r>
                    <w:t>6</w:t>
                  </w:r>
                </w:p>
              </w:tc>
              <w:tc>
                <w:tcPr>
                  <w:tcW w:w="1282" w:type="pct"/>
                  <w:tcBorders>
                    <w:top w:val="single" w:color="auto" w:sz="6" w:space="0"/>
                    <w:left w:val="single" w:color="auto" w:sz="6" w:space="0"/>
                    <w:bottom w:val="single" w:color="auto" w:sz="6" w:space="0"/>
                    <w:right w:val="single" w:color="auto" w:sz="6" w:space="0"/>
                  </w:tcBorders>
                  <w:vAlign w:val="center"/>
                </w:tcPr>
                <w:p w14:paraId="04870B18">
                  <w:pPr>
                    <w:pStyle w:val="32"/>
                  </w:pPr>
                  <w:r>
                    <w:rPr>
                      <w:rFonts w:hint="eastAsia"/>
                    </w:rPr>
                    <w:t>应急环境监测、抢险、救援及控制措施</w:t>
                  </w:r>
                </w:p>
              </w:tc>
              <w:tc>
                <w:tcPr>
                  <w:tcW w:w="3155" w:type="pct"/>
                  <w:tcBorders>
                    <w:top w:val="single" w:color="auto" w:sz="6" w:space="0"/>
                    <w:left w:val="single" w:color="auto" w:sz="6" w:space="0"/>
                    <w:bottom w:val="single" w:color="auto" w:sz="6" w:space="0"/>
                    <w:right w:val="single" w:color="auto" w:sz="12" w:space="0"/>
                  </w:tcBorders>
                  <w:vAlign w:val="center"/>
                </w:tcPr>
                <w:p w14:paraId="077C6D3E">
                  <w:pPr>
                    <w:pStyle w:val="32"/>
                  </w:pPr>
                  <w:r>
                    <w:rPr>
                      <w:rFonts w:hint="eastAsia"/>
                    </w:rPr>
                    <w:t>由专业队伍负责对事故现场进行侦查监测，对事故性质、参数与后果进行评估，为指挥部门提供决策依据</w:t>
                  </w:r>
                </w:p>
              </w:tc>
            </w:tr>
            <w:tr w14:paraId="6FD00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48EEAFBC">
                  <w:pPr>
                    <w:pStyle w:val="32"/>
                  </w:pPr>
                  <w:r>
                    <w:t>7</w:t>
                  </w:r>
                </w:p>
              </w:tc>
              <w:tc>
                <w:tcPr>
                  <w:tcW w:w="1282" w:type="pct"/>
                  <w:tcBorders>
                    <w:top w:val="single" w:color="auto" w:sz="6" w:space="0"/>
                    <w:left w:val="single" w:color="auto" w:sz="6" w:space="0"/>
                    <w:bottom w:val="single" w:color="auto" w:sz="6" w:space="0"/>
                    <w:right w:val="single" w:color="auto" w:sz="6" w:space="0"/>
                  </w:tcBorders>
                  <w:vAlign w:val="center"/>
                </w:tcPr>
                <w:p w14:paraId="49F48588">
                  <w:pPr>
                    <w:pStyle w:val="32"/>
                  </w:pPr>
                  <w:r>
                    <w:rPr>
                      <w:rFonts w:hint="eastAsia"/>
                    </w:rPr>
                    <w:t>应急检测、防护措施、清除泄漏措施和器材</w:t>
                  </w:r>
                </w:p>
              </w:tc>
              <w:tc>
                <w:tcPr>
                  <w:tcW w:w="3155" w:type="pct"/>
                  <w:tcBorders>
                    <w:top w:val="single" w:color="auto" w:sz="6" w:space="0"/>
                    <w:left w:val="single" w:color="auto" w:sz="6" w:space="0"/>
                    <w:bottom w:val="single" w:color="auto" w:sz="6" w:space="0"/>
                    <w:right w:val="single" w:color="auto" w:sz="12" w:space="0"/>
                  </w:tcBorders>
                  <w:vAlign w:val="center"/>
                </w:tcPr>
                <w:p w14:paraId="18F2573B">
                  <w:pPr>
                    <w:pStyle w:val="32"/>
                  </w:pPr>
                  <w:r>
                    <w:rPr>
                      <w:rFonts w:hint="eastAsia"/>
                    </w:rPr>
                    <w:t>事故现场、邻近区域、控制防火区域，控制和清除污染措施及相应设备的数量、使用方法、使用人员</w:t>
                  </w:r>
                </w:p>
              </w:tc>
            </w:tr>
            <w:tr w14:paraId="7BF37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66B5B7E3">
                  <w:pPr>
                    <w:pStyle w:val="32"/>
                  </w:pPr>
                  <w:r>
                    <w:t>8</w:t>
                  </w:r>
                </w:p>
              </w:tc>
              <w:tc>
                <w:tcPr>
                  <w:tcW w:w="1282" w:type="pct"/>
                  <w:tcBorders>
                    <w:top w:val="single" w:color="auto" w:sz="6" w:space="0"/>
                    <w:left w:val="single" w:color="auto" w:sz="6" w:space="0"/>
                    <w:bottom w:val="single" w:color="auto" w:sz="6" w:space="0"/>
                    <w:right w:val="single" w:color="auto" w:sz="6" w:space="0"/>
                  </w:tcBorders>
                  <w:vAlign w:val="center"/>
                </w:tcPr>
                <w:p w14:paraId="28ACE933">
                  <w:pPr>
                    <w:pStyle w:val="32"/>
                  </w:pPr>
                  <w:r>
                    <w:rPr>
                      <w:rFonts w:hint="eastAsia"/>
                    </w:rPr>
                    <w:t>人员紧急撤离、疏散，应急剂量控制、撤离组织计划</w:t>
                  </w:r>
                </w:p>
              </w:tc>
              <w:tc>
                <w:tcPr>
                  <w:tcW w:w="3155" w:type="pct"/>
                  <w:tcBorders>
                    <w:top w:val="single" w:color="auto" w:sz="6" w:space="0"/>
                    <w:left w:val="single" w:color="auto" w:sz="6" w:space="0"/>
                    <w:bottom w:val="single" w:color="auto" w:sz="6" w:space="0"/>
                    <w:right w:val="single" w:color="auto" w:sz="12" w:space="0"/>
                  </w:tcBorders>
                  <w:vAlign w:val="center"/>
                </w:tcPr>
                <w:p w14:paraId="53C9349D">
                  <w:pPr>
                    <w:pStyle w:val="32"/>
                  </w:pPr>
                  <w:r>
                    <w:rPr>
                      <w:rFonts w:hint="eastAsia"/>
                    </w:rPr>
                    <w:t>事故现场、邻近区、受事故影响的区域人员及公众对毒物应急剂量控制规定，撤离组织计划及救护，医疗救护与公众健康</w:t>
                  </w:r>
                </w:p>
              </w:tc>
            </w:tr>
            <w:tr w14:paraId="7397B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524BA7BA">
                  <w:pPr>
                    <w:pStyle w:val="32"/>
                  </w:pPr>
                  <w:r>
                    <w:t>9</w:t>
                  </w:r>
                </w:p>
              </w:tc>
              <w:tc>
                <w:tcPr>
                  <w:tcW w:w="1282" w:type="pct"/>
                  <w:tcBorders>
                    <w:top w:val="single" w:color="auto" w:sz="6" w:space="0"/>
                    <w:left w:val="single" w:color="auto" w:sz="6" w:space="0"/>
                    <w:bottom w:val="single" w:color="auto" w:sz="6" w:space="0"/>
                    <w:right w:val="single" w:color="auto" w:sz="6" w:space="0"/>
                  </w:tcBorders>
                  <w:vAlign w:val="center"/>
                </w:tcPr>
                <w:p w14:paraId="01D99974">
                  <w:pPr>
                    <w:pStyle w:val="32"/>
                  </w:pPr>
                  <w:r>
                    <w:rPr>
                      <w:rFonts w:hint="eastAsia"/>
                    </w:rPr>
                    <w:t>事故应急救援关闭程序与恢复措施</w:t>
                  </w:r>
                </w:p>
              </w:tc>
              <w:tc>
                <w:tcPr>
                  <w:tcW w:w="3155" w:type="pct"/>
                  <w:tcBorders>
                    <w:top w:val="single" w:color="auto" w:sz="6" w:space="0"/>
                    <w:left w:val="single" w:color="auto" w:sz="6" w:space="0"/>
                    <w:bottom w:val="single" w:color="auto" w:sz="6" w:space="0"/>
                    <w:right w:val="single" w:color="auto" w:sz="12" w:space="0"/>
                  </w:tcBorders>
                  <w:vAlign w:val="center"/>
                </w:tcPr>
                <w:p w14:paraId="24AE83FC">
                  <w:pPr>
                    <w:pStyle w:val="32"/>
                  </w:pPr>
                  <w:r>
                    <w:rPr>
                      <w:rFonts w:hint="eastAsia"/>
                    </w:rPr>
                    <w:t>规定应急状态终止程序事故现场</w:t>
                  </w:r>
                  <w:r>
                    <w:rPr>
                      <w:rFonts w:hint="eastAsia"/>
                      <w:lang w:val="en-US" w:eastAsia="zh-CN"/>
                    </w:rPr>
                    <w:t>事</w:t>
                  </w:r>
                  <w:r>
                    <w:rPr>
                      <w:rFonts w:hint="eastAsia"/>
                    </w:rPr>
                    <w:t>后处理，恢复措施邻近区域解除事故警戒及善后恢复措施制定有关的环境恢复措施组织专业人员对事故后的环境变化进行监测，对事故应急措施的环境可行性进行后影响评价</w:t>
                  </w:r>
                </w:p>
              </w:tc>
            </w:tr>
            <w:tr w14:paraId="24CE5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48019A99">
                  <w:pPr>
                    <w:pStyle w:val="32"/>
                  </w:pPr>
                  <w:r>
                    <w:t>10</w:t>
                  </w:r>
                </w:p>
              </w:tc>
              <w:tc>
                <w:tcPr>
                  <w:tcW w:w="1282" w:type="pct"/>
                  <w:tcBorders>
                    <w:top w:val="single" w:color="auto" w:sz="6" w:space="0"/>
                    <w:left w:val="single" w:color="auto" w:sz="6" w:space="0"/>
                    <w:bottom w:val="single" w:color="auto" w:sz="6" w:space="0"/>
                    <w:right w:val="single" w:color="auto" w:sz="6" w:space="0"/>
                  </w:tcBorders>
                  <w:vAlign w:val="center"/>
                </w:tcPr>
                <w:p w14:paraId="05C5014A">
                  <w:pPr>
                    <w:pStyle w:val="32"/>
                  </w:pPr>
                  <w:r>
                    <w:rPr>
                      <w:rFonts w:hint="eastAsia"/>
                    </w:rPr>
                    <w:t>应急培训计划</w:t>
                  </w:r>
                </w:p>
              </w:tc>
              <w:tc>
                <w:tcPr>
                  <w:tcW w:w="3155" w:type="pct"/>
                  <w:tcBorders>
                    <w:top w:val="single" w:color="auto" w:sz="6" w:space="0"/>
                    <w:left w:val="single" w:color="auto" w:sz="6" w:space="0"/>
                    <w:bottom w:val="single" w:color="auto" w:sz="6" w:space="0"/>
                    <w:right w:val="single" w:color="auto" w:sz="12" w:space="0"/>
                  </w:tcBorders>
                  <w:vAlign w:val="center"/>
                </w:tcPr>
                <w:p w14:paraId="6EF7114D">
                  <w:pPr>
                    <w:pStyle w:val="32"/>
                  </w:pPr>
                  <w:r>
                    <w:rPr>
                      <w:rFonts w:hint="eastAsia"/>
                    </w:rPr>
                    <w:t>应急计划制定后，平时安排人员培训与演练</w:t>
                  </w:r>
                </w:p>
              </w:tc>
            </w:tr>
            <w:tr w14:paraId="252D3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12" w:space="0"/>
                    <w:right w:val="single" w:color="auto" w:sz="6" w:space="0"/>
                  </w:tcBorders>
                  <w:vAlign w:val="center"/>
                </w:tcPr>
                <w:p w14:paraId="08CEBDA1">
                  <w:pPr>
                    <w:pStyle w:val="32"/>
                  </w:pPr>
                  <w:r>
                    <w:t>11</w:t>
                  </w:r>
                </w:p>
              </w:tc>
              <w:tc>
                <w:tcPr>
                  <w:tcW w:w="1282" w:type="pct"/>
                  <w:tcBorders>
                    <w:top w:val="single" w:color="auto" w:sz="6" w:space="0"/>
                    <w:left w:val="single" w:color="auto" w:sz="6" w:space="0"/>
                    <w:bottom w:val="single" w:color="auto" w:sz="12" w:space="0"/>
                    <w:right w:val="single" w:color="auto" w:sz="6" w:space="0"/>
                  </w:tcBorders>
                  <w:vAlign w:val="center"/>
                </w:tcPr>
                <w:p w14:paraId="1AFA00D8">
                  <w:pPr>
                    <w:pStyle w:val="32"/>
                  </w:pPr>
                  <w:r>
                    <w:rPr>
                      <w:rFonts w:hint="eastAsia"/>
                    </w:rPr>
                    <w:t>公众教育和信息</w:t>
                  </w:r>
                </w:p>
              </w:tc>
              <w:tc>
                <w:tcPr>
                  <w:tcW w:w="3155" w:type="pct"/>
                  <w:tcBorders>
                    <w:top w:val="single" w:color="auto" w:sz="6" w:space="0"/>
                    <w:left w:val="single" w:color="auto" w:sz="6" w:space="0"/>
                    <w:bottom w:val="single" w:color="auto" w:sz="12" w:space="0"/>
                    <w:right w:val="single" w:color="auto" w:sz="12" w:space="0"/>
                  </w:tcBorders>
                  <w:vAlign w:val="center"/>
                </w:tcPr>
                <w:p w14:paraId="3980BFE4">
                  <w:pPr>
                    <w:pStyle w:val="32"/>
                  </w:pPr>
                  <w:r>
                    <w:rPr>
                      <w:rFonts w:hint="eastAsia"/>
                    </w:rPr>
                    <w:t>对项目邻近地区开展公众教育、培训和发布有关信息</w:t>
                  </w:r>
                </w:p>
              </w:tc>
            </w:tr>
          </w:tbl>
          <w:p w14:paraId="747000AF">
            <w:pPr>
              <w:pStyle w:val="5"/>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Times New Roman" w:hAnsi="Times New Roman" w:eastAsia="宋体" w:cs="Times New Roman"/>
                <w:b/>
                <w:bCs/>
                <w:snapToGrid w:val="0"/>
                <w:sz w:val="24"/>
                <w:szCs w:val="24"/>
                <w:lang w:val="en-US" w:eastAsia="zh-CN" w:bidi="ar-SA"/>
              </w:rPr>
            </w:pPr>
            <w:r>
              <w:rPr>
                <w:rFonts w:hint="eastAsia" w:ascii="Times New Roman" w:hAnsi="Times New Roman" w:eastAsia="宋体" w:cs="Times New Roman"/>
                <w:b/>
                <w:bCs/>
                <w:snapToGrid w:val="0"/>
                <w:sz w:val="24"/>
                <w:szCs w:val="24"/>
                <w:lang w:val="en-US" w:eastAsia="zh-CN" w:bidi="ar-SA"/>
              </w:rPr>
              <w:t>4.4.5环境风险防范措施</w:t>
            </w:r>
          </w:p>
          <w:p w14:paraId="3E4F6C4D">
            <w:pPr>
              <w:bidi w:val="0"/>
              <w:ind w:left="0" w:leftChars="0" w:firstLine="0" w:firstLineChars="0"/>
              <w:rPr>
                <w:rFonts w:hint="default"/>
                <w:b/>
                <w:bCs/>
                <w:lang w:val="en-US" w:eastAsia="zh-CN"/>
              </w:rPr>
            </w:pPr>
            <w:r>
              <w:rPr>
                <w:rFonts w:hint="eastAsia"/>
                <w:b/>
                <w:bCs/>
                <w:lang w:val="en-US" w:eastAsia="zh-CN"/>
              </w:rPr>
              <w:t>4.4.5.1事故风险防范措施</w:t>
            </w:r>
          </w:p>
          <w:p w14:paraId="593AB694">
            <w:pPr>
              <w:bidi w:val="0"/>
            </w:pPr>
            <w:r>
              <w:t>项目拟采取的安全防范措施基本可行，评价要求建设单位严格实施可行性研究报告提出的安全措施，采取严密的防范措施，严防事故的发生。此外，根据《</w:t>
            </w:r>
            <w:r>
              <w:rPr>
                <w:rFonts w:hint="eastAsia"/>
              </w:rPr>
              <w:t>汽车加油加气加氢站技术标准</w:t>
            </w:r>
            <w:r>
              <w:t>》（</w:t>
            </w:r>
            <w:r>
              <w:rPr>
                <w:rFonts w:hint="eastAsia"/>
              </w:rPr>
              <w:t>GB50156-2021</w:t>
            </w:r>
            <w:r>
              <w:t>）等，补充以下防范措施。</w:t>
            </w:r>
          </w:p>
          <w:p w14:paraId="366EA39D">
            <w:pPr>
              <w:tabs>
                <w:tab w:val="left" w:pos="924"/>
              </w:tabs>
              <w:ind w:firstLine="480"/>
            </w:pPr>
            <w:r>
              <w:rPr>
                <w:rFonts w:hint="eastAsia"/>
                <w:lang w:eastAsia="zh-CN"/>
              </w:rPr>
              <w:t>（</w:t>
            </w:r>
            <w:r>
              <w:rPr>
                <w:rFonts w:hint="eastAsia"/>
                <w:lang w:val="en-US" w:eastAsia="zh-CN"/>
              </w:rPr>
              <w:t>1</w:t>
            </w:r>
            <w:r>
              <w:rPr>
                <w:rFonts w:hint="eastAsia"/>
                <w:lang w:eastAsia="zh-CN"/>
              </w:rPr>
              <w:t>）</w:t>
            </w:r>
            <w:r>
              <w:t>选址、总图布置和建筑安全防范措施</w:t>
            </w:r>
          </w:p>
          <w:p w14:paraId="63F2D8B1">
            <w:pPr>
              <w:tabs>
                <w:tab w:val="left" w:pos="924"/>
              </w:tabs>
              <w:ind w:firstLine="480"/>
            </w:pPr>
            <w:r>
              <w:t>①道路、场地、通风、排洪要满足安全生产的要求。</w:t>
            </w:r>
          </w:p>
          <w:p w14:paraId="52A83820">
            <w:pPr>
              <w:tabs>
                <w:tab w:val="left" w:pos="924"/>
              </w:tabs>
              <w:ind w:firstLine="480"/>
            </w:pPr>
            <w:r>
              <w:t>②站内工艺设施间的安全防火间距应符合规范要求。</w:t>
            </w:r>
          </w:p>
          <w:p w14:paraId="56DCA550">
            <w:pPr>
              <w:tabs>
                <w:tab w:val="left" w:pos="924"/>
              </w:tabs>
              <w:ind w:firstLine="480"/>
            </w:pPr>
            <w:r>
              <w:t>③在站区内设置风向标，以便在事故状态进行有效的疏散和撤离。</w:t>
            </w:r>
          </w:p>
          <w:p w14:paraId="57597431">
            <w:pPr>
              <w:tabs>
                <w:tab w:val="left" w:pos="924"/>
              </w:tabs>
              <w:ind w:firstLine="480"/>
            </w:pPr>
            <w:r>
              <w:rPr>
                <w:rFonts w:hint="eastAsia"/>
                <w:lang w:eastAsia="zh-CN"/>
              </w:rPr>
              <w:t>（</w:t>
            </w:r>
            <w:r>
              <w:rPr>
                <w:rFonts w:hint="eastAsia"/>
                <w:lang w:val="en-US" w:eastAsia="zh-CN"/>
              </w:rPr>
              <w:t>2</w:t>
            </w:r>
            <w:r>
              <w:rPr>
                <w:rFonts w:hint="eastAsia"/>
                <w:lang w:eastAsia="zh-CN"/>
              </w:rPr>
              <w:t>）</w:t>
            </w:r>
            <w:r>
              <w:t>工艺技术设计安全防范措施</w:t>
            </w:r>
          </w:p>
          <w:p w14:paraId="3534C33C">
            <w:pPr>
              <w:tabs>
                <w:tab w:val="left" w:pos="924"/>
              </w:tabs>
              <w:ind w:firstLine="480"/>
            </w:pPr>
            <w:r>
              <w:t>①汽油</w:t>
            </w:r>
            <w:r>
              <w:rPr>
                <w:rFonts w:hint="eastAsia"/>
              </w:rPr>
              <w:t>、柴油</w:t>
            </w:r>
            <w:r>
              <w:t>储罐：油罐采用卧式</w:t>
            </w:r>
            <w:r>
              <w:rPr>
                <w:rFonts w:hint="eastAsia"/>
              </w:rPr>
              <w:t>双层</w:t>
            </w:r>
            <w:r>
              <w:t>油罐且埋地设置，油罐采取卸油时的防满溢措施。油料达到油罐容量90%时，应能触动高液位报警装置；油料达到油罐容量95%时，自动停止油料继续进罐。油罐灌顶覆土厚度不应小于0.5m。</w:t>
            </w:r>
          </w:p>
          <w:p w14:paraId="595D2974">
            <w:pPr>
              <w:tabs>
                <w:tab w:val="left" w:pos="924"/>
              </w:tabs>
              <w:ind w:firstLine="480"/>
            </w:pPr>
            <w:r>
              <w:t>②加油机：加油机不得设置在室内，加油软管上设置安全拉断阀，位于加油岛端部的加油机附件应设防撞栏，高度不小于0.5m。</w:t>
            </w:r>
          </w:p>
          <w:p w14:paraId="4A2D7E0A">
            <w:pPr>
              <w:tabs>
                <w:tab w:val="left" w:pos="924"/>
              </w:tabs>
              <w:ind w:firstLine="480"/>
            </w:pPr>
            <w:r>
              <w:t>③作业区等危险场所应设置可燃气体泄漏检测装置，就地及控制室设置声、光报警。</w:t>
            </w:r>
          </w:p>
          <w:p w14:paraId="3DB957B6">
            <w:pPr>
              <w:tabs>
                <w:tab w:val="left" w:pos="924"/>
              </w:tabs>
              <w:ind w:firstLine="480"/>
              <w:rPr>
                <w:rFonts w:hint="eastAsia" w:eastAsia="宋体"/>
                <w:lang w:val="en-US" w:eastAsia="zh-CN"/>
              </w:rPr>
            </w:pPr>
            <w:r>
              <w:rPr>
                <w:rFonts w:hint="eastAsia"/>
                <w:lang w:eastAsia="zh-CN"/>
              </w:rPr>
              <w:t>（</w:t>
            </w:r>
            <w:r>
              <w:rPr>
                <w:rFonts w:hint="eastAsia"/>
                <w:lang w:val="en-US" w:eastAsia="zh-CN"/>
              </w:rPr>
              <w:t>3</w:t>
            </w:r>
            <w:r>
              <w:rPr>
                <w:rFonts w:hint="eastAsia"/>
                <w:lang w:eastAsia="zh-CN"/>
              </w:rPr>
              <w:t>）</w:t>
            </w:r>
            <w:r>
              <w:t>消防及火灾报警系统</w:t>
            </w:r>
          </w:p>
          <w:p w14:paraId="5AA68E45">
            <w:pPr>
              <w:tabs>
                <w:tab w:val="left" w:pos="924"/>
              </w:tabs>
              <w:ind w:firstLine="480"/>
            </w:pPr>
            <w:r>
              <w:t>①每2台加油机应配置不少于2具4kg手提式干粉灭火器或1具4kg手提式干粉灭火器和1具6L泡沫灭火器。加油机不足2台应按2台配置。</w:t>
            </w:r>
          </w:p>
          <w:p w14:paraId="19FE018D">
            <w:pPr>
              <w:tabs>
                <w:tab w:val="left" w:pos="924"/>
              </w:tabs>
              <w:ind w:firstLine="480"/>
            </w:pPr>
            <w:r>
              <w:t>②地下储罐应配置1台不少于35kg推车式干粉灭火器。当两种介质储罐之间的距离超过15m时，应分别配置。</w:t>
            </w:r>
          </w:p>
          <w:p w14:paraId="1FA6F48B">
            <w:pPr>
              <w:tabs>
                <w:tab w:val="left" w:pos="924"/>
              </w:tabs>
              <w:ind w:firstLine="480"/>
            </w:pPr>
            <w:r>
              <w:t>③一、二级加油站应配置灭火毯5块、沙子2m</w:t>
            </w:r>
            <w:r>
              <w:rPr>
                <w:vertAlign w:val="superscript"/>
              </w:rPr>
              <w:t>3</w:t>
            </w:r>
            <w:r>
              <w:t>；三级加油站应配置灭火毯不少于2块、沙子2m</w:t>
            </w:r>
            <w:r>
              <w:rPr>
                <w:vertAlign w:val="superscript"/>
              </w:rPr>
              <w:t>3</w:t>
            </w:r>
            <w:r>
              <w:t>。</w:t>
            </w:r>
          </w:p>
          <w:p w14:paraId="12BE4639">
            <w:pPr>
              <w:tabs>
                <w:tab w:val="left" w:pos="924"/>
              </w:tabs>
              <w:ind w:firstLine="480"/>
            </w:pPr>
            <w:r>
              <w:rPr>
                <w:rFonts w:hint="eastAsia"/>
                <w:lang w:eastAsia="zh-CN"/>
              </w:rPr>
              <w:t>（</w:t>
            </w:r>
            <w:r>
              <w:rPr>
                <w:rFonts w:hint="eastAsia"/>
                <w:lang w:val="en-US" w:eastAsia="zh-CN"/>
              </w:rPr>
              <w:t>4</w:t>
            </w:r>
            <w:r>
              <w:rPr>
                <w:rFonts w:hint="eastAsia"/>
                <w:lang w:eastAsia="zh-CN"/>
              </w:rPr>
              <w:t>）</w:t>
            </w:r>
            <w:r>
              <w:t>风险管理措施</w:t>
            </w:r>
          </w:p>
          <w:p w14:paraId="2B1A9AB1">
            <w:pPr>
              <w:tabs>
                <w:tab w:val="left" w:pos="924"/>
              </w:tabs>
              <w:ind w:firstLine="480"/>
            </w:pPr>
            <w:r>
              <w:t>①完善岗位培训上岗制，加强职工的安全教育，提高安全防范风险的意识。</w:t>
            </w:r>
          </w:p>
          <w:p w14:paraId="710E94FE">
            <w:pPr>
              <w:tabs>
                <w:tab w:val="left" w:pos="924"/>
              </w:tabs>
              <w:ind w:firstLine="480"/>
            </w:pPr>
            <w:r>
              <w:t>②针对运营中可能发生的异常现象和存在的安全隐患，设置合理可行的技术措施，制定严格的操作规程。加气站内至少设置两台直通外线电话。</w:t>
            </w:r>
          </w:p>
          <w:p w14:paraId="236253C7">
            <w:pPr>
              <w:tabs>
                <w:tab w:val="left" w:pos="924"/>
              </w:tabs>
              <w:ind w:firstLine="480"/>
            </w:pPr>
            <w:r>
              <w:t>③对易发生泄漏的部位实行定期的巡检制度，及时发现问题，尽快解决。</w:t>
            </w:r>
          </w:p>
          <w:p w14:paraId="4C13293D">
            <w:pPr>
              <w:tabs>
                <w:tab w:val="left" w:pos="924"/>
              </w:tabs>
              <w:ind w:firstLine="480"/>
            </w:pPr>
            <w:r>
              <w:t>④严格执行防火、防爆、防雷击、防毒害等各项要求。</w:t>
            </w:r>
          </w:p>
          <w:p w14:paraId="4C38CAD3">
            <w:pPr>
              <w:tabs>
                <w:tab w:val="left" w:pos="924"/>
              </w:tabs>
              <w:ind w:firstLine="480"/>
            </w:pPr>
            <w:r>
              <w:t>⑤建立健全安全、环境管理体系，制定严格的安全管理制度。</w:t>
            </w:r>
          </w:p>
          <w:p w14:paraId="5F7EBB5F">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pPr>
            <w:r>
              <w:t>⑥编制应急救援预案，建立应急救援组织，定期进行预案演练。</w:t>
            </w:r>
          </w:p>
          <w:p w14:paraId="5E388F4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b/>
                <w:bCs/>
                <w:highlight w:val="none"/>
                <w:lang w:val="en-US" w:eastAsia="zh-CN"/>
              </w:rPr>
            </w:pPr>
            <w:r>
              <w:rPr>
                <w:rFonts w:hint="eastAsia"/>
                <w:b/>
                <w:bCs/>
                <w:lang w:val="en-US" w:eastAsia="zh-CN"/>
              </w:rPr>
              <w:t>4.4.5.2</w:t>
            </w:r>
            <w:r>
              <w:rPr>
                <w:rFonts w:hint="eastAsia"/>
                <w:b/>
                <w:bCs/>
                <w:highlight w:val="none"/>
                <w:lang w:val="en-US" w:eastAsia="zh-CN"/>
              </w:rPr>
              <w:t>环境风险防范措施</w:t>
            </w:r>
          </w:p>
          <w:p w14:paraId="69936F3B">
            <w:pPr>
              <w:keepNext w:val="0"/>
              <w:keepLines w:val="0"/>
              <w:pageBreakBefore w:val="0"/>
              <w:widowControl w:val="0"/>
              <w:kinsoku/>
              <w:wordWrap/>
              <w:overflowPunct/>
              <w:topLinePunct w:val="0"/>
              <w:autoSpaceDE/>
              <w:autoSpaceDN/>
              <w:bidi w:val="0"/>
              <w:adjustRightInd/>
              <w:snapToGrid/>
              <w:ind w:firstLine="560"/>
              <w:textAlignment w:val="auto"/>
              <w:rPr>
                <w:rFonts w:ascii="Times New Roman" w:hAnsi="Times New Roman" w:eastAsia="宋体" w:cs="Times New Roman"/>
                <w:snapToGrid w:val="0"/>
                <w:sz w:val="24"/>
                <w:szCs w:val="24"/>
                <w:lang w:val="en-US" w:eastAsia="zh-CN" w:bidi="ar-SA"/>
              </w:rPr>
            </w:pPr>
            <w:r>
              <w:rPr>
                <w:rFonts w:hint="eastAsia" w:ascii="Times New Roman" w:hAnsi="Times New Roman" w:eastAsia="宋体" w:cs="Times New Roman"/>
                <w:snapToGrid w:val="0"/>
                <w:sz w:val="24"/>
                <w:szCs w:val="24"/>
                <w:lang w:val="en-US" w:eastAsia="zh-CN" w:bidi="ar-SA"/>
              </w:rPr>
              <w:t>（</w:t>
            </w:r>
            <w:r>
              <w:rPr>
                <w:rFonts w:ascii="Times New Roman" w:hAnsi="Times New Roman" w:eastAsia="宋体" w:cs="Times New Roman"/>
                <w:snapToGrid w:val="0"/>
                <w:sz w:val="24"/>
                <w:szCs w:val="24"/>
                <w:lang w:val="en-US" w:eastAsia="zh-CN" w:bidi="ar-SA"/>
              </w:rPr>
              <w:t>1</w:t>
            </w:r>
            <w:r>
              <w:rPr>
                <w:rFonts w:hint="eastAsia" w:ascii="Times New Roman" w:hAnsi="Times New Roman" w:eastAsia="宋体" w:cs="Times New Roman"/>
                <w:snapToGrid w:val="0"/>
                <w:sz w:val="24"/>
                <w:szCs w:val="24"/>
                <w:lang w:val="en-US" w:eastAsia="zh-CN" w:bidi="ar-SA"/>
              </w:rPr>
              <w:t>）生产中确保各项应急设施</w:t>
            </w:r>
            <w:r>
              <w:rPr>
                <w:rFonts w:hint="eastAsia" w:cs="Times New Roman"/>
                <w:snapToGrid w:val="0"/>
                <w:sz w:val="24"/>
                <w:szCs w:val="24"/>
                <w:lang w:val="en-US" w:eastAsia="zh-CN" w:bidi="ar-SA"/>
              </w:rPr>
              <w:t>、环保设施</w:t>
            </w:r>
            <w:r>
              <w:rPr>
                <w:rFonts w:hint="eastAsia" w:ascii="Times New Roman" w:hAnsi="Times New Roman" w:eastAsia="宋体" w:cs="Times New Roman"/>
                <w:snapToGrid w:val="0"/>
                <w:sz w:val="24"/>
                <w:szCs w:val="24"/>
                <w:lang w:val="en-US" w:eastAsia="zh-CN" w:bidi="ar-SA"/>
              </w:rPr>
              <w:t>及器材的完好，定期检查，对已损坏的设施或器材及时更换维修。</w:t>
            </w:r>
          </w:p>
          <w:p w14:paraId="0E4B6B6E">
            <w:pPr>
              <w:keepNext w:val="0"/>
              <w:keepLines w:val="0"/>
              <w:pageBreakBefore w:val="0"/>
              <w:widowControl w:val="0"/>
              <w:kinsoku/>
              <w:wordWrap/>
              <w:overflowPunct/>
              <w:topLinePunct w:val="0"/>
              <w:autoSpaceDE/>
              <w:autoSpaceDN/>
              <w:bidi w:val="0"/>
              <w:adjustRightInd/>
              <w:snapToGrid/>
              <w:ind w:firstLine="560"/>
              <w:textAlignment w:val="auto"/>
              <w:rPr>
                <w:rFonts w:ascii="Times New Roman" w:hAnsi="Times New Roman" w:eastAsia="宋体" w:cs="Times New Roman"/>
                <w:snapToGrid w:val="0"/>
                <w:sz w:val="24"/>
                <w:szCs w:val="24"/>
                <w:lang w:val="en-US" w:eastAsia="zh-CN" w:bidi="ar-SA"/>
              </w:rPr>
            </w:pPr>
            <w:r>
              <w:rPr>
                <w:rFonts w:hint="eastAsia" w:ascii="Times New Roman" w:hAnsi="Times New Roman" w:eastAsia="宋体" w:cs="Times New Roman"/>
                <w:snapToGrid w:val="0"/>
                <w:sz w:val="24"/>
                <w:szCs w:val="24"/>
                <w:lang w:val="en-US" w:eastAsia="zh-CN" w:bidi="ar-SA"/>
              </w:rPr>
              <w:t>（</w:t>
            </w:r>
            <w:r>
              <w:rPr>
                <w:rFonts w:ascii="Times New Roman" w:hAnsi="Times New Roman" w:eastAsia="宋体" w:cs="Times New Roman"/>
                <w:snapToGrid w:val="0"/>
                <w:sz w:val="24"/>
                <w:szCs w:val="24"/>
                <w:lang w:val="en-US" w:eastAsia="zh-CN" w:bidi="ar-SA"/>
              </w:rPr>
              <w:t>2</w:t>
            </w:r>
            <w:r>
              <w:rPr>
                <w:rFonts w:hint="eastAsia" w:ascii="Times New Roman" w:hAnsi="Times New Roman" w:eastAsia="宋体" w:cs="Times New Roman"/>
                <w:snapToGrid w:val="0"/>
                <w:sz w:val="24"/>
                <w:szCs w:val="24"/>
                <w:lang w:val="en-US" w:eastAsia="zh-CN" w:bidi="ar-SA"/>
              </w:rPr>
              <w:t>）定期组织应急培训及演练，并根据方案多方位分类培训。</w:t>
            </w:r>
          </w:p>
          <w:p w14:paraId="07CE86F4">
            <w:pPr>
              <w:keepNext w:val="0"/>
              <w:keepLines w:val="0"/>
              <w:pageBreakBefore w:val="0"/>
              <w:widowControl w:val="0"/>
              <w:kinsoku/>
              <w:wordWrap/>
              <w:overflowPunct/>
              <w:topLinePunct w:val="0"/>
              <w:autoSpaceDE/>
              <w:autoSpaceDN/>
              <w:bidi w:val="0"/>
              <w:adjustRightInd/>
              <w:snapToGrid/>
              <w:ind w:firstLine="560"/>
              <w:textAlignment w:val="auto"/>
              <w:rPr>
                <w:rFonts w:ascii="Times New Roman" w:hAnsi="Times New Roman" w:eastAsia="宋体" w:cs="Times New Roman"/>
                <w:snapToGrid w:val="0"/>
                <w:sz w:val="24"/>
                <w:szCs w:val="24"/>
                <w:lang w:val="en-US" w:eastAsia="zh-CN" w:bidi="ar-SA"/>
              </w:rPr>
            </w:pPr>
            <w:r>
              <w:rPr>
                <w:rFonts w:hint="eastAsia" w:ascii="Times New Roman" w:hAnsi="Times New Roman" w:eastAsia="宋体" w:cs="Times New Roman"/>
                <w:snapToGrid w:val="0"/>
                <w:sz w:val="24"/>
                <w:szCs w:val="24"/>
                <w:lang w:val="en-US" w:eastAsia="zh-CN" w:bidi="ar-SA"/>
              </w:rPr>
              <w:t>（</w:t>
            </w:r>
            <w:r>
              <w:rPr>
                <w:rFonts w:ascii="Times New Roman" w:hAnsi="Times New Roman" w:eastAsia="宋体" w:cs="Times New Roman"/>
                <w:snapToGrid w:val="0"/>
                <w:sz w:val="24"/>
                <w:szCs w:val="24"/>
                <w:lang w:val="en-US" w:eastAsia="zh-CN" w:bidi="ar-SA"/>
              </w:rPr>
              <w:t>3</w:t>
            </w:r>
            <w:r>
              <w:rPr>
                <w:rFonts w:hint="eastAsia" w:ascii="Times New Roman" w:hAnsi="Times New Roman" w:eastAsia="宋体" w:cs="Times New Roman"/>
                <w:snapToGrid w:val="0"/>
                <w:sz w:val="24"/>
                <w:szCs w:val="24"/>
                <w:lang w:val="en-US" w:eastAsia="zh-CN" w:bidi="ar-SA"/>
              </w:rPr>
              <w:t>）发生事故时，及时启动相应的应急预案，采取救援措施，实施应急监测。</w:t>
            </w:r>
          </w:p>
          <w:p w14:paraId="17887256">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b/>
                <w:bCs/>
              </w:rPr>
            </w:pPr>
            <w:r>
              <w:rPr>
                <w:rFonts w:hint="eastAsia"/>
                <w:b/>
                <w:bCs/>
                <w:lang w:val="en-US" w:eastAsia="zh-CN"/>
              </w:rPr>
              <w:t>4.4.5.3</w:t>
            </w:r>
            <w:r>
              <w:rPr>
                <w:rFonts w:hint="eastAsia"/>
                <w:b/>
                <w:bCs/>
              </w:rPr>
              <w:t>事故应急处置措施</w:t>
            </w:r>
          </w:p>
          <w:p w14:paraId="3406FC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b w:val="0"/>
                <w:bCs w:val="0"/>
                <w:lang w:eastAsia="zh-CN"/>
              </w:rPr>
            </w:pPr>
            <w:r>
              <w:rPr>
                <w:rFonts w:hint="eastAsia"/>
                <w:lang w:eastAsia="zh-CN"/>
              </w:rPr>
              <w:t>（</w:t>
            </w:r>
            <w:r>
              <w:rPr>
                <w:rFonts w:hint="eastAsia"/>
                <w:lang w:val="en-US" w:eastAsia="zh-CN"/>
              </w:rPr>
              <w:t>1）</w:t>
            </w:r>
            <w:r>
              <w:rPr>
                <w:rFonts w:hint="eastAsia"/>
                <w:b w:val="0"/>
                <w:bCs w:val="0"/>
              </w:rPr>
              <w:t>站区发生火灾爆炸事故</w:t>
            </w:r>
            <w:r>
              <w:rPr>
                <w:rFonts w:hint="eastAsia"/>
                <w:b w:val="0"/>
                <w:bCs w:val="0"/>
                <w:lang w:eastAsia="zh-CN"/>
              </w:rPr>
              <w:t>：</w:t>
            </w:r>
          </w:p>
          <w:p w14:paraId="2FF11E3D">
            <w:pPr>
              <w:keepNext w:val="0"/>
              <w:keepLines w:val="0"/>
              <w:pageBreakBefore w:val="0"/>
              <w:widowControl w:val="0"/>
              <w:tabs>
                <w:tab w:val="left" w:pos="924"/>
              </w:tabs>
              <w:kinsoku/>
              <w:wordWrap/>
              <w:overflowPunct/>
              <w:topLinePunct w:val="0"/>
              <w:autoSpaceDE/>
              <w:autoSpaceDN/>
              <w:bidi w:val="0"/>
              <w:adjustRightInd/>
              <w:snapToGrid/>
              <w:ind w:firstLine="480"/>
              <w:textAlignment w:val="auto"/>
            </w:pPr>
            <w:r>
              <w:rPr>
                <w:rFonts w:hint="eastAsia" w:ascii="宋体" w:hAnsi="宋体" w:eastAsia="宋体" w:cs="宋体"/>
                <w:lang w:val="en-US" w:eastAsia="zh-CN"/>
              </w:rPr>
              <w:t>①</w:t>
            </w:r>
            <w:r>
              <w:t>发生火灾，现场人员要按照平时消防演练的要求启动应急预案，组织人员进行自救，尽可能把火势控制在初始阶段；加油站一旦大面积失火，现场人员要立即关闭油源、电源、闸阀，向当地消防部门求助；同时用石棉被包裹住罐口、通气管和加油机，迅速疏散站内车辆和闲散人员；</w:t>
            </w:r>
          </w:p>
          <w:p w14:paraId="1A412E09">
            <w:pPr>
              <w:keepNext w:val="0"/>
              <w:keepLines w:val="0"/>
              <w:pageBreakBefore w:val="0"/>
              <w:widowControl w:val="0"/>
              <w:tabs>
                <w:tab w:val="left" w:pos="924"/>
              </w:tabs>
              <w:kinsoku/>
              <w:wordWrap/>
              <w:overflowPunct/>
              <w:topLinePunct w:val="0"/>
              <w:autoSpaceDE/>
              <w:autoSpaceDN/>
              <w:bidi w:val="0"/>
              <w:adjustRightInd/>
              <w:snapToGrid/>
              <w:ind w:firstLine="480"/>
              <w:textAlignment w:val="auto"/>
            </w:pPr>
            <w:r>
              <w:rPr>
                <w:rFonts w:hint="eastAsia" w:ascii="宋体" w:hAnsi="宋体" w:eastAsia="宋体" w:cs="宋体"/>
                <w:lang w:val="en-US" w:eastAsia="zh-CN"/>
              </w:rPr>
              <w:t>②</w:t>
            </w:r>
            <w:r>
              <w:t>迅速隔离现场，制止无关人员进入，严防烟火，防止意外；</w:t>
            </w:r>
          </w:p>
          <w:p w14:paraId="1B1B42FF">
            <w:pPr>
              <w:keepNext w:val="0"/>
              <w:keepLines w:val="0"/>
              <w:pageBreakBefore w:val="0"/>
              <w:widowControl w:val="0"/>
              <w:tabs>
                <w:tab w:val="left" w:pos="924"/>
              </w:tabs>
              <w:kinsoku/>
              <w:wordWrap/>
              <w:overflowPunct/>
              <w:topLinePunct w:val="0"/>
              <w:autoSpaceDE/>
              <w:autoSpaceDN/>
              <w:bidi w:val="0"/>
              <w:adjustRightInd/>
              <w:snapToGrid/>
              <w:ind w:firstLine="480"/>
              <w:textAlignment w:val="auto"/>
              <w:rPr>
                <w:rFonts w:hint="eastAsia" w:eastAsia="宋体"/>
                <w:lang w:eastAsia="zh-CN"/>
              </w:rPr>
            </w:pPr>
            <w:r>
              <w:rPr>
                <w:rFonts w:hint="eastAsia" w:ascii="宋体" w:hAnsi="宋体" w:eastAsia="宋体" w:cs="宋体"/>
                <w:lang w:val="en-US" w:eastAsia="zh-CN"/>
              </w:rPr>
              <w:t>③</w:t>
            </w:r>
            <w:r>
              <w:t>发生火苗，立即采取灭火措施，并立即报警</w:t>
            </w:r>
            <w:r>
              <w:rPr>
                <w:rFonts w:hint="eastAsia"/>
                <w:lang w:eastAsia="zh-CN"/>
              </w:rPr>
              <w:t>；</w:t>
            </w:r>
          </w:p>
          <w:p w14:paraId="72403FF1">
            <w:pPr>
              <w:keepNext w:val="0"/>
              <w:keepLines w:val="0"/>
              <w:pageBreakBefore w:val="0"/>
              <w:widowControl w:val="0"/>
              <w:kinsoku/>
              <w:wordWrap/>
              <w:overflowPunct/>
              <w:topLinePunct w:val="0"/>
              <w:autoSpaceDE/>
              <w:autoSpaceDN/>
              <w:bidi w:val="0"/>
              <w:adjustRightInd/>
              <w:snapToGrid/>
              <w:ind w:firstLine="480"/>
              <w:textAlignment w:val="auto"/>
            </w:pPr>
            <w:r>
              <w:rPr>
                <w:rFonts w:hint="eastAsia" w:ascii="宋体" w:hAnsi="宋体" w:eastAsia="宋体" w:cs="宋体"/>
                <w:lang w:val="en-US" w:eastAsia="zh-CN"/>
              </w:rPr>
              <w:t>④</w:t>
            </w:r>
            <w:r>
              <w:rPr>
                <w:rFonts w:hint="eastAsia"/>
                <w:color w:val="000000" w:themeColor="text1"/>
                <w14:textFill>
                  <w14:solidFill>
                    <w14:schemeClr w14:val="tx1"/>
                  </w14:solidFill>
                </w14:textFill>
              </w:rPr>
              <w:t>将产生的事故废水、消防废水等委托有资质的单位拉运处理，防止泄漏物料和污染消防水造成的环境污染。</w:t>
            </w:r>
          </w:p>
          <w:p w14:paraId="5414E543">
            <w:pPr>
              <w:keepNext w:val="0"/>
              <w:keepLines w:val="0"/>
              <w:pageBreakBefore w:val="0"/>
              <w:widowControl w:val="0"/>
              <w:tabs>
                <w:tab w:val="left" w:pos="924"/>
              </w:tabs>
              <w:kinsoku/>
              <w:wordWrap/>
              <w:overflowPunct/>
              <w:topLinePunct w:val="0"/>
              <w:autoSpaceDE/>
              <w:autoSpaceDN/>
              <w:bidi w:val="0"/>
              <w:adjustRightInd/>
              <w:snapToGrid/>
              <w:ind w:firstLine="480"/>
              <w:textAlignment w:val="auto"/>
            </w:pPr>
            <w:r>
              <w:rPr>
                <w:rFonts w:hint="eastAsia"/>
                <w:lang w:eastAsia="zh-CN"/>
              </w:rPr>
              <w:t>（</w:t>
            </w:r>
            <w:r>
              <w:rPr>
                <w:rFonts w:hint="eastAsia"/>
                <w:lang w:val="en-US" w:eastAsia="zh-CN"/>
              </w:rPr>
              <w:t>2）</w:t>
            </w:r>
            <w:r>
              <w:t>储油罐冒罐应急处置措施</w:t>
            </w:r>
          </w:p>
          <w:p w14:paraId="4D68ECC2">
            <w:pPr>
              <w:tabs>
                <w:tab w:val="left" w:pos="924"/>
              </w:tabs>
              <w:ind w:firstLine="480"/>
            </w:pPr>
            <w:r>
              <w:t>①当储油罐冒罐时计量保管员及时关闭油罐卸油阀，切断总电源，停止营业，并向班长汇报；</w:t>
            </w:r>
          </w:p>
          <w:p w14:paraId="6AE2CB52">
            <w:pPr>
              <w:tabs>
                <w:tab w:val="left" w:pos="924"/>
              </w:tabs>
              <w:ind w:firstLine="480"/>
            </w:pPr>
            <w:r>
              <w:t>②必要时报告公安消防部门，以便临时封堵附近的交通道路；班长及时组织人员进行现场警戒，疏散站内人员，推出站内车辆，检查并消除附近的一切火源；制止其他车辆和人员进入加油站；</w:t>
            </w:r>
          </w:p>
          <w:p w14:paraId="1A85B93B">
            <w:pPr>
              <w:tabs>
                <w:tab w:val="left" w:pos="924"/>
              </w:tabs>
              <w:ind w:firstLine="480"/>
            </w:pPr>
            <w:r>
              <w:t>③在溢油处上风向，布置消防器材；</w:t>
            </w:r>
          </w:p>
          <w:p w14:paraId="63904A7B">
            <w:pPr>
              <w:tabs>
                <w:tab w:val="left" w:pos="924"/>
              </w:tabs>
              <w:ind w:firstLine="480"/>
            </w:pPr>
            <w:r>
              <w:t>④对现场已冒油品沙土等围住，并进行必要的回收，禁止用铁制等易产生火花的器具作回收工具。回收后用沙土覆盖残留油品，待充分吸收残油后将沙土清除干净；</w:t>
            </w:r>
          </w:p>
          <w:p w14:paraId="1E70D2AE">
            <w:pPr>
              <w:tabs>
                <w:tab w:val="left" w:pos="924"/>
              </w:tabs>
              <w:ind w:firstLine="480"/>
            </w:pPr>
            <w:r>
              <w:t>⑤给被油品溅泼的人员提供援助；通知毗邻单位或居民，注意危险；</w:t>
            </w:r>
          </w:p>
          <w:p w14:paraId="05B60A06">
            <w:pPr>
              <w:tabs>
                <w:tab w:val="left" w:pos="924"/>
              </w:tabs>
              <w:ind w:firstLine="480"/>
            </w:pPr>
            <w:r>
              <w:t>⑥检查现场是否有残油，若有残油应及时清理干净，并检查其他可能产生危险的区域是否有隐患存在；</w:t>
            </w:r>
          </w:p>
          <w:p w14:paraId="22B68053">
            <w:pPr>
              <w:tabs>
                <w:tab w:val="left" w:pos="924"/>
              </w:tabs>
              <w:ind w:firstLine="480"/>
            </w:pPr>
            <w:r>
              <w:t>⑦计量确定跑冒油损失数量，做好记录</w:t>
            </w:r>
            <w:r>
              <w:rPr>
                <w:rFonts w:hint="eastAsia"/>
                <w:lang w:eastAsia="zh-CN"/>
              </w:rPr>
              <w:t>台账</w:t>
            </w:r>
            <w:r>
              <w:t>；</w:t>
            </w:r>
          </w:p>
          <w:p w14:paraId="659A5F59">
            <w:pPr>
              <w:tabs>
                <w:tab w:val="left" w:pos="924"/>
              </w:tabs>
              <w:ind w:firstLine="480"/>
            </w:pPr>
            <w:r>
              <w:t>⑧检查确认无其他隐患后，方可恢复营业。</w:t>
            </w:r>
          </w:p>
          <w:p w14:paraId="4644F2FC">
            <w:pPr>
              <w:tabs>
                <w:tab w:val="left" w:pos="924"/>
              </w:tabs>
              <w:ind w:firstLine="480"/>
            </w:pPr>
            <w:r>
              <w:rPr>
                <w:rFonts w:hint="eastAsia"/>
                <w:lang w:eastAsia="zh-CN"/>
              </w:rPr>
              <w:t>（</w:t>
            </w:r>
            <w:r>
              <w:rPr>
                <w:rFonts w:hint="eastAsia"/>
                <w:lang w:val="en-US" w:eastAsia="zh-CN"/>
              </w:rPr>
              <w:t>3</w:t>
            </w:r>
            <w:r>
              <w:rPr>
                <w:rFonts w:hint="eastAsia"/>
                <w:lang w:eastAsia="zh-CN"/>
              </w:rPr>
              <w:t>）</w:t>
            </w:r>
            <w:r>
              <w:t>加油机跑油应急处置措施</w:t>
            </w:r>
          </w:p>
          <w:p w14:paraId="588D91C5">
            <w:pPr>
              <w:tabs>
                <w:tab w:val="left" w:pos="924"/>
              </w:tabs>
              <w:ind w:firstLine="480"/>
            </w:pPr>
            <w:r>
              <w:t>①加油员应立即停止加油，放空回油，关闭加油阀，切断加油机电源；</w:t>
            </w:r>
          </w:p>
          <w:p w14:paraId="16C3DE68">
            <w:pPr>
              <w:tabs>
                <w:tab w:val="left" w:pos="924"/>
              </w:tabs>
              <w:ind w:firstLine="480"/>
            </w:pPr>
            <w:r>
              <w:t>②暂停所有加油活动，其他加油员将加油车辆推离加油岛，现场经理或当班安全员负责疏散周围车辆和闲散人员，并指派一名加油员现场警戒；</w:t>
            </w:r>
          </w:p>
          <w:p w14:paraId="6EEA3E53">
            <w:pPr>
              <w:tabs>
                <w:tab w:val="left" w:pos="924"/>
              </w:tabs>
              <w:ind w:firstLine="480"/>
            </w:pPr>
            <w:r>
              <w:t>③其他加油员用棉纱、拖把等进行必要的回收，严禁用铁制、塑料等易产生火花的器皿进行回收，回收后用沙土覆盖残留油面，待充分吸收残油后将沙土清除干净；</w:t>
            </w:r>
          </w:p>
          <w:p w14:paraId="0C6959A1">
            <w:pPr>
              <w:keepNext w:val="0"/>
              <w:keepLines w:val="0"/>
              <w:pageBreakBefore w:val="0"/>
              <w:widowControl w:val="0"/>
              <w:tabs>
                <w:tab w:val="left" w:pos="924"/>
              </w:tabs>
              <w:kinsoku/>
              <w:wordWrap/>
              <w:overflowPunct/>
              <w:topLinePunct w:val="0"/>
              <w:autoSpaceDE/>
              <w:autoSpaceDN/>
              <w:bidi w:val="0"/>
              <w:adjustRightInd/>
              <w:snapToGrid/>
              <w:ind w:firstLine="480"/>
              <w:textAlignment w:val="auto"/>
            </w:pPr>
            <w:r>
              <w:t>④现场经理根据跑油状况记录跑油数量，及时做好记录并逐级汇报；</w:t>
            </w:r>
          </w:p>
          <w:p w14:paraId="2E7B9D2E">
            <w:pPr>
              <w:keepNext w:val="0"/>
              <w:keepLines w:val="0"/>
              <w:pageBreakBefore w:val="0"/>
              <w:widowControl w:val="0"/>
              <w:tabs>
                <w:tab w:val="left" w:pos="924"/>
              </w:tabs>
              <w:kinsoku/>
              <w:wordWrap/>
              <w:overflowPunct/>
              <w:topLinePunct w:val="0"/>
              <w:autoSpaceDE/>
              <w:autoSpaceDN/>
              <w:bidi w:val="0"/>
              <w:adjustRightInd/>
              <w:snapToGrid/>
              <w:ind w:firstLine="480"/>
              <w:textAlignment w:val="auto"/>
            </w:pPr>
            <w:r>
              <w:t>⑤地面油品处理干净后，现场经理宣布恢复加油作业。</w:t>
            </w:r>
          </w:p>
          <w:p w14:paraId="6828D075">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eastAsia="宋体"/>
                <w:b w:val="0"/>
                <w:bCs w:val="0"/>
                <w:lang w:eastAsia="zh-CN"/>
              </w:rPr>
            </w:pPr>
            <w:r>
              <w:rPr>
                <w:rFonts w:hint="eastAsia"/>
                <w:b w:val="0"/>
                <w:bCs w:val="0"/>
                <w:lang w:eastAsia="zh-CN"/>
              </w:rPr>
              <w:t>（</w:t>
            </w:r>
            <w:r>
              <w:rPr>
                <w:rFonts w:hint="eastAsia"/>
                <w:b w:val="0"/>
                <w:bCs w:val="0"/>
                <w:lang w:val="en-US" w:eastAsia="zh-CN"/>
              </w:rPr>
              <w:t>4）</w:t>
            </w:r>
            <w:r>
              <w:rPr>
                <w:rFonts w:hint="eastAsia"/>
                <w:b w:val="0"/>
                <w:bCs w:val="0"/>
              </w:rPr>
              <w:t>三级防控措施</w:t>
            </w:r>
            <w:r>
              <w:rPr>
                <w:rFonts w:hint="eastAsia"/>
                <w:b w:val="0"/>
                <w:bCs w:val="0"/>
                <w:lang w:eastAsia="zh-CN"/>
              </w:rPr>
              <w:t>：</w:t>
            </w:r>
          </w:p>
          <w:p w14:paraId="7DC6CC0F">
            <w:pPr>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“三级防控”主要指“源头、过程、末端”三个环节的环境风险控制措施体系，坚持以防为主、防控结合。</w:t>
            </w:r>
          </w:p>
          <w:p w14:paraId="54198DF4">
            <w:pPr>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rFonts w:hint="eastAsia"/>
                <w:color w:val="000000" w:themeColor="text1"/>
                <w14:textFill>
                  <w14:solidFill>
                    <w14:schemeClr w14:val="tx1"/>
                  </w14:solidFill>
                </w14:textFill>
              </w:rPr>
              <w:t>一级预防与控制体系：主要生产装置内设有导流设施，用于事故状态下污水的收集，防止事故水的漫流，当出现事故后，消防灭火过程中产生的消防污水首先被拦截在装置区内。</w:t>
            </w:r>
          </w:p>
          <w:p w14:paraId="2136D236">
            <w:pPr>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hint="eastAsia"/>
                <w:color w:val="000000" w:themeColor="text1"/>
                <w14:textFill>
                  <w14:solidFill>
                    <w14:schemeClr w14:val="tx1"/>
                  </w14:solidFill>
                </w14:textFill>
              </w:rPr>
              <w:t>二级预防与控制体系：设置区域截流分流设施，储存区边界雨排沟等，设置事故闸板，用于事故态下的污水的收集，</w:t>
            </w:r>
            <w:r>
              <w:rPr>
                <w:rFonts w:hint="eastAsia"/>
                <w:color w:val="000000" w:themeColor="text1"/>
                <w:lang w:eastAsia="zh-CN"/>
                <w14:textFill>
                  <w14:solidFill>
                    <w14:schemeClr w14:val="tx1"/>
                  </w14:solidFill>
                </w14:textFill>
              </w:rPr>
              <w:t>防止事故</w:t>
            </w:r>
            <w:r>
              <w:rPr>
                <w:rFonts w:hint="eastAsia"/>
                <w:color w:val="000000" w:themeColor="text1"/>
                <w14:textFill>
                  <w14:solidFill>
                    <w14:schemeClr w14:val="tx1"/>
                  </w14:solidFill>
                </w14:textFill>
              </w:rPr>
              <w:t>水的漫流。小型事故时，及时关闭区内闸板和装置边界雨排沟通往厂外排洪沟的闸板，截流污染物，进入厂内事故水池，使污染控制在本区域内，避免污染扩散。</w:t>
            </w:r>
          </w:p>
          <w:p w14:paraId="14723C9F">
            <w:pPr>
              <w:ind w:firstLine="480"/>
              <w:rPr>
                <w:b/>
                <w:bCs/>
              </w:rPr>
            </w:pPr>
            <w:r>
              <w:rPr>
                <w:rFonts w:hint="eastAsia" w:ascii="宋体" w:hAnsi="宋体" w:eastAsia="宋体" w:cs="宋体"/>
                <w:color w:val="000000" w:themeColor="text1"/>
                <w14:textFill>
                  <w14:solidFill>
                    <w14:schemeClr w14:val="tx1"/>
                  </w14:solidFill>
                </w14:textFill>
              </w:rPr>
              <w:t>③</w:t>
            </w:r>
            <w:r>
              <w:rPr>
                <w:rFonts w:hint="eastAsia"/>
                <w:color w:val="000000" w:themeColor="text1"/>
                <w14:textFill>
                  <w14:solidFill>
                    <w14:schemeClr w14:val="tx1"/>
                  </w14:solidFill>
                </w14:textFill>
              </w:rPr>
              <w:t>三级预防与控制体系：将产生的事故废水、消防废水等委托有资质的单位拉运处理的三级预防控制措施，防止重大生产事故泄漏物料和污染消防水造成的环境污染。</w:t>
            </w:r>
          </w:p>
          <w:p w14:paraId="4F04492F">
            <w:pPr>
              <w:ind w:firstLine="0" w:firstLineChars="0"/>
              <w:rPr>
                <w:b/>
                <w:bCs/>
              </w:rPr>
            </w:pPr>
            <w:r>
              <w:rPr>
                <w:rFonts w:hint="eastAsia"/>
                <w:b/>
                <w:bCs/>
                <w:lang w:val="en-US" w:eastAsia="zh-CN"/>
              </w:rPr>
              <w:t>4.4.5.4</w:t>
            </w:r>
            <w:r>
              <w:rPr>
                <w:rFonts w:hint="eastAsia"/>
                <w:b/>
                <w:bCs/>
              </w:rPr>
              <w:t>其他风险防范措施</w:t>
            </w:r>
          </w:p>
          <w:p w14:paraId="407D0A9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（1）完善危险物质贮存设施，加强对物料储存、使用的安全管理和检查，避免物料出现泄漏。</w:t>
            </w:r>
          </w:p>
          <w:p w14:paraId="7721735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（2）落实安全检查制度，定期检查，排除火灾隐患；加强厂区消防检查和管理，在厂区按照消防要求设置灭火器材。</w:t>
            </w:r>
          </w:p>
          <w:p w14:paraId="52E1B24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（3）要加强对各岗位员工进行风险意识、风险知识、安全技能、规章制度、应变能力等素质等各方面的培训和教育。</w:t>
            </w:r>
          </w:p>
          <w:p w14:paraId="5BF8F93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（4）企业应当按照安全监督管理部门和消防部门要求，严格执行相关风险控制措施。</w:t>
            </w:r>
          </w:p>
          <w:p w14:paraId="0041CB1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（5）企业编制突发环境事件应急预案，配备应急器材，在发生泄漏、火灾等事故时控制泄漏物和消防废水进入下水道，企业完善突发环境事故应急措施。</w:t>
            </w:r>
          </w:p>
          <w:p w14:paraId="779B2F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（6）做好总图布置和建筑物安全防范措施。</w:t>
            </w:r>
          </w:p>
          <w:p w14:paraId="0D63BF3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（7）准备各项应急救援物资。</w:t>
            </w:r>
          </w:p>
          <w:p w14:paraId="73FD969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（8）项目区禁止吸烟，远离火源、热源、电源，无产生火花的条件。</w:t>
            </w:r>
          </w:p>
          <w:p w14:paraId="1537B943">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4.4.6环境风险分析结论及建议</w:t>
            </w:r>
          </w:p>
          <w:p w14:paraId="7D0DE1A5">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highlight w:val="none"/>
              </w:rPr>
            </w:pPr>
            <w:r>
              <w:rPr>
                <w:rFonts w:hint="eastAsia"/>
                <w:highlight w:val="none"/>
              </w:rPr>
              <w:t>本项目具有一定的环境风险，但是</w:t>
            </w:r>
            <w:r>
              <w:rPr>
                <w:rFonts w:hint="eastAsia"/>
                <w:highlight w:val="none"/>
                <w:lang w:val="en-US" w:eastAsia="zh-CN"/>
              </w:rPr>
              <w:t>设计工艺成熟，</w:t>
            </w:r>
            <w:r>
              <w:rPr>
                <w:rFonts w:hint="eastAsia"/>
                <w:highlight w:val="none"/>
              </w:rPr>
              <w:t>发生风险事故的可能性较小，即使发生风险，也能控制在可接受的范围内，因此，本项目的环境风险影响较小。</w:t>
            </w:r>
          </w:p>
          <w:p w14:paraId="644A198A">
            <w:pPr>
              <w:pStyle w:val="28"/>
              <w:spacing w:before="156"/>
              <w:ind w:firstLine="422"/>
            </w:pPr>
            <w:r>
              <w:rPr>
                <w:rFonts w:hint="eastAsia"/>
              </w:rPr>
              <w:t>表</w:t>
            </w:r>
            <w:r>
              <w:rPr>
                <w:rFonts w:hint="eastAsia"/>
                <w:lang w:val="en-US" w:eastAsia="zh-CN"/>
              </w:rPr>
              <w:t xml:space="preserve">4-15 </w:t>
            </w:r>
            <w:r>
              <w:t xml:space="preserve"> </w:t>
            </w:r>
            <w:r>
              <w:rPr>
                <w:rFonts w:hint="eastAsia"/>
              </w:rPr>
              <w:t>建设项目环境风险简单分析内容表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325"/>
            </w:tblGrid>
            <w:tr w14:paraId="24198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pct"/>
                  <w:tcBorders>
                    <w:tl2br w:val="nil"/>
                    <w:tr2bl w:val="nil"/>
                  </w:tcBorders>
                  <w:vAlign w:val="center"/>
                </w:tcPr>
                <w:p w14:paraId="630FCA9C">
                  <w:pPr>
                    <w:pStyle w:val="32"/>
                  </w:pPr>
                  <w:r>
                    <w:rPr>
                      <w:rFonts w:hint="eastAsia"/>
                    </w:rPr>
                    <w:t>建设项目名称</w:t>
                  </w:r>
                </w:p>
              </w:tc>
              <w:tc>
                <w:tcPr>
                  <w:tcW w:w="3799" w:type="pct"/>
                  <w:tcBorders>
                    <w:tl2br w:val="nil"/>
                    <w:tr2bl w:val="nil"/>
                  </w:tcBorders>
                  <w:vAlign w:val="center"/>
                </w:tcPr>
                <w:p w14:paraId="0AD2ECFC">
                  <w:pPr>
                    <w:pStyle w:val="32"/>
                    <w:rPr>
                      <w:rFonts w:hint="eastAsia" w:eastAsia="宋体"/>
                      <w:lang w:eastAsia="zh-CN"/>
                    </w:rPr>
                  </w:pPr>
                  <w:r>
                    <w:rPr>
                      <w:rFonts w:hint="eastAsia"/>
                      <w:lang w:eastAsia="zh-CN"/>
                    </w:rPr>
                    <w:t>和顺物流能源站建设项目</w:t>
                  </w:r>
                </w:p>
              </w:tc>
            </w:tr>
            <w:tr w14:paraId="0E8E2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pct"/>
                  <w:tcBorders>
                    <w:tl2br w:val="nil"/>
                    <w:tr2bl w:val="nil"/>
                  </w:tcBorders>
                  <w:vAlign w:val="center"/>
                </w:tcPr>
                <w:p w14:paraId="3D12A482">
                  <w:pPr>
                    <w:pStyle w:val="32"/>
                  </w:pPr>
                  <w:r>
                    <w:rPr>
                      <w:rFonts w:hint="eastAsia"/>
                    </w:rPr>
                    <w:t>建设地点</w:t>
                  </w:r>
                </w:p>
              </w:tc>
              <w:tc>
                <w:tcPr>
                  <w:tcW w:w="3799" w:type="pct"/>
                  <w:tcBorders>
                    <w:tl2br w:val="nil"/>
                    <w:tr2bl w:val="nil"/>
                  </w:tcBorders>
                  <w:vAlign w:val="center"/>
                </w:tcPr>
                <w:p w14:paraId="3270932A">
                  <w:pPr>
                    <w:pStyle w:val="32"/>
                  </w:pPr>
                  <w:r>
                    <w:t>新疆维吾尔自治区巴音郭楞蒙古自治州</w:t>
                  </w:r>
                  <w:r>
                    <w:rPr>
                      <w:rFonts w:hint="eastAsia"/>
                      <w:lang w:val="en-US" w:eastAsia="zh-CN"/>
                    </w:rPr>
                    <w:t>库尔勒市和顺市场东侧</w:t>
                  </w:r>
                </w:p>
              </w:tc>
            </w:tr>
            <w:tr w14:paraId="6FBB4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pct"/>
                  <w:tcBorders>
                    <w:tl2br w:val="nil"/>
                    <w:tr2bl w:val="nil"/>
                  </w:tcBorders>
                  <w:vAlign w:val="center"/>
                </w:tcPr>
                <w:p w14:paraId="032E04CF">
                  <w:pPr>
                    <w:pStyle w:val="32"/>
                  </w:pPr>
                  <w:r>
                    <w:rPr>
                      <w:rFonts w:hint="eastAsia"/>
                    </w:rPr>
                    <w:t>地理坐标</w:t>
                  </w:r>
                </w:p>
              </w:tc>
              <w:tc>
                <w:tcPr>
                  <w:tcW w:w="3799" w:type="pct"/>
                  <w:tcBorders>
                    <w:tl2br w:val="nil"/>
                    <w:tr2bl w:val="nil"/>
                  </w:tcBorders>
                  <w:vAlign w:val="center"/>
                </w:tcPr>
                <w:p w14:paraId="283F55BE">
                  <w:pPr>
                    <w:pStyle w:val="32"/>
                  </w:pPr>
                  <w:r>
                    <w:rPr>
                      <w:rFonts w:hint="eastAsia"/>
                      <w:szCs w:val="22"/>
                      <w:lang w:val="en-US" w:eastAsia="zh-CN"/>
                    </w:rPr>
                    <w:t xml:space="preserve">E </w:t>
                  </w:r>
                  <w:r>
                    <w:rPr>
                      <w:rFonts w:hint="eastAsia"/>
                      <w:szCs w:val="22"/>
                    </w:rPr>
                    <w:t>8</w:t>
                  </w:r>
                  <w:r>
                    <w:rPr>
                      <w:rFonts w:hint="eastAsia"/>
                      <w:szCs w:val="22"/>
                      <w:lang w:val="en-US" w:eastAsia="zh-CN"/>
                    </w:rPr>
                    <w:t>6</w:t>
                  </w:r>
                  <w:r>
                    <w:rPr>
                      <w:rFonts w:hint="eastAsia"/>
                      <w:szCs w:val="22"/>
                    </w:rPr>
                    <w:t>°1</w:t>
                  </w:r>
                  <w:r>
                    <w:rPr>
                      <w:rFonts w:hint="eastAsia"/>
                      <w:szCs w:val="22"/>
                      <w:lang w:val="en-US" w:eastAsia="zh-CN"/>
                    </w:rPr>
                    <w:t>5</w:t>
                  </w:r>
                  <w:r>
                    <w:rPr>
                      <w:rFonts w:hint="eastAsia"/>
                      <w:szCs w:val="22"/>
                    </w:rPr>
                    <w:t>′</w:t>
                  </w:r>
                  <w:r>
                    <w:rPr>
                      <w:rFonts w:hint="eastAsia"/>
                      <w:szCs w:val="22"/>
                      <w:lang w:val="en-US" w:eastAsia="zh-CN"/>
                    </w:rPr>
                    <w:t>7.051</w:t>
                  </w:r>
                  <w:r>
                    <w:rPr>
                      <w:rFonts w:hint="eastAsia"/>
                      <w:szCs w:val="22"/>
                    </w:rPr>
                    <w:t>"</w:t>
                  </w:r>
                  <w:r>
                    <w:rPr>
                      <w:szCs w:val="22"/>
                    </w:rPr>
                    <w:t>，</w:t>
                  </w:r>
                  <w:r>
                    <w:rPr>
                      <w:rFonts w:hint="eastAsia"/>
                      <w:szCs w:val="22"/>
                      <w:lang w:val="en-US" w:eastAsia="zh-CN"/>
                    </w:rPr>
                    <w:t xml:space="preserve">N </w:t>
                  </w:r>
                  <w:r>
                    <w:rPr>
                      <w:rFonts w:hint="eastAsia"/>
                      <w:szCs w:val="22"/>
                    </w:rPr>
                    <w:t>4</w:t>
                  </w:r>
                  <w:r>
                    <w:rPr>
                      <w:rFonts w:hint="eastAsia"/>
                      <w:szCs w:val="22"/>
                      <w:lang w:val="en-US" w:eastAsia="zh-CN"/>
                    </w:rPr>
                    <w:t>1</w:t>
                  </w:r>
                  <w:r>
                    <w:rPr>
                      <w:rFonts w:hint="eastAsia"/>
                      <w:szCs w:val="22"/>
                    </w:rPr>
                    <w:t>°</w:t>
                  </w:r>
                  <w:r>
                    <w:rPr>
                      <w:rFonts w:hint="eastAsia"/>
                      <w:szCs w:val="22"/>
                      <w:lang w:val="en-US" w:eastAsia="zh-CN"/>
                    </w:rPr>
                    <w:t>43</w:t>
                  </w:r>
                  <w:r>
                    <w:rPr>
                      <w:rFonts w:hint="eastAsia"/>
                      <w:szCs w:val="22"/>
                    </w:rPr>
                    <w:t>′</w:t>
                  </w:r>
                  <w:r>
                    <w:rPr>
                      <w:rFonts w:hint="eastAsia"/>
                      <w:szCs w:val="22"/>
                      <w:lang w:val="en-US" w:eastAsia="zh-CN"/>
                    </w:rPr>
                    <w:t>56.180</w:t>
                  </w:r>
                  <w:r>
                    <w:rPr>
                      <w:rFonts w:hint="eastAsia"/>
                      <w:szCs w:val="22"/>
                    </w:rPr>
                    <w:t>"</w:t>
                  </w:r>
                </w:p>
              </w:tc>
            </w:tr>
            <w:tr w14:paraId="014E2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pct"/>
                  <w:tcBorders>
                    <w:tl2br w:val="nil"/>
                    <w:tr2bl w:val="nil"/>
                  </w:tcBorders>
                  <w:vAlign w:val="center"/>
                </w:tcPr>
                <w:p w14:paraId="19FB681F">
                  <w:pPr>
                    <w:pStyle w:val="32"/>
                  </w:pPr>
                  <w:r>
                    <w:rPr>
                      <w:rFonts w:hint="eastAsia"/>
                    </w:rPr>
                    <w:t>主要危险物质及分布</w:t>
                  </w:r>
                </w:p>
              </w:tc>
              <w:tc>
                <w:tcPr>
                  <w:tcW w:w="3799" w:type="pct"/>
                  <w:tcBorders>
                    <w:tl2br w:val="nil"/>
                    <w:tr2bl w:val="nil"/>
                  </w:tcBorders>
                  <w:vAlign w:val="center"/>
                </w:tcPr>
                <w:p w14:paraId="64BE1E43">
                  <w:pPr>
                    <w:pStyle w:val="32"/>
                  </w:pPr>
                  <w:r>
                    <w:rPr>
                      <w:rFonts w:hint="eastAsia"/>
                    </w:rPr>
                    <w:t>本项目建设1座30m</w:t>
                  </w:r>
                  <w:r>
                    <w:rPr>
                      <w:rFonts w:hint="eastAsia"/>
                      <w:vertAlign w:val="superscript"/>
                    </w:rPr>
                    <w:t>3</w:t>
                  </w:r>
                  <w:r>
                    <w:rPr>
                      <w:rFonts w:hint="eastAsia"/>
                    </w:rPr>
                    <w:t>SF双层埋地汽油罐、1座25m</w:t>
                  </w:r>
                  <w:r>
                    <w:rPr>
                      <w:rFonts w:hint="eastAsia"/>
                      <w:vertAlign w:val="superscript"/>
                    </w:rPr>
                    <w:t>3</w:t>
                  </w:r>
                  <w:r>
                    <w:rPr>
                      <w:rFonts w:hint="eastAsia"/>
                    </w:rPr>
                    <w:t>SF双层埋地汽油罐、2座30m</w:t>
                  </w:r>
                  <w:r>
                    <w:rPr>
                      <w:rFonts w:hint="eastAsia"/>
                      <w:vertAlign w:val="superscript"/>
                    </w:rPr>
                    <w:t>3</w:t>
                  </w:r>
                  <w:r>
                    <w:rPr>
                      <w:rFonts w:hint="eastAsia"/>
                    </w:rPr>
                    <w:t>SF双层埋地柴油罐</w:t>
                  </w:r>
                </w:p>
              </w:tc>
            </w:tr>
            <w:tr w14:paraId="0C8C5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pct"/>
                  <w:tcBorders>
                    <w:tl2br w:val="nil"/>
                    <w:tr2bl w:val="nil"/>
                  </w:tcBorders>
                  <w:vAlign w:val="center"/>
                </w:tcPr>
                <w:p w14:paraId="0C44962C">
                  <w:pPr>
                    <w:pStyle w:val="32"/>
                  </w:pPr>
                  <w:r>
                    <w:rPr>
                      <w:rFonts w:hint="eastAsia"/>
                    </w:rPr>
                    <w:t>环境影响途径及危害后果</w:t>
                  </w:r>
                </w:p>
              </w:tc>
              <w:tc>
                <w:tcPr>
                  <w:tcW w:w="3799" w:type="pct"/>
                  <w:tcBorders>
                    <w:tl2br w:val="nil"/>
                    <w:tr2bl w:val="nil"/>
                  </w:tcBorders>
                  <w:vAlign w:val="center"/>
                </w:tcPr>
                <w:p w14:paraId="4761F959">
                  <w:pPr>
                    <w:pStyle w:val="32"/>
                  </w:pPr>
                  <w:r>
                    <w:rPr>
                      <w:rFonts w:hint="eastAsia"/>
                    </w:rPr>
                    <w:t>本项目生产过程中涉及的环境风险有汽油、柴油、废润滑油泄漏或油气蒸发，油气与空气混合并达到一定的浓度且现场有明火的情况下，可能发生火灾和爆炸引发的伴生/次生污染物排放，环保设施失效造成大气环境污染。</w:t>
                  </w:r>
                  <w:r>
                    <w:t>本项目各输油管道与油罐</w:t>
                  </w:r>
                  <w:r>
                    <w:rPr>
                      <w:rFonts w:hint="eastAsia"/>
                    </w:rPr>
                    <w:t>泄漏后渗入周边土壤和区域地下水，造成土壤、区域地下水体污染。</w:t>
                  </w:r>
                </w:p>
              </w:tc>
            </w:tr>
            <w:tr w14:paraId="52334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pct"/>
                  <w:tcBorders>
                    <w:tl2br w:val="nil"/>
                    <w:tr2bl w:val="nil"/>
                  </w:tcBorders>
                  <w:vAlign w:val="center"/>
                </w:tcPr>
                <w:p w14:paraId="2E007497">
                  <w:pPr>
                    <w:pStyle w:val="32"/>
                  </w:pPr>
                  <w:r>
                    <w:rPr>
                      <w:rFonts w:hint="eastAsia"/>
                    </w:rPr>
                    <w:t>风险防范措施要求</w:t>
                  </w:r>
                </w:p>
              </w:tc>
              <w:tc>
                <w:tcPr>
                  <w:tcW w:w="3799" w:type="pct"/>
                  <w:tcBorders>
                    <w:tl2br w:val="nil"/>
                    <w:tr2bl w:val="nil"/>
                  </w:tcBorders>
                  <w:vAlign w:val="center"/>
                </w:tcPr>
                <w:p w14:paraId="6890A72C">
                  <w:pPr>
                    <w:pStyle w:val="32"/>
                    <w:jc w:val="left"/>
                  </w:pPr>
                  <w:r>
                    <w:rPr>
                      <w:rFonts w:hint="eastAsia"/>
                    </w:rPr>
                    <w:t>（1）总图布置严格按照《汽车加油加气加氢站技术标准》（GB50156-2021）要求进行设计，严格控制各建筑物、构筑物的安全防护距离；</w:t>
                  </w:r>
                </w:p>
                <w:p w14:paraId="466D22AB">
                  <w:pPr>
                    <w:pStyle w:val="32"/>
                    <w:jc w:val="left"/>
                  </w:pPr>
                  <w:r>
                    <w:rPr>
                      <w:rFonts w:hint="eastAsia"/>
                    </w:rPr>
                    <w:t>（2）按照有关规范设计设置有效的消防系统，做到以防为主，安全可靠；</w:t>
                  </w:r>
                </w:p>
                <w:p w14:paraId="17FB248B">
                  <w:pPr>
                    <w:pStyle w:val="32"/>
                    <w:jc w:val="left"/>
                  </w:pPr>
                  <w:r>
                    <w:rPr>
                      <w:rFonts w:hint="eastAsia"/>
                    </w:rPr>
                    <w:t>（3）工艺设备、运输设施及工艺系统选用高质、高效可靠的产品。加油防爆区电气设备、器材的选型、设计安装符合《爆炸危险环境电力装置设计规范》（GB</w:t>
                  </w:r>
                  <w:r>
                    <w:rPr>
                      <w:rFonts w:hint="eastAsia"/>
                      <w:lang w:val="en-US" w:eastAsia="zh-CN"/>
                    </w:rPr>
                    <w:t>5</w:t>
                  </w:r>
                  <w:r>
                    <w:rPr>
                      <w:rFonts w:hint="eastAsia"/>
                    </w:rPr>
                    <w:t>0058-2014）的规定；</w:t>
                  </w:r>
                </w:p>
                <w:p w14:paraId="0B80563F">
                  <w:pPr>
                    <w:pStyle w:val="32"/>
                    <w:jc w:val="left"/>
                  </w:pPr>
                  <w:r>
                    <w:rPr>
                      <w:rFonts w:hint="eastAsia"/>
                    </w:rPr>
                    <w:t>（4）严格按照《汽车加油加气加氢站技术标准》</w:t>
                  </w:r>
                  <w:r>
                    <w:rPr>
                      <w:rFonts w:hint="eastAsia"/>
                      <w:lang w:eastAsia="zh-CN"/>
                    </w:rPr>
                    <w:t>（</w:t>
                  </w:r>
                  <w:r>
                    <w:rPr>
                      <w:rFonts w:hint="eastAsia"/>
                    </w:rPr>
                    <w:t>GB50156-2021）要求进行罐区防腐防渗工作；</w:t>
                  </w:r>
                </w:p>
                <w:p w14:paraId="6938CC54">
                  <w:pPr>
                    <w:pStyle w:val="32"/>
                    <w:jc w:val="left"/>
                  </w:pPr>
                  <w:r>
                    <w:rPr>
                      <w:rFonts w:hint="eastAsia"/>
                    </w:rPr>
                    <w:t>（5）在管沟敷设油品管道的始端、末端和分支处，设置防静电和防感应雷的</w:t>
                  </w:r>
                  <w:r>
                    <w:rPr>
                      <w:rFonts w:hint="eastAsia"/>
                      <w:lang w:eastAsia="zh-CN"/>
                    </w:rPr>
                    <w:t>连接</w:t>
                  </w:r>
                  <w:r>
                    <w:rPr>
                      <w:rFonts w:hint="eastAsia"/>
                    </w:rPr>
                    <w:t>地装置；</w:t>
                  </w:r>
                </w:p>
                <w:p w14:paraId="638E6644">
                  <w:pPr>
                    <w:pStyle w:val="32"/>
                    <w:jc w:val="left"/>
                  </w:pPr>
                  <w:r>
                    <w:rPr>
                      <w:rFonts w:hint="eastAsia"/>
                    </w:rPr>
                    <w:t>（6）项目的</w:t>
                  </w:r>
                  <w:r>
                    <w:rPr>
                      <w:rFonts w:hint="eastAsia"/>
                      <w:lang w:val="en-US" w:eastAsia="zh-CN"/>
                    </w:rPr>
                    <w:t>土</w:t>
                  </w:r>
                  <w:r>
                    <w:rPr>
                      <w:rFonts w:hint="eastAsia"/>
                    </w:rPr>
                    <w:t>件结构单位在进行结构设计时，采取较大的抗震结构保险系数，增加加油站的抗震能力；</w:t>
                  </w:r>
                </w:p>
                <w:p w14:paraId="355EDE33">
                  <w:pPr>
                    <w:pStyle w:val="32"/>
                    <w:jc w:val="left"/>
                  </w:pPr>
                  <w:r>
                    <w:rPr>
                      <w:rFonts w:hint="eastAsia"/>
                    </w:rPr>
                    <w:t>（7）油罐安装高低液位报警器，减少管线接口，油罐的进出口管道应采用金属软管连接等。</w:t>
                  </w:r>
                </w:p>
                <w:p w14:paraId="778BFF5C">
                  <w:pPr>
                    <w:pStyle w:val="32"/>
                    <w:jc w:val="left"/>
                  </w:pPr>
                  <w:r>
                    <w:t>为更好的防止事故发生，建议项目应采取以下措施：</w:t>
                  </w:r>
                </w:p>
                <w:p w14:paraId="2D879892">
                  <w:pPr>
                    <w:pStyle w:val="32"/>
                    <w:jc w:val="left"/>
                  </w:pPr>
                  <w:r>
                    <w:rPr>
                      <w:rFonts w:hint="eastAsia"/>
                    </w:rPr>
                    <w:t>（1）</w:t>
                  </w:r>
                  <w:r>
                    <w:t>加强油罐与管道系统的管理与维修，使整个油品储存系统处于密闭化、严格防止跑冒滴漏现象发生；</w:t>
                  </w:r>
                </w:p>
                <w:p w14:paraId="05202B32">
                  <w:pPr>
                    <w:pStyle w:val="32"/>
                    <w:jc w:val="left"/>
                  </w:pPr>
                  <w:r>
                    <w:rPr>
                      <w:rFonts w:hint="eastAsia"/>
                    </w:rPr>
                    <w:t>（2）</w:t>
                  </w:r>
                  <w:r>
                    <w:t>项目防火防爆等消防安全措施到位，生产设备、管道、阀门等密封不泄漏，防止物料的跑、冒、滴、漏，加强管理、消除隐患。一旦发生溢油事故，被油品污染的泥土、泥沙、抢险人员使用的棉纱等物品，必须作为危险固废处理，禁止随意</w:t>
                  </w:r>
                  <w:r>
                    <w:rPr>
                      <w:rFonts w:hint="eastAsia"/>
                    </w:rPr>
                    <w:t>丢弃</w:t>
                  </w:r>
                  <w:r>
                    <w:t>。</w:t>
                  </w:r>
                </w:p>
                <w:p w14:paraId="1FCD8183">
                  <w:pPr>
                    <w:pStyle w:val="32"/>
                    <w:jc w:val="left"/>
                  </w:pPr>
                  <w:r>
                    <w:rPr>
                      <w:rFonts w:hint="eastAsia"/>
                    </w:rPr>
                    <w:t>（3）</w:t>
                  </w:r>
                  <w:r>
                    <w:t>加强操作人员的岗位培训</w:t>
                  </w:r>
                  <w:r>
                    <w:rPr>
                      <w:rFonts w:hint="eastAsia"/>
                    </w:rPr>
                    <w:t>，</w:t>
                  </w:r>
                  <w:r>
                    <w:t>严格遵守开、停工规程。对事故易发部位地点，按规定时间巡检，发现问题及早解决</w:t>
                  </w:r>
                  <w:r>
                    <w:rPr>
                      <w:rFonts w:hint="eastAsia"/>
                      <w:lang w:eastAsia="zh-CN"/>
                    </w:rPr>
                    <w:t>，</w:t>
                  </w:r>
                  <w:r>
                    <w:t>把每个工作人员在业务、工作上与消防管理上的职责、责任明确清楚</w:t>
                  </w:r>
                  <w:r>
                    <w:rPr>
                      <w:rFonts w:hint="eastAsia"/>
                    </w:rPr>
                    <w:t>；</w:t>
                  </w:r>
                </w:p>
                <w:p w14:paraId="0119D42D">
                  <w:pPr>
                    <w:pStyle w:val="32"/>
                    <w:jc w:val="left"/>
                  </w:pPr>
                  <w:r>
                    <w:rPr>
                      <w:rFonts w:hint="eastAsia"/>
                    </w:rPr>
                    <w:t>（4）</w:t>
                  </w:r>
                  <w:r>
                    <w:t>对各类储存容器、机电装置、安全设施、消防器材等，进行日常的、定期的、专业的防火安全检查，并将发现的问题落实到人、限期落实整改</w:t>
                  </w:r>
                  <w:r>
                    <w:rPr>
                      <w:rFonts w:hint="eastAsia"/>
                    </w:rPr>
                    <w:t>；</w:t>
                  </w:r>
                </w:p>
                <w:p w14:paraId="75E004E5">
                  <w:pPr>
                    <w:pStyle w:val="32"/>
                    <w:jc w:val="left"/>
                  </w:pPr>
                  <w:r>
                    <w:rPr>
                      <w:rFonts w:hint="eastAsia"/>
                    </w:rPr>
                    <w:t>（5）建立夜间值班巡查制度、火灾报告制度、安全奖惩制度等；</w:t>
                  </w:r>
                </w:p>
                <w:p w14:paraId="6C145B6E">
                  <w:pPr>
                    <w:pStyle w:val="32"/>
                    <w:jc w:val="left"/>
                  </w:pPr>
                  <w:r>
                    <w:rPr>
                      <w:rFonts w:hint="eastAsia"/>
                    </w:rPr>
                    <w:t>（6）项目需编制《突发环境事件应急预案》并备案，并根据要求定期演练，并做好应急预案的修订工作。</w:t>
                  </w:r>
                </w:p>
              </w:tc>
            </w:tr>
            <w:tr w14:paraId="700B8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pct"/>
                  <w:tcBorders>
                    <w:tl2br w:val="nil"/>
                    <w:tr2bl w:val="nil"/>
                  </w:tcBorders>
                  <w:vAlign w:val="center"/>
                </w:tcPr>
                <w:p w14:paraId="451EDE04">
                  <w:pPr>
                    <w:pStyle w:val="32"/>
                  </w:pPr>
                  <w:r>
                    <w:rPr>
                      <w:rFonts w:hint="eastAsia"/>
                    </w:rPr>
                    <w:t>填表说明（列出相关信息及评价说明）：</w:t>
                  </w:r>
                </w:p>
              </w:tc>
              <w:tc>
                <w:tcPr>
                  <w:tcW w:w="3799" w:type="pct"/>
                  <w:tcBorders>
                    <w:tl2br w:val="nil"/>
                    <w:tr2bl w:val="nil"/>
                  </w:tcBorders>
                  <w:vAlign w:val="center"/>
                </w:tcPr>
                <w:p w14:paraId="43ACABDA">
                  <w:pPr>
                    <w:pStyle w:val="32"/>
                  </w:pPr>
                  <w:r>
                    <w:rPr>
                      <w:rFonts w:hint="eastAsia"/>
                    </w:rPr>
                    <w:t>企业认真落实各项防范措施后，本项目环境风险水平可接受，风险防范措施有效可行。</w:t>
                  </w:r>
                </w:p>
              </w:tc>
            </w:tr>
          </w:tbl>
          <w:p w14:paraId="32701F96">
            <w:pPr>
              <w:numPr>
                <w:ilvl w:val="0"/>
                <w:numId w:val="0"/>
              </w:numPr>
              <w:rPr>
                <w:rFonts w:hint="default" w:ascii="Times New Roman" w:hAnsi="Times New Roman" w:eastAsia="宋体" w:cs="Times New Roman"/>
                <w:b/>
                <w:bCs/>
                <w:snapToGrid w:val="0"/>
                <w:sz w:val="24"/>
                <w:szCs w:val="24"/>
                <w:lang w:val="en-US" w:eastAsia="zh-CN" w:bidi="ar-SA"/>
              </w:rPr>
            </w:pPr>
            <w:r>
              <w:rPr>
                <w:rFonts w:hint="default" w:ascii="Times New Roman" w:hAnsi="Times New Roman" w:eastAsia="宋体" w:cs="Times New Roman"/>
                <w:b/>
                <w:bCs/>
                <w:snapToGrid w:val="0"/>
                <w:sz w:val="24"/>
                <w:szCs w:val="24"/>
                <w:lang w:val="en-US" w:eastAsia="zh-CN" w:bidi="ar-SA"/>
              </w:rPr>
              <w:t>4.</w:t>
            </w:r>
            <w:r>
              <w:rPr>
                <w:rFonts w:hint="eastAsia" w:ascii="Times New Roman" w:hAnsi="Times New Roman" w:eastAsia="宋体" w:cs="Times New Roman"/>
                <w:b/>
                <w:bCs/>
                <w:snapToGrid w:val="0"/>
                <w:sz w:val="24"/>
                <w:szCs w:val="24"/>
                <w:lang w:val="en-US" w:eastAsia="zh-CN" w:bidi="ar-SA"/>
              </w:rPr>
              <w:t>5</w:t>
            </w:r>
            <w:r>
              <w:rPr>
                <w:rFonts w:hint="default" w:ascii="Times New Roman" w:hAnsi="Times New Roman" w:eastAsia="宋体" w:cs="Times New Roman"/>
                <w:b/>
                <w:bCs/>
                <w:snapToGrid w:val="0"/>
                <w:sz w:val="24"/>
                <w:szCs w:val="24"/>
                <w:lang w:val="en-US" w:eastAsia="zh-CN" w:bidi="ar-SA"/>
              </w:rPr>
              <w:t>环境管理与监测计划</w:t>
            </w:r>
          </w:p>
          <w:p w14:paraId="3107F298">
            <w:pPr>
              <w:numPr>
                <w:ilvl w:val="0"/>
                <w:numId w:val="0"/>
              </w:num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4.</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环境管理</w:t>
            </w:r>
          </w:p>
          <w:p w14:paraId="190662D8">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环境管理和污染源监测是建设单位内部污染源监督管理的重要组成部分。在企业中建立健全环保机构，加强环保管理工作，开展厂内环境监测、监督，并把环保工作纳入生产管理，有助于控制和减少污染物的排放、促进资源的合理回用，对减轻环境污染、保护环境有着重要意义。</w:t>
            </w:r>
          </w:p>
          <w:p w14:paraId="5749B6AA">
            <w:pPr>
              <w:numPr>
                <w:ilvl w:val="0"/>
                <w:numId w:val="3"/>
              </w:numPr>
              <w:ind w:firstLine="480" w:firstLineChars="200"/>
              <w:rPr>
                <w:rFonts w:ascii="宋体" w:hAnsi="宋体" w:eastAsia="宋体" w:cs="宋体"/>
                <w:sz w:val="24"/>
                <w:szCs w:val="24"/>
              </w:rPr>
            </w:pPr>
            <w:r>
              <w:rPr>
                <w:rFonts w:ascii="宋体" w:hAnsi="宋体" w:eastAsia="宋体" w:cs="宋体"/>
                <w:sz w:val="24"/>
                <w:szCs w:val="24"/>
              </w:rPr>
              <w:t>环境管理为贯彻环境保护法规，促进项目社会效益、经济效益、环境效益的协调统一，对项目污染排放及区域环境质量实行监控，为区域环境管理与环境规划提供科学依据，必须加强企业环境管理与监测工作，建议建设单位至少指派1人负责企业环境管理与监测工作。环境管理采取总经理负责制，具体工作如下：</w:t>
            </w:r>
          </w:p>
          <w:p w14:paraId="52CA8413">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①贯彻执行国家和自治区现行各项环保方针、政策、法规和标准，并认真执行环保行政管理部门下达的各项任务。</w:t>
            </w:r>
          </w:p>
          <w:p w14:paraId="3CE222B8">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②建立各项环境保护规章制度，并经常进行监督检查。</w:t>
            </w:r>
          </w:p>
          <w:p w14:paraId="6FAC0B47">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③定期对各污染源进行检查，请当地环境监测部门对本企业污染源排放情况进行监测，了解各污染源动态，及时发现和掌握企业污染变化情况，从而</w:t>
            </w:r>
            <w:r>
              <w:rPr>
                <w:rFonts w:hint="eastAsia" w:ascii="宋体" w:hAnsi="宋体" w:cs="宋体"/>
                <w:sz w:val="24"/>
                <w:szCs w:val="24"/>
                <w:lang w:eastAsia="zh-CN"/>
              </w:rPr>
              <w:t>制定</w:t>
            </w:r>
            <w:r>
              <w:rPr>
                <w:rFonts w:ascii="宋体" w:hAnsi="宋体" w:eastAsia="宋体" w:cs="宋体"/>
                <w:sz w:val="24"/>
                <w:szCs w:val="24"/>
              </w:rPr>
              <w:t>相应处理措施。</w:t>
            </w:r>
          </w:p>
          <w:p w14:paraId="0ED0CB55">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④加强对污染治理设施的管理、检查及维护，确保污染治理设施正常运行，并把污染治理设施的治理效率按生产指标一样进行考核，以防止污染事故发生。</w:t>
            </w:r>
          </w:p>
          <w:p w14:paraId="75360082">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⑤学习并推广应用先进的环保技术和经验，组织污染治理设施操作人员进行岗前专业技术培训。</w:t>
            </w:r>
          </w:p>
          <w:p w14:paraId="77D3F87C">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⑥对职工进行环保宣传教育，</w:t>
            </w:r>
            <w:r>
              <w:rPr>
                <w:rFonts w:hint="eastAsia" w:ascii="宋体" w:hAnsi="宋体" w:cs="宋体"/>
                <w:sz w:val="24"/>
                <w:szCs w:val="24"/>
                <w:lang w:eastAsia="zh-CN"/>
              </w:rPr>
              <w:t>增强</w:t>
            </w:r>
            <w:r>
              <w:rPr>
                <w:rFonts w:ascii="宋体" w:hAnsi="宋体" w:eastAsia="宋体" w:cs="宋体"/>
                <w:sz w:val="24"/>
                <w:szCs w:val="24"/>
              </w:rPr>
              <w:t>职工环保意识。</w:t>
            </w:r>
          </w:p>
          <w:p w14:paraId="2915302C">
            <w:pPr>
              <w:pStyle w:val="2"/>
              <w:ind w:left="0" w:leftChars="0" w:firstLine="480" w:firstLineChars="200"/>
            </w:pPr>
            <w:r>
              <w:rPr>
                <w:rFonts w:hint="default" w:ascii="Times New Roman" w:hAnsi="Times New Roman" w:eastAsia="宋体" w:cs="Times New Roman"/>
                <w:sz w:val="24"/>
                <w:szCs w:val="24"/>
              </w:rPr>
              <w:t>排污口规范化设置根据国家标准《环境保护图形标志—排放口</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源</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》和国家环保总局《排污口规范化整治要求</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试行》的技术要求，企业所有排放口设置与之相适应的环境保护图形标志牌，绘制企业排污口分布图，排污口的规范化要符合环境监察部门的相关要求。在厂区</w:t>
            </w:r>
            <w:r>
              <w:rPr>
                <w:rFonts w:hint="eastAsia" w:cs="Times New Roman"/>
                <w:sz w:val="24"/>
                <w:szCs w:val="24"/>
                <w:lang w:eastAsia="zh-CN"/>
              </w:rPr>
              <w:t>“</w:t>
            </w:r>
            <w:r>
              <w:rPr>
                <w:rFonts w:hint="default" w:ascii="Times New Roman" w:hAnsi="Times New Roman" w:eastAsia="宋体" w:cs="Times New Roman"/>
                <w:sz w:val="24"/>
                <w:szCs w:val="24"/>
              </w:rPr>
              <w:t>三废</w:t>
            </w:r>
            <w:r>
              <w:rPr>
                <w:rFonts w:hint="eastAsia" w:cs="Times New Roman"/>
                <w:sz w:val="24"/>
                <w:szCs w:val="24"/>
                <w:lang w:eastAsia="zh-CN"/>
              </w:rPr>
              <w:t>”</w:t>
            </w:r>
            <w:r>
              <w:rPr>
                <w:rFonts w:hint="default" w:ascii="Times New Roman" w:hAnsi="Times New Roman" w:eastAsia="宋体" w:cs="Times New Roman"/>
                <w:sz w:val="24"/>
                <w:szCs w:val="24"/>
              </w:rPr>
              <w:t>及噪声排放点，设置明显标志，标志的设置应执行《环境保护图形标志—排放口</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源</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15562.1-1995</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、《环境保护图形标志固体废物贮存</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处置</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场》</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15562.2-1995</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及修改单中有关规定。</w:t>
            </w:r>
          </w:p>
          <w:p w14:paraId="16BD2586">
            <w:pPr>
              <w:ind w:firstLine="0" w:firstLineChars="0"/>
              <w:rPr>
                <w:b/>
                <w:color w:val="000000"/>
                <w:szCs w:val="20"/>
              </w:rPr>
            </w:pPr>
            <w:r>
              <w:rPr>
                <w:rFonts w:hint="eastAsia"/>
                <w:b/>
                <w:color w:val="000000"/>
                <w:szCs w:val="20"/>
                <w:lang w:val="en-US" w:eastAsia="zh-CN"/>
              </w:rPr>
              <w:t>4.5.2</w:t>
            </w:r>
            <w:r>
              <w:rPr>
                <w:rFonts w:hint="eastAsia"/>
                <w:b/>
                <w:color w:val="000000"/>
                <w:szCs w:val="20"/>
              </w:rPr>
              <w:t>监测计划</w:t>
            </w:r>
          </w:p>
          <w:p w14:paraId="7164C6E1">
            <w:pPr>
              <w:ind w:firstLine="480"/>
            </w:pPr>
            <w:r>
              <w:t>根据《排污许可证申请与核发技术规范储油库、加油站》（HJ</w:t>
            </w:r>
            <w:r>
              <w:rPr>
                <w:rFonts w:hint="eastAsia"/>
                <w:lang w:val="en-US" w:eastAsia="zh-CN"/>
              </w:rPr>
              <w:t>1249</w:t>
            </w:r>
            <w:r>
              <w:t>-</w:t>
            </w:r>
            <w:r>
              <w:rPr>
                <w:rFonts w:hint="eastAsia"/>
                <w:lang w:val="en-US" w:eastAsia="zh-CN"/>
              </w:rPr>
              <w:t>2022</w:t>
            </w:r>
            <w:r>
              <w:t>）制定</w:t>
            </w:r>
            <w:r>
              <w:rPr>
                <w:rFonts w:hint="eastAsia"/>
              </w:rPr>
              <w:t>本项目监测方案，详见表4</w:t>
            </w:r>
            <w:r>
              <w:rPr>
                <w:rFonts w:hint="eastAsia"/>
                <w:lang w:val="en-US" w:eastAsia="zh-CN"/>
              </w:rPr>
              <w:t>-16</w:t>
            </w:r>
            <w:r>
              <w:t>。</w:t>
            </w:r>
          </w:p>
          <w:p w14:paraId="7B4C86A2">
            <w:pPr>
              <w:pStyle w:val="28"/>
              <w:spacing w:before="120"/>
              <w:ind w:firstLine="422"/>
            </w:pPr>
            <w:bookmarkStart w:id="21" w:name="_Hlk103020113"/>
            <w:r>
              <w:t>表</w:t>
            </w:r>
            <w:r>
              <w:rPr>
                <w:rFonts w:hint="eastAsia"/>
              </w:rPr>
              <w:t>4</w:t>
            </w:r>
            <w:r>
              <w:rPr>
                <w:rFonts w:hint="eastAsia"/>
                <w:lang w:val="en-US" w:eastAsia="zh-CN"/>
              </w:rPr>
              <w:t xml:space="preserve">-16 </w:t>
            </w:r>
            <w:r>
              <w:t xml:space="preserve"> </w:t>
            </w:r>
            <w:r>
              <w:rPr>
                <w:rFonts w:hint="eastAsia"/>
              </w:rPr>
              <w:t>项目废气自行监测计划</w:t>
            </w:r>
          </w:p>
          <w:tbl>
            <w:tblPr>
              <w:tblStyle w:val="20"/>
              <w:tblW w:w="83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1470"/>
              <w:gridCol w:w="2112"/>
              <w:gridCol w:w="1128"/>
              <w:gridCol w:w="2756"/>
            </w:tblGrid>
            <w:tr w14:paraId="31E79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5" w:type="dxa"/>
                  <w:vAlign w:val="center"/>
                </w:tcPr>
                <w:p w14:paraId="62D75CD7">
                  <w:pPr>
                    <w:pStyle w:val="32"/>
                    <w:rPr>
                      <w:rFonts w:hint="eastAsia" w:eastAsia="宋体"/>
                      <w:lang w:val="en-US" w:eastAsia="zh-CN"/>
                    </w:rPr>
                  </w:pPr>
                  <w:r>
                    <w:rPr>
                      <w:rFonts w:hint="eastAsia"/>
                      <w:lang w:val="en-US" w:eastAsia="zh-CN"/>
                    </w:rPr>
                    <w:t>类别</w:t>
                  </w:r>
                </w:p>
              </w:tc>
              <w:tc>
                <w:tcPr>
                  <w:tcW w:w="1470" w:type="dxa"/>
                  <w:vAlign w:val="center"/>
                </w:tcPr>
                <w:p w14:paraId="481A9B99">
                  <w:pPr>
                    <w:pStyle w:val="32"/>
                    <w:ind w:firstLine="0" w:firstLineChars="0"/>
                  </w:pPr>
                  <w:r>
                    <w:t>监测点位</w:t>
                  </w:r>
                </w:p>
              </w:tc>
              <w:tc>
                <w:tcPr>
                  <w:tcW w:w="2112" w:type="dxa"/>
                  <w:vAlign w:val="center"/>
                </w:tcPr>
                <w:p w14:paraId="627DD3EB">
                  <w:pPr>
                    <w:pStyle w:val="32"/>
                  </w:pPr>
                  <w:r>
                    <w:t>监测项目</w:t>
                  </w:r>
                </w:p>
              </w:tc>
              <w:tc>
                <w:tcPr>
                  <w:tcW w:w="1128" w:type="dxa"/>
                  <w:vAlign w:val="center"/>
                </w:tcPr>
                <w:p w14:paraId="1D4985D6">
                  <w:pPr>
                    <w:pStyle w:val="32"/>
                  </w:pPr>
                  <w:r>
                    <w:t>监测频次</w:t>
                  </w:r>
                </w:p>
              </w:tc>
              <w:tc>
                <w:tcPr>
                  <w:tcW w:w="2756" w:type="dxa"/>
                  <w:vAlign w:val="center"/>
                </w:tcPr>
                <w:p w14:paraId="3F344AC0">
                  <w:pPr>
                    <w:pStyle w:val="32"/>
                  </w:pPr>
                  <w:r>
                    <w:t>执行标准</w:t>
                  </w:r>
                </w:p>
              </w:tc>
            </w:tr>
            <w:tr w14:paraId="26EFB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5" w:type="dxa"/>
                  <w:vMerge w:val="restart"/>
                  <w:vAlign w:val="center"/>
                </w:tcPr>
                <w:p w14:paraId="54C6D2A3">
                  <w:pPr>
                    <w:pStyle w:val="32"/>
                    <w:rPr>
                      <w:rFonts w:hint="eastAsia" w:eastAsia="宋体"/>
                      <w:lang w:val="en-US" w:eastAsia="zh-CN"/>
                    </w:rPr>
                  </w:pPr>
                  <w:r>
                    <w:rPr>
                      <w:rFonts w:hint="eastAsia"/>
                      <w:lang w:val="en-US" w:eastAsia="zh-CN"/>
                    </w:rPr>
                    <w:t>环境空气</w:t>
                  </w:r>
                </w:p>
              </w:tc>
              <w:tc>
                <w:tcPr>
                  <w:tcW w:w="1470" w:type="dxa"/>
                  <w:vAlign w:val="center"/>
                </w:tcPr>
                <w:p w14:paraId="003F9D07">
                  <w:pPr>
                    <w:pStyle w:val="32"/>
                    <w:bidi w:val="0"/>
                    <w:ind w:firstLine="0" w:firstLineChars="0"/>
                    <w:rPr>
                      <w:rFonts w:cs="Times New Roman"/>
                      <w:snapToGrid w:val="0"/>
                      <w:kern w:val="0"/>
                      <w:sz w:val="21"/>
                      <w:szCs w:val="24"/>
                    </w:rPr>
                  </w:pPr>
                  <w:r>
                    <w:rPr>
                      <w:rFonts w:cs="Times New Roman"/>
                      <w:snapToGrid w:val="0"/>
                      <w:kern w:val="0"/>
                      <w:sz w:val="21"/>
                      <w:szCs w:val="24"/>
                    </w:rPr>
                    <w:t>油气回收系统</w:t>
                  </w:r>
                </w:p>
              </w:tc>
              <w:tc>
                <w:tcPr>
                  <w:tcW w:w="2112" w:type="dxa"/>
                  <w:vAlign w:val="center"/>
                </w:tcPr>
                <w:p w14:paraId="7311D00F">
                  <w:pPr>
                    <w:pStyle w:val="32"/>
                    <w:jc w:val="center"/>
                    <w:rPr>
                      <w:rFonts w:hint="default" w:eastAsia="宋体"/>
                      <w:lang w:val="en-US" w:eastAsia="zh-CN"/>
                    </w:rPr>
                  </w:pPr>
                  <w:r>
                    <w:rPr>
                      <w:rFonts w:cs="Times New Roman"/>
                      <w:snapToGrid w:val="0"/>
                      <w:kern w:val="0"/>
                      <w:sz w:val="21"/>
                      <w:szCs w:val="24"/>
                    </w:rPr>
                    <w:t>气液比、液阻、密闭性</w:t>
                  </w:r>
                  <w:r>
                    <w:rPr>
                      <w:rFonts w:hint="eastAsia" w:cs="Times New Roman"/>
                      <w:snapToGrid w:val="0"/>
                      <w:kern w:val="0"/>
                      <w:sz w:val="21"/>
                      <w:szCs w:val="24"/>
                    </w:rPr>
                    <w:t>、油气泄漏浓度</w:t>
                  </w:r>
                </w:p>
              </w:tc>
              <w:tc>
                <w:tcPr>
                  <w:tcW w:w="1128" w:type="dxa"/>
                  <w:vAlign w:val="center"/>
                </w:tcPr>
                <w:p w14:paraId="70D06D4E">
                  <w:pPr>
                    <w:pStyle w:val="32"/>
                    <w:ind w:firstLine="0" w:firstLineChars="0"/>
                    <w:jc w:val="center"/>
                  </w:pPr>
                  <w:r>
                    <w:t>1次/年</w:t>
                  </w:r>
                </w:p>
              </w:tc>
              <w:tc>
                <w:tcPr>
                  <w:tcW w:w="2756" w:type="dxa"/>
                  <w:vMerge w:val="restart"/>
                  <w:vAlign w:val="center"/>
                </w:tcPr>
                <w:p w14:paraId="6808CDF6">
                  <w:pPr>
                    <w:pStyle w:val="32"/>
                    <w:ind w:firstLine="0" w:firstLineChars="0"/>
                    <w:jc w:val="center"/>
                    <w:rPr>
                      <w:rFonts w:hint="eastAsia" w:eastAsia="宋体"/>
                      <w:lang w:eastAsia="zh-CN"/>
                    </w:rPr>
                  </w:pPr>
                  <w:r>
                    <w:rPr>
                      <w:rFonts w:cs="Times New Roman"/>
                      <w:snapToGrid w:val="0"/>
                      <w:kern w:val="0"/>
                      <w:sz w:val="21"/>
                      <w:szCs w:val="24"/>
                    </w:rPr>
                    <w:t>《加油站大气污染物排放标准》</w:t>
                  </w:r>
                  <w:r>
                    <w:rPr>
                      <w:rFonts w:hint="eastAsia" w:cs="Times New Roman"/>
                      <w:snapToGrid w:val="0"/>
                      <w:kern w:val="0"/>
                      <w:sz w:val="21"/>
                      <w:szCs w:val="24"/>
                      <w:lang w:eastAsia="zh-CN"/>
                    </w:rPr>
                    <w:t>（</w:t>
                  </w:r>
                  <w:r>
                    <w:t>GB20952-2020</w:t>
                  </w:r>
                  <w:r>
                    <w:rPr>
                      <w:rFonts w:hint="eastAsia"/>
                      <w:lang w:eastAsia="zh-CN"/>
                    </w:rPr>
                    <w:t>）</w:t>
                  </w:r>
                </w:p>
              </w:tc>
            </w:tr>
            <w:tr w14:paraId="79C67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5" w:type="dxa"/>
                  <w:vMerge w:val="continue"/>
                  <w:vAlign w:val="center"/>
                </w:tcPr>
                <w:p w14:paraId="203ECFC1">
                  <w:pPr>
                    <w:pStyle w:val="32"/>
                  </w:pPr>
                </w:p>
              </w:tc>
              <w:tc>
                <w:tcPr>
                  <w:tcW w:w="1470" w:type="dxa"/>
                  <w:vAlign w:val="center"/>
                </w:tcPr>
                <w:p w14:paraId="1D9388DF">
                  <w:pPr>
                    <w:pStyle w:val="32"/>
                    <w:ind w:firstLine="0" w:firstLineChars="0"/>
                  </w:pPr>
                  <w:r>
                    <w:t>企业边界</w:t>
                  </w:r>
                </w:p>
              </w:tc>
              <w:tc>
                <w:tcPr>
                  <w:tcW w:w="2112" w:type="dxa"/>
                  <w:vAlign w:val="center"/>
                </w:tcPr>
                <w:p w14:paraId="5546C282">
                  <w:pPr>
                    <w:pStyle w:val="32"/>
                  </w:pPr>
                  <w:r>
                    <w:t>非甲烷总烃</w:t>
                  </w:r>
                </w:p>
              </w:tc>
              <w:tc>
                <w:tcPr>
                  <w:tcW w:w="1128" w:type="dxa"/>
                  <w:vAlign w:val="center"/>
                </w:tcPr>
                <w:p w14:paraId="5CED4544">
                  <w:pPr>
                    <w:pStyle w:val="32"/>
                  </w:pPr>
                  <w:r>
                    <w:t>1次/</w:t>
                  </w:r>
                  <w:r>
                    <w:rPr>
                      <w:rFonts w:hint="eastAsia"/>
                      <w:lang w:val="en-US" w:eastAsia="zh-CN"/>
                    </w:rPr>
                    <w:t>半</w:t>
                  </w:r>
                  <w:r>
                    <w:t>年</w:t>
                  </w:r>
                </w:p>
              </w:tc>
              <w:tc>
                <w:tcPr>
                  <w:tcW w:w="2756" w:type="dxa"/>
                  <w:vMerge w:val="continue"/>
                  <w:vAlign w:val="center"/>
                </w:tcPr>
                <w:p w14:paraId="4C516DEC">
                  <w:pPr>
                    <w:pStyle w:val="32"/>
                  </w:pPr>
                </w:p>
              </w:tc>
            </w:tr>
            <w:tr w14:paraId="256E4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5" w:type="dxa"/>
                  <w:vAlign w:val="center"/>
                </w:tcPr>
                <w:p w14:paraId="220783F8">
                  <w:pPr>
                    <w:pStyle w:val="32"/>
                    <w:rPr>
                      <w:rFonts w:hint="eastAsia" w:eastAsia="宋体"/>
                      <w:lang w:val="en-US" w:eastAsia="zh-CN"/>
                    </w:rPr>
                  </w:pPr>
                  <w:r>
                    <w:rPr>
                      <w:rFonts w:hint="eastAsia"/>
                      <w:lang w:val="en-US" w:eastAsia="zh-CN"/>
                    </w:rPr>
                    <w:t>土壤</w:t>
                  </w:r>
                </w:p>
              </w:tc>
              <w:tc>
                <w:tcPr>
                  <w:tcW w:w="1470" w:type="dxa"/>
                  <w:vAlign w:val="center"/>
                </w:tcPr>
                <w:p w14:paraId="1979BE08">
                  <w:pPr>
                    <w:pStyle w:val="32"/>
                    <w:ind w:firstLine="0" w:firstLineChars="0"/>
                    <w:rPr>
                      <w:rFonts w:hint="eastAsia" w:eastAsia="宋体"/>
                      <w:lang w:val="en-US" w:eastAsia="zh-CN"/>
                    </w:rPr>
                  </w:pPr>
                  <w:r>
                    <w:rPr>
                      <w:rFonts w:hint="eastAsia"/>
                      <w:lang w:val="en-US" w:eastAsia="zh-CN"/>
                    </w:rPr>
                    <w:t>厂区内，不少于3个监测点位</w:t>
                  </w:r>
                </w:p>
              </w:tc>
              <w:tc>
                <w:tcPr>
                  <w:tcW w:w="2112" w:type="dxa"/>
                  <w:vAlign w:val="center"/>
                </w:tcPr>
                <w:p w14:paraId="4A1AC05B">
                  <w:pPr>
                    <w:pStyle w:val="32"/>
                  </w:pPr>
                  <w:r>
                    <w:rPr>
                      <w:rFonts w:hint="eastAsia"/>
                    </w:rPr>
                    <w:t>石油类、石油烃（C</w:t>
                  </w:r>
                  <w:r>
                    <w:rPr>
                      <w:rFonts w:hint="eastAsia"/>
                      <w:vertAlign w:val="subscript"/>
                    </w:rPr>
                    <w:t>6</w:t>
                  </w:r>
                  <w:r>
                    <w:rPr>
                      <w:rFonts w:hint="eastAsia"/>
                    </w:rPr>
                    <w:t>~C</w:t>
                  </w:r>
                  <w:r>
                    <w:rPr>
                      <w:rFonts w:hint="eastAsia"/>
                      <w:vertAlign w:val="subscript"/>
                    </w:rPr>
                    <w:t>9</w:t>
                  </w:r>
                  <w:r>
                    <w:rPr>
                      <w:rFonts w:hint="eastAsia"/>
                    </w:rPr>
                    <w:t>）、石油烃（C</w:t>
                  </w:r>
                  <w:r>
                    <w:rPr>
                      <w:rFonts w:hint="eastAsia"/>
                      <w:vertAlign w:val="subscript"/>
                    </w:rPr>
                    <w:t>10</w:t>
                  </w:r>
                  <w:r>
                    <w:rPr>
                      <w:rFonts w:hint="eastAsia"/>
                    </w:rPr>
                    <w:t>~C</w:t>
                  </w:r>
                  <w:r>
                    <w:rPr>
                      <w:rFonts w:hint="eastAsia"/>
                      <w:vertAlign w:val="subscript"/>
                    </w:rPr>
                    <w:t>40</w:t>
                  </w:r>
                  <w:r>
                    <w:rPr>
                      <w:rFonts w:hint="eastAsia"/>
                    </w:rPr>
                    <w:t>）、甲基叔丁基醚</w:t>
                  </w:r>
                </w:p>
              </w:tc>
              <w:tc>
                <w:tcPr>
                  <w:tcW w:w="1128" w:type="dxa"/>
                  <w:vAlign w:val="center"/>
                </w:tcPr>
                <w:p w14:paraId="72B7634D">
                  <w:pPr>
                    <w:pStyle w:val="32"/>
                  </w:pPr>
                  <w:r>
                    <w:t>1次/年</w:t>
                  </w:r>
                </w:p>
              </w:tc>
              <w:tc>
                <w:tcPr>
                  <w:tcW w:w="2756" w:type="dxa"/>
                  <w:vAlign w:val="center"/>
                </w:tcPr>
                <w:p w14:paraId="75AC7EDF">
                  <w:pPr>
                    <w:pStyle w:val="32"/>
                    <w:rPr>
                      <w:rFonts w:hint="default" w:eastAsia="宋体"/>
                      <w:lang w:val="en-US" w:eastAsia="zh-CN"/>
                    </w:rPr>
                  </w:pPr>
                  <w:r>
                    <w:rPr>
                      <w:rFonts w:hint="eastAsia"/>
                      <w:lang w:eastAsia="zh-CN"/>
                    </w:rPr>
                    <w:t>《</w:t>
                  </w:r>
                  <w:r>
                    <w:rPr>
                      <w:rFonts w:hint="eastAsia"/>
                    </w:rPr>
                    <w:t>土壤环境质量 建设用地土壤污染风险管控标准（试行）</w:t>
                  </w:r>
                  <w:r>
                    <w:rPr>
                      <w:rFonts w:hint="eastAsia"/>
                      <w:lang w:eastAsia="zh-CN"/>
                    </w:rPr>
                    <w:t>》（</w:t>
                  </w:r>
                  <w:r>
                    <w:rPr>
                      <w:rFonts w:hint="eastAsia"/>
                    </w:rPr>
                    <w:t>GB 36600-2018</w:t>
                  </w:r>
                  <w:r>
                    <w:rPr>
                      <w:rFonts w:hint="eastAsia"/>
                      <w:lang w:eastAsia="zh-CN"/>
                    </w:rPr>
                    <w:t>）</w:t>
                  </w:r>
                </w:p>
              </w:tc>
            </w:tr>
            <w:tr w14:paraId="7F962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5" w:type="dxa"/>
                  <w:vAlign w:val="center"/>
                </w:tcPr>
                <w:p w14:paraId="5A242EFF">
                  <w:pPr>
                    <w:pStyle w:val="32"/>
                    <w:rPr>
                      <w:rFonts w:hint="default"/>
                      <w:lang w:val="en-US" w:eastAsia="zh-CN"/>
                    </w:rPr>
                  </w:pPr>
                  <w:r>
                    <w:rPr>
                      <w:rFonts w:hint="eastAsia"/>
                      <w:lang w:val="en-US" w:eastAsia="zh-CN"/>
                    </w:rPr>
                    <w:t>地下水</w:t>
                  </w:r>
                </w:p>
              </w:tc>
              <w:tc>
                <w:tcPr>
                  <w:tcW w:w="1470" w:type="dxa"/>
                  <w:vAlign w:val="center"/>
                </w:tcPr>
                <w:p w14:paraId="0F39BA6E">
                  <w:pPr>
                    <w:pStyle w:val="32"/>
                    <w:ind w:firstLine="0" w:firstLineChars="0"/>
                    <w:rPr>
                      <w:rFonts w:hint="eastAsia" w:eastAsia="宋体"/>
                      <w:lang w:val="en-US" w:eastAsia="zh-CN"/>
                    </w:rPr>
                  </w:pPr>
                  <w:r>
                    <w:rPr>
                      <w:rFonts w:hint="eastAsia"/>
                      <w:lang w:val="en-US" w:eastAsia="zh-CN"/>
                    </w:rPr>
                    <w:t>地下水下游距离埋地油罐5m～30m处</w:t>
                  </w:r>
                </w:p>
              </w:tc>
              <w:tc>
                <w:tcPr>
                  <w:tcW w:w="2112" w:type="dxa"/>
                  <w:vAlign w:val="center"/>
                </w:tcPr>
                <w:p w14:paraId="211B252C">
                  <w:pPr>
                    <w:pStyle w:val="32"/>
                  </w:pPr>
                  <w:r>
                    <w:rPr>
                      <w:rFonts w:hint="eastAsia"/>
                    </w:rPr>
                    <w:t>石油类、石油烃（C</w:t>
                  </w:r>
                  <w:r>
                    <w:rPr>
                      <w:rFonts w:hint="eastAsia"/>
                      <w:vertAlign w:val="subscript"/>
                    </w:rPr>
                    <w:t>6</w:t>
                  </w:r>
                  <w:r>
                    <w:rPr>
                      <w:rFonts w:hint="eastAsia"/>
                    </w:rPr>
                    <w:t>~C</w:t>
                  </w:r>
                  <w:r>
                    <w:rPr>
                      <w:rFonts w:hint="eastAsia"/>
                      <w:vertAlign w:val="subscript"/>
                    </w:rPr>
                    <w:t>9</w:t>
                  </w:r>
                  <w:r>
                    <w:rPr>
                      <w:rFonts w:hint="eastAsia"/>
                    </w:rPr>
                    <w:t>）、石油烃（C</w:t>
                  </w:r>
                  <w:r>
                    <w:rPr>
                      <w:rFonts w:hint="eastAsia"/>
                      <w:vertAlign w:val="subscript"/>
                    </w:rPr>
                    <w:t>10</w:t>
                  </w:r>
                  <w:r>
                    <w:rPr>
                      <w:rFonts w:hint="eastAsia"/>
                    </w:rPr>
                    <w:t>~C</w:t>
                  </w:r>
                  <w:r>
                    <w:rPr>
                      <w:rFonts w:hint="eastAsia"/>
                      <w:vertAlign w:val="subscript"/>
                    </w:rPr>
                    <w:t>40</w:t>
                  </w:r>
                  <w:r>
                    <w:rPr>
                      <w:rFonts w:hint="eastAsia"/>
                    </w:rPr>
                    <w:t>）、甲基叔丁基醚</w:t>
                  </w:r>
                </w:p>
              </w:tc>
              <w:tc>
                <w:tcPr>
                  <w:tcW w:w="1128" w:type="dxa"/>
                  <w:vAlign w:val="center"/>
                </w:tcPr>
                <w:p w14:paraId="20995B82">
                  <w:pPr>
                    <w:pStyle w:val="32"/>
                  </w:pPr>
                  <w:r>
                    <w:t>1次/</w:t>
                  </w:r>
                  <w:r>
                    <w:rPr>
                      <w:rFonts w:hint="eastAsia"/>
                      <w:lang w:val="en-US" w:eastAsia="zh-CN"/>
                    </w:rPr>
                    <w:t>半</w:t>
                  </w:r>
                  <w:r>
                    <w:t>年</w:t>
                  </w:r>
                </w:p>
              </w:tc>
              <w:tc>
                <w:tcPr>
                  <w:tcW w:w="2756" w:type="dxa"/>
                  <w:vAlign w:val="center"/>
                </w:tcPr>
                <w:p w14:paraId="72B556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eastAsia="宋体"/>
                      <w:lang w:eastAsia="zh-CN"/>
                    </w:rPr>
                  </w:pPr>
                  <w:r>
                    <w:rPr>
                      <w:rFonts w:hint="eastAsia" w:ascii="Times New Roman" w:hAnsi="Times New Roman" w:eastAsia="宋体" w:cs="Times New Roman"/>
                      <w:snapToGrid w:val="0"/>
                      <w:sz w:val="21"/>
                      <w:szCs w:val="24"/>
                      <w:lang w:val="en-US" w:eastAsia="zh-CN" w:bidi="ar-SA"/>
                    </w:rPr>
                    <w:t>《地下水质量标准（征求意见稿）》（GB/T14848-20</w:t>
                  </w:r>
                  <w:r>
                    <w:rPr>
                      <w:rFonts w:hint="eastAsia" w:cs="Times New Roman"/>
                      <w:snapToGrid w:val="0"/>
                      <w:sz w:val="21"/>
                      <w:szCs w:val="24"/>
                      <w:lang w:val="en-US" w:eastAsia="zh-CN" w:bidi="ar-SA"/>
                    </w:rPr>
                    <w:t>24</w:t>
                  </w:r>
                  <w:r>
                    <w:rPr>
                      <w:rFonts w:hint="eastAsia" w:ascii="Times New Roman" w:hAnsi="Times New Roman" w:eastAsia="宋体" w:cs="Times New Roman"/>
                      <w:snapToGrid w:val="0"/>
                      <w:sz w:val="21"/>
                      <w:szCs w:val="24"/>
                      <w:lang w:val="en-US" w:eastAsia="zh-CN" w:bidi="ar-SA"/>
                    </w:rPr>
                    <w:t>）</w:t>
                  </w:r>
                </w:p>
              </w:tc>
            </w:tr>
            <w:bookmarkEnd w:id="21"/>
          </w:tbl>
          <w:p w14:paraId="7F160CBB">
            <w:pPr>
              <w:ind w:firstLine="0" w:firstLineChars="0"/>
              <w:rPr>
                <w:b/>
                <w:bCs/>
              </w:rPr>
            </w:pPr>
            <w:r>
              <w:rPr>
                <w:rFonts w:hint="eastAsia" w:cs="Times New Roman"/>
                <w:b/>
                <w:snapToGrid w:val="0"/>
                <w:kern w:val="0"/>
                <w:szCs w:val="20"/>
              </w:rPr>
              <w:t>4</w:t>
            </w:r>
            <w:r>
              <w:rPr>
                <w:rFonts w:cs="Times New Roman"/>
                <w:b/>
                <w:snapToGrid w:val="0"/>
                <w:kern w:val="0"/>
                <w:szCs w:val="20"/>
              </w:rPr>
              <w:t>.</w:t>
            </w:r>
            <w:r>
              <w:rPr>
                <w:rFonts w:hint="eastAsia" w:cs="Times New Roman"/>
                <w:b/>
                <w:snapToGrid w:val="0"/>
                <w:kern w:val="0"/>
                <w:szCs w:val="20"/>
                <w:lang w:val="en-US" w:eastAsia="zh-CN"/>
              </w:rPr>
              <w:t>6</w:t>
            </w:r>
            <w:r>
              <w:rPr>
                <w:rFonts w:hint="eastAsia"/>
                <w:b/>
                <w:bCs/>
              </w:rPr>
              <w:t>排污许可管理</w:t>
            </w:r>
          </w:p>
          <w:p w14:paraId="02CEA79C">
            <w:pPr>
              <w:widowControl/>
              <w:adjustRightInd w:val="0"/>
              <w:snapToGrid w:val="0"/>
              <w:ind w:firstLine="480"/>
              <w:jc w:val="left"/>
              <w:rPr>
                <w:rFonts w:cs="Times New Roman"/>
                <w:color w:val="000000"/>
                <w:kern w:val="0"/>
                <w:lang w:bidi="ar"/>
              </w:rPr>
            </w:pPr>
            <w:r>
              <w:rPr>
                <w:rFonts w:hint="eastAsia" w:ascii="宋体" w:hAnsi="宋体" w:cs="宋体"/>
                <w:color w:val="000000"/>
                <w:kern w:val="0"/>
                <w:lang w:bidi="ar"/>
              </w:rPr>
              <w:t>对照《固定污染</w:t>
            </w:r>
            <w:r>
              <w:rPr>
                <w:rFonts w:hint="eastAsia" w:cs="Times New Roman"/>
                <w:color w:val="000000"/>
                <w:kern w:val="0"/>
                <w:lang w:bidi="ar"/>
              </w:rPr>
              <w:t>源排污许可分类管理名录》（2019年版），本项目属于“四十二、零售业52-100汽车、摩托车、零配件和燃料及其他动力销售526—位于城市建成区的加油站，</w:t>
            </w:r>
            <w:r>
              <w:rPr>
                <w:rFonts w:hint="eastAsia" w:cs="Times New Roman"/>
                <w:color w:val="000000"/>
                <w:kern w:val="0"/>
                <w:lang w:val="en-US" w:eastAsia="zh-CN" w:bidi="ar"/>
              </w:rPr>
              <w:t>实行</w:t>
            </w:r>
            <w:r>
              <w:rPr>
                <w:rFonts w:hint="eastAsia" w:cs="Times New Roman"/>
                <w:color w:val="000000"/>
                <w:kern w:val="0"/>
                <w:lang w:bidi="ar"/>
              </w:rPr>
              <w:t>简化管理</w:t>
            </w:r>
            <w:r>
              <w:rPr>
                <w:rFonts w:hint="eastAsia" w:cs="Times New Roman"/>
                <w:color w:val="000000"/>
                <w:kern w:val="0"/>
                <w:lang w:eastAsia="zh-CN" w:bidi="ar"/>
              </w:rPr>
              <w:t>，</w:t>
            </w:r>
            <w:r>
              <w:rPr>
                <w:rFonts w:hint="eastAsia" w:cs="Times New Roman"/>
                <w:color w:val="000000"/>
                <w:kern w:val="0"/>
                <w:lang w:bidi="ar"/>
              </w:rPr>
              <w:t>详见下表。</w:t>
            </w:r>
          </w:p>
          <w:p w14:paraId="3733FC26">
            <w:pPr>
              <w:spacing w:line="240" w:lineRule="auto"/>
              <w:ind w:firstLine="211" w:firstLineChars="100"/>
              <w:jc w:val="center"/>
              <w:textAlignment w:val="auto"/>
              <w:rPr>
                <w:b/>
                <w:bCs/>
                <w:sz w:val="21"/>
                <w:szCs w:val="21"/>
              </w:rPr>
            </w:pPr>
            <w:r>
              <w:rPr>
                <w:rFonts w:hint="eastAsia"/>
                <w:b/>
                <w:bCs/>
                <w:sz w:val="21"/>
                <w:szCs w:val="21"/>
              </w:rPr>
              <w:t>表4-</w:t>
            </w:r>
            <w:r>
              <w:rPr>
                <w:rFonts w:hint="eastAsia"/>
                <w:b/>
                <w:bCs/>
                <w:sz w:val="21"/>
                <w:szCs w:val="21"/>
                <w:lang w:val="en-US" w:eastAsia="zh-CN"/>
              </w:rPr>
              <w:t>18</w:t>
            </w:r>
            <w:r>
              <w:rPr>
                <w:b/>
                <w:bCs/>
                <w:sz w:val="21"/>
                <w:szCs w:val="21"/>
              </w:rPr>
              <w:t xml:space="preserve">  </w:t>
            </w:r>
            <w:r>
              <w:rPr>
                <w:rFonts w:hint="eastAsia"/>
                <w:b/>
                <w:bCs/>
                <w:sz w:val="21"/>
                <w:szCs w:val="21"/>
              </w:rPr>
              <w:t>排污许可分类管理名录对应类别</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65"/>
              <w:gridCol w:w="1833"/>
              <w:gridCol w:w="1771"/>
              <w:gridCol w:w="1325"/>
            </w:tblGrid>
            <w:tr w14:paraId="107E5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9" w:hRule="atLeast"/>
                <w:jc w:val="center"/>
              </w:trPr>
              <w:tc>
                <w:tcPr>
                  <w:tcW w:w="498" w:type="pct"/>
                  <w:vAlign w:val="center"/>
                </w:tcPr>
                <w:p w14:paraId="49226145">
                  <w:pPr>
                    <w:spacing w:line="240" w:lineRule="auto"/>
                    <w:ind w:firstLine="0" w:firstLineChars="0"/>
                    <w:jc w:val="center"/>
                    <w:textAlignment w:val="auto"/>
                    <w:rPr>
                      <w:rFonts w:cs="Times New Roman"/>
                      <w:b/>
                      <w:bCs/>
                      <w:sz w:val="21"/>
                      <w:szCs w:val="21"/>
                    </w:rPr>
                  </w:pPr>
                  <w:r>
                    <w:rPr>
                      <w:rFonts w:hint="eastAsia" w:cs="Times New Roman"/>
                      <w:b/>
                      <w:bCs/>
                      <w:sz w:val="21"/>
                      <w:szCs w:val="21"/>
                    </w:rPr>
                    <w:t>序号</w:t>
                  </w:r>
                </w:p>
              </w:tc>
              <w:tc>
                <w:tcPr>
                  <w:tcW w:w="1540" w:type="pct"/>
                  <w:vAlign w:val="center"/>
                </w:tcPr>
                <w:p w14:paraId="6C67CF6E">
                  <w:pPr>
                    <w:spacing w:line="240" w:lineRule="auto"/>
                    <w:ind w:firstLine="0" w:firstLineChars="0"/>
                    <w:jc w:val="center"/>
                    <w:textAlignment w:val="auto"/>
                    <w:rPr>
                      <w:rFonts w:cs="Times New Roman"/>
                      <w:b/>
                      <w:bCs/>
                      <w:sz w:val="21"/>
                      <w:szCs w:val="21"/>
                    </w:rPr>
                  </w:pPr>
                  <w:r>
                    <w:rPr>
                      <w:rFonts w:hint="eastAsia" w:cs="Times New Roman"/>
                      <w:b/>
                      <w:bCs/>
                      <w:sz w:val="21"/>
                      <w:szCs w:val="21"/>
                    </w:rPr>
                    <w:t>行业类别</w:t>
                  </w:r>
                </w:p>
              </w:tc>
              <w:tc>
                <w:tcPr>
                  <w:tcW w:w="1100" w:type="pct"/>
                  <w:vAlign w:val="center"/>
                </w:tcPr>
                <w:p w14:paraId="3581A584">
                  <w:pPr>
                    <w:spacing w:line="240" w:lineRule="auto"/>
                    <w:ind w:firstLine="0" w:firstLineChars="0"/>
                    <w:jc w:val="center"/>
                    <w:textAlignment w:val="auto"/>
                    <w:rPr>
                      <w:rFonts w:cs="Times New Roman"/>
                      <w:b/>
                      <w:bCs/>
                      <w:sz w:val="21"/>
                      <w:szCs w:val="21"/>
                    </w:rPr>
                  </w:pPr>
                  <w:r>
                    <w:rPr>
                      <w:rFonts w:hint="eastAsia" w:cs="Times New Roman"/>
                      <w:b/>
                      <w:bCs/>
                      <w:sz w:val="21"/>
                      <w:szCs w:val="21"/>
                    </w:rPr>
                    <w:t>重点管理</w:t>
                  </w:r>
                </w:p>
              </w:tc>
              <w:tc>
                <w:tcPr>
                  <w:tcW w:w="1063" w:type="pct"/>
                  <w:shd w:val="clear" w:color="auto" w:fill="E7E6E6" w:themeFill="background2"/>
                  <w:vAlign w:val="center"/>
                </w:tcPr>
                <w:p w14:paraId="26436853">
                  <w:pPr>
                    <w:spacing w:line="240" w:lineRule="auto"/>
                    <w:ind w:firstLine="0" w:firstLineChars="0"/>
                    <w:jc w:val="center"/>
                    <w:textAlignment w:val="auto"/>
                    <w:rPr>
                      <w:rFonts w:cs="Times New Roman"/>
                      <w:b/>
                      <w:bCs/>
                      <w:sz w:val="21"/>
                      <w:szCs w:val="21"/>
                    </w:rPr>
                  </w:pPr>
                  <w:r>
                    <w:rPr>
                      <w:rFonts w:hint="eastAsia" w:cs="Times New Roman"/>
                      <w:b/>
                      <w:bCs/>
                      <w:sz w:val="21"/>
                      <w:szCs w:val="21"/>
                    </w:rPr>
                    <w:t>简化管理</w:t>
                  </w:r>
                </w:p>
              </w:tc>
              <w:tc>
                <w:tcPr>
                  <w:tcW w:w="796" w:type="pct"/>
                  <w:shd w:val="clear" w:color="auto" w:fill="FFFFFF" w:themeFill="background1"/>
                  <w:vAlign w:val="center"/>
                </w:tcPr>
                <w:p w14:paraId="57B2B62A">
                  <w:pPr>
                    <w:spacing w:line="240" w:lineRule="auto"/>
                    <w:ind w:firstLine="0" w:firstLineChars="0"/>
                    <w:jc w:val="center"/>
                    <w:textAlignment w:val="auto"/>
                    <w:rPr>
                      <w:rFonts w:cs="Times New Roman"/>
                      <w:b/>
                      <w:bCs/>
                      <w:sz w:val="21"/>
                      <w:szCs w:val="21"/>
                    </w:rPr>
                  </w:pPr>
                  <w:r>
                    <w:rPr>
                      <w:rFonts w:hint="eastAsia" w:cs="Times New Roman"/>
                      <w:b/>
                      <w:bCs/>
                      <w:sz w:val="21"/>
                      <w:szCs w:val="21"/>
                    </w:rPr>
                    <w:t>登记管理</w:t>
                  </w:r>
                </w:p>
              </w:tc>
            </w:tr>
            <w:tr w14:paraId="13DCA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5"/>
                  <w:shd w:val="clear" w:color="auto" w:fill="E7E6E6" w:themeFill="background2"/>
                  <w:vAlign w:val="center"/>
                </w:tcPr>
                <w:p w14:paraId="761EA392">
                  <w:pPr>
                    <w:spacing w:line="240" w:lineRule="auto"/>
                    <w:ind w:firstLine="0" w:firstLineChars="0"/>
                    <w:jc w:val="center"/>
                    <w:textAlignment w:val="auto"/>
                    <w:rPr>
                      <w:rFonts w:cs="Times New Roman"/>
                      <w:sz w:val="21"/>
                      <w:szCs w:val="21"/>
                    </w:rPr>
                  </w:pPr>
                  <w:r>
                    <w:rPr>
                      <w:rFonts w:hint="eastAsia" w:cs="Times New Roman"/>
                      <w:sz w:val="21"/>
                      <w:szCs w:val="21"/>
                    </w:rPr>
                    <w:t>四十二、零售业52</w:t>
                  </w:r>
                </w:p>
              </w:tc>
            </w:tr>
            <w:tr w14:paraId="29637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98" w:type="pct"/>
                  <w:vAlign w:val="center"/>
                </w:tcPr>
                <w:p w14:paraId="1EC3A994">
                  <w:pPr>
                    <w:spacing w:line="240" w:lineRule="auto"/>
                    <w:ind w:firstLine="0" w:firstLineChars="0"/>
                    <w:jc w:val="center"/>
                    <w:textAlignment w:val="auto"/>
                    <w:rPr>
                      <w:rFonts w:cs="Times New Roman"/>
                      <w:sz w:val="21"/>
                      <w:szCs w:val="21"/>
                    </w:rPr>
                  </w:pPr>
                  <w:r>
                    <w:rPr>
                      <w:rFonts w:hint="eastAsia" w:cs="Times New Roman"/>
                      <w:sz w:val="21"/>
                      <w:szCs w:val="21"/>
                    </w:rPr>
                    <w:t>1</w:t>
                  </w:r>
                  <w:r>
                    <w:rPr>
                      <w:rFonts w:cs="Times New Roman"/>
                      <w:sz w:val="21"/>
                      <w:szCs w:val="21"/>
                    </w:rPr>
                    <w:t>00</w:t>
                  </w:r>
                </w:p>
              </w:tc>
              <w:tc>
                <w:tcPr>
                  <w:tcW w:w="1540" w:type="pct"/>
                  <w:vAlign w:val="center"/>
                </w:tcPr>
                <w:p w14:paraId="46A15883">
                  <w:pPr>
                    <w:spacing w:line="240" w:lineRule="auto"/>
                    <w:ind w:firstLine="0" w:firstLineChars="0"/>
                    <w:jc w:val="center"/>
                    <w:textAlignment w:val="auto"/>
                    <w:rPr>
                      <w:rFonts w:cs="Times New Roman"/>
                      <w:sz w:val="21"/>
                      <w:szCs w:val="21"/>
                    </w:rPr>
                  </w:pPr>
                  <w:r>
                    <w:rPr>
                      <w:rFonts w:hint="eastAsia" w:cs="Times New Roman"/>
                      <w:sz w:val="21"/>
                      <w:szCs w:val="21"/>
                    </w:rPr>
                    <w:t>汽车、摩托车、零配件和燃料及其他动力销售526</w:t>
                  </w:r>
                </w:p>
              </w:tc>
              <w:tc>
                <w:tcPr>
                  <w:tcW w:w="1100" w:type="pct"/>
                  <w:vAlign w:val="center"/>
                </w:tcPr>
                <w:p w14:paraId="7F998CB1">
                  <w:pPr>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1063" w:type="pct"/>
                  <w:shd w:val="clear" w:color="auto" w:fill="E7E6E6" w:themeFill="background2"/>
                  <w:vAlign w:val="center"/>
                </w:tcPr>
                <w:p w14:paraId="544E2F1F">
                  <w:pPr>
                    <w:spacing w:line="240" w:lineRule="auto"/>
                    <w:ind w:firstLine="0" w:firstLineChars="0"/>
                    <w:jc w:val="center"/>
                    <w:textAlignment w:val="auto"/>
                    <w:rPr>
                      <w:rFonts w:cs="Times New Roman"/>
                      <w:sz w:val="21"/>
                      <w:szCs w:val="21"/>
                    </w:rPr>
                  </w:pPr>
                  <w:r>
                    <w:rPr>
                      <w:rFonts w:hint="eastAsia" w:cs="Times New Roman"/>
                      <w:sz w:val="21"/>
                      <w:szCs w:val="21"/>
                    </w:rPr>
                    <w:t>位于城市建成区的加油站</w:t>
                  </w:r>
                </w:p>
              </w:tc>
              <w:tc>
                <w:tcPr>
                  <w:tcW w:w="796" w:type="pct"/>
                  <w:shd w:val="clear" w:color="auto" w:fill="FFFFFF" w:themeFill="background1"/>
                  <w:vAlign w:val="center"/>
                </w:tcPr>
                <w:p w14:paraId="111CF600">
                  <w:pPr>
                    <w:spacing w:line="240" w:lineRule="auto"/>
                    <w:ind w:firstLine="0" w:firstLineChars="0"/>
                    <w:jc w:val="center"/>
                    <w:textAlignment w:val="auto"/>
                    <w:rPr>
                      <w:rFonts w:cs="Times New Roman"/>
                      <w:sz w:val="21"/>
                      <w:szCs w:val="21"/>
                    </w:rPr>
                  </w:pPr>
                  <w:r>
                    <w:rPr>
                      <w:rFonts w:hint="eastAsia" w:cs="Times New Roman"/>
                      <w:sz w:val="21"/>
                      <w:szCs w:val="21"/>
                    </w:rPr>
                    <w:t>其他加油站</w:t>
                  </w:r>
                </w:p>
              </w:tc>
            </w:tr>
          </w:tbl>
          <w:p w14:paraId="4F581BC2">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①落实按证排污责任</w:t>
            </w:r>
            <w:r>
              <w:rPr>
                <w:rFonts w:hint="eastAsia" w:ascii="宋体" w:hAnsi="宋体" w:cs="宋体"/>
                <w:sz w:val="24"/>
                <w:szCs w:val="24"/>
                <w:lang w:eastAsia="zh-CN"/>
              </w:rPr>
              <w:t>，</w:t>
            </w:r>
            <w:r>
              <w:rPr>
                <w:rFonts w:ascii="宋体" w:hAnsi="宋体" w:eastAsia="宋体" w:cs="宋体"/>
                <w:sz w:val="24"/>
                <w:szCs w:val="24"/>
              </w:rPr>
              <w:t>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14:paraId="3C30E661">
            <w:pPr>
              <w:keepLines/>
              <w:adjustRightInd w:val="0"/>
              <w:ind w:firstLine="480" w:firstLineChars="200"/>
              <w:textAlignment w:val="baseline"/>
              <w:outlineLvl w:val="1"/>
              <w:rPr>
                <w:b/>
                <w:szCs w:val="20"/>
              </w:rPr>
            </w:pPr>
            <w:r>
              <w:rPr>
                <w:rFonts w:ascii="宋体" w:hAnsi="宋体" w:eastAsia="宋体" w:cs="宋体"/>
                <w:sz w:val="24"/>
                <w:szCs w:val="24"/>
              </w:rPr>
              <w:t>②实行自行监测和定期报告制度依法开展自行监测，安装或使用</w:t>
            </w:r>
            <w:r>
              <w:rPr>
                <w:rFonts w:hint="eastAsia" w:ascii="宋体" w:hAnsi="宋体" w:cs="宋体"/>
                <w:sz w:val="24"/>
                <w:szCs w:val="24"/>
                <w:lang w:val="en-US" w:eastAsia="zh-CN"/>
              </w:rPr>
              <w:t>的</w:t>
            </w:r>
            <w:r>
              <w:rPr>
                <w:rFonts w:ascii="宋体" w:hAnsi="宋体" w:eastAsia="宋体" w:cs="宋体"/>
                <w:sz w:val="24"/>
                <w:szCs w:val="24"/>
              </w:rPr>
              <w:t>监测设备应符合国家有关环境监测、计量认证规定和技术规范，保障数据合法有效，保证设备正常运行，妥善保存原始记录，建立准确完整的环境管理台账。如实向环境保护部门报</w:t>
            </w:r>
            <w:r>
              <w:rPr>
                <w:rFonts w:hint="default" w:ascii="Times New Roman" w:hAnsi="Times New Roman" w:eastAsia="宋体" w:cs="Times New Roman"/>
                <w:sz w:val="24"/>
                <w:szCs w:val="24"/>
              </w:rPr>
              <w:t>告排污许可证执行情况，依法向社会公开污染物排放数据并对数据真实性负责。排放情况与排污许可证要求不符的，应及时向环境保护部门报告。</w:t>
            </w:r>
          </w:p>
          <w:p w14:paraId="3040E6CF">
            <w:pPr>
              <w:keepLines/>
              <w:adjustRightInd w:val="0"/>
              <w:ind w:firstLine="0" w:firstLineChars="0"/>
              <w:textAlignment w:val="baseline"/>
              <w:outlineLvl w:val="1"/>
              <w:rPr>
                <w:b/>
                <w:szCs w:val="20"/>
              </w:rPr>
            </w:pPr>
            <w:r>
              <w:rPr>
                <w:b/>
                <w:szCs w:val="20"/>
              </w:rPr>
              <w:t>4.</w:t>
            </w:r>
            <w:r>
              <w:rPr>
                <w:rFonts w:hint="eastAsia"/>
                <w:b/>
                <w:szCs w:val="20"/>
                <w:lang w:val="en-US" w:eastAsia="zh-CN"/>
              </w:rPr>
              <w:t>7</w:t>
            </w:r>
            <w:r>
              <w:rPr>
                <w:b/>
                <w:szCs w:val="20"/>
              </w:rPr>
              <w:t>环保投资</w:t>
            </w:r>
          </w:p>
          <w:p w14:paraId="66AD657C">
            <w:pPr>
              <w:ind w:firstLine="480"/>
              <w:rPr>
                <w:color w:val="000000"/>
              </w:rPr>
            </w:pPr>
            <w:r>
              <w:t>本项目总投资</w:t>
            </w:r>
            <w:r>
              <w:rPr>
                <w:rFonts w:hint="eastAsia"/>
                <w:lang w:val="en-US" w:eastAsia="zh-CN"/>
              </w:rPr>
              <w:t>20</w:t>
            </w:r>
            <w:r>
              <w:rPr>
                <w:rFonts w:hint="eastAsia"/>
              </w:rPr>
              <w:t>00</w:t>
            </w:r>
            <w:r>
              <w:t>万</w:t>
            </w:r>
            <w:r>
              <w:rPr>
                <w:color w:val="000000"/>
              </w:rPr>
              <w:t>元，</w:t>
            </w:r>
            <w:r>
              <w:rPr>
                <w:color w:val="000000"/>
                <w:highlight w:val="none"/>
              </w:rPr>
              <w:t>其中环保投资</w:t>
            </w:r>
            <w:r>
              <w:rPr>
                <w:rFonts w:hint="eastAsia"/>
                <w:color w:val="000000"/>
                <w:highlight w:val="none"/>
              </w:rPr>
              <w:t>2</w:t>
            </w:r>
            <w:r>
              <w:rPr>
                <w:rFonts w:hint="eastAsia"/>
                <w:color w:val="000000"/>
                <w:highlight w:val="none"/>
                <w:lang w:val="en-US" w:eastAsia="zh-CN"/>
              </w:rPr>
              <w:t>6</w:t>
            </w:r>
            <w:r>
              <w:rPr>
                <w:color w:val="000000"/>
                <w:highlight w:val="none"/>
              </w:rPr>
              <w:t>万元，占投资的</w:t>
            </w:r>
            <w:r>
              <w:rPr>
                <w:rFonts w:hint="eastAsia"/>
                <w:color w:val="000000"/>
                <w:highlight w:val="none"/>
                <w:lang w:val="en-US" w:eastAsia="zh-CN"/>
              </w:rPr>
              <w:t>1.3</w:t>
            </w:r>
            <w:r>
              <w:rPr>
                <w:color w:val="000000"/>
                <w:highlight w:val="none"/>
              </w:rPr>
              <w:t>%</w:t>
            </w:r>
            <w:r>
              <w:rPr>
                <w:color w:val="000000"/>
              </w:rPr>
              <w:t>。环保投资情况见表</w:t>
            </w:r>
            <w:r>
              <w:rPr>
                <w:rFonts w:hint="eastAsia"/>
                <w:color w:val="000000"/>
              </w:rPr>
              <w:t>4</w:t>
            </w:r>
            <w:r>
              <w:rPr>
                <w:rFonts w:hint="eastAsia"/>
                <w:color w:val="000000"/>
                <w:lang w:val="en-US" w:eastAsia="zh-CN"/>
              </w:rPr>
              <w:t>-19</w:t>
            </w:r>
            <w:r>
              <w:rPr>
                <w:color w:val="000000"/>
              </w:rPr>
              <w:t>。</w:t>
            </w:r>
          </w:p>
          <w:p w14:paraId="28A08045">
            <w:pPr>
              <w:pStyle w:val="28"/>
              <w:bidi w:val="0"/>
            </w:pPr>
            <w:r>
              <w:t>表</w:t>
            </w:r>
            <w:r>
              <w:rPr>
                <w:rFonts w:hint="eastAsia"/>
              </w:rPr>
              <w:t>4</w:t>
            </w:r>
            <w:r>
              <w:rPr>
                <w:rFonts w:hint="eastAsia"/>
                <w:lang w:val="en-US" w:eastAsia="zh-CN"/>
              </w:rPr>
              <w:t xml:space="preserve">-19 </w:t>
            </w:r>
            <w:r>
              <w:t xml:space="preserve"> 环保设施（措施）及投资估算一览表</w:t>
            </w:r>
          </w:p>
          <w:tbl>
            <w:tblPr>
              <w:tblStyle w:val="20"/>
              <w:tblpPr w:leftFromText="180" w:rightFromText="180" w:vertAnchor="text" w:horzAnchor="margin" w:tblpXSpec="center" w:tblpY="145"/>
              <w:tblOverlap w:val="never"/>
              <w:tblW w:w="8222"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49"/>
              <w:gridCol w:w="1155"/>
              <w:gridCol w:w="4619"/>
              <w:gridCol w:w="1499"/>
            </w:tblGrid>
            <w:tr w14:paraId="23844B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2104" w:type="dxa"/>
                  <w:gridSpan w:val="2"/>
                  <w:vAlign w:val="center"/>
                </w:tcPr>
                <w:p w14:paraId="4935ABAD">
                  <w:pPr>
                    <w:pStyle w:val="32"/>
                  </w:pPr>
                  <w:r>
                    <w:t>项目</w:t>
                  </w:r>
                </w:p>
              </w:tc>
              <w:tc>
                <w:tcPr>
                  <w:tcW w:w="4619" w:type="dxa"/>
                  <w:vAlign w:val="center"/>
                </w:tcPr>
                <w:p w14:paraId="0F7E1F83">
                  <w:pPr>
                    <w:pStyle w:val="32"/>
                  </w:pPr>
                  <w:r>
                    <w:t>内容</w:t>
                  </w:r>
                </w:p>
              </w:tc>
              <w:tc>
                <w:tcPr>
                  <w:tcW w:w="1499" w:type="dxa"/>
                  <w:vAlign w:val="center"/>
                </w:tcPr>
                <w:p w14:paraId="57C672AD">
                  <w:pPr>
                    <w:pStyle w:val="32"/>
                  </w:pPr>
                  <w:r>
                    <w:t>投资（万元）</w:t>
                  </w:r>
                </w:p>
              </w:tc>
            </w:tr>
            <w:tr w14:paraId="6AB0E9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2104" w:type="dxa"/>
                  <w:gridSpan w:val="2"/>
                  <w:vMerge w:val="restart"/>
                  <w:vAlign w:val="center"/>
                </w:tcPr>
                <w:p w14:paraId="698DC38C">
                  <w:pPr>
                    <w:pStyle w:val="32"/>
                  </w:pPr>
                  <w:r>
                    <w:t>施工期</w:t>
                  </w:r>
                </w:p>
              </w:tc>
              <w:tc>
                <w:tcPr>
                  <w:tcW w:w="4619" w:type="dxa"/>
                  <w:vAlign w:val="center"/>
                </w:tcPr>
                <w:p w14:paraId="7BB549C9">
                  <w:pPr>
                    <w:pStyle w:val="32"/>
                  </w:pPr>
                  <w:r>
                    <w:t>洒水设备、抑尘网布</w:t>
                  </w:r>
                </w:p>
              </w:tc>
              <w:tc>
                <w:tcPr>
                  <w:tcW w:w="1499" w:type="dxa"/>
                  <w:vAlign w:val="center"/>
                </w:tcPr>
                <w:p w14:paraId="583454D5">
                  <w:pPr>
                    <w:pStyle w:val="32"/>
                    <w:rPr>
                      <w:rFonts w:hint="eastAsia" w:eastAsia="宋体"/>
                      <w:lang w:eastAsia="zh-CN"/>
                    </w:rPr>
                  </w:pPr>
                  <w:r>
                    <w:rPr>
                      <w:rFonts w:hint="eastAsia"/>
                      <w:lang w:val="en-US" w:eastAsia="zh-CN"/>
                    </w:rPr>
                    <w:t>4</w:t>
                  </w:r>
                </w:p>
              </w:tc>
            </w:tr>
            <w:tr w14:paraId="24C187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2104" w:type="dxa"/>
                  <w:gridSpan w:val="2"/>
                  <w:vMerge w:val="continue"/>
                  <w:vAlign w:val="center"/>
                </w:tcPr>
                <w:p w14:paraId="2D5EE695">
                  <w:pPr>
                    <w:pStyle w:val="32"/>
                  </w:pPr>
                </w:p>
              </w:tc>
              <w:tc>
                <w:tcPr>
                  <w:tcW w:w="4619" w:type="dxa"/>
                  <w:vAlign w:val="center"/>
                </w:tcPr>
                <w:p w14:paraId="035FB5BA">
                  <w:pPr>
                    <w:pStyle w:val="32"/>
                  </w:pPr>
                  <w:r>
                    <w:t>围墙遮挡、施工设备降噪</w:t>
                  </w:r>
                </w:p>
              </w:tc>
              <w:tc>
                <w:tcPr>
                  <w:tcW w:w="1499" w:type="dxa"/>
                  <w:vAlign w:val="center"/>
                </w:tcPr>
                <w:p w14:paraId="41C82250">
                  <w:pPr>
                    <w:pStyle w:val="32"/>
                  </w:pPr>
                  <w:r>
                    <w:rPr>
                      <w:rFonts w:hint="eastAsia"/>
                    </w:rPr>
                    <w:t>2</w:t>
                  </w:r>
                </w:p>
              </w:tc>
            </w:tr>
            <w:tr w14:paraId="4DD760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2104" w:type="dxa"/>
                  <w:gridSpan w:val="2"/>
                  <w:vMerge w:val="continue"/>
                  <w:vAlign w:val="center"/>
                </w:tcPr>
                <w:p w14:paraId="71B79975">
                  <w:pPr>
                    <w:pStyle w:val="32"/>
                  </w:pPr>
                </w:p>
              </w:tc>
              <w:tc>
                <w:tcPr>
                  <w:tcW w:w="4619" w:type="dxa"/>
                  <w:vAlign w:val="center"/>
                </w:tcPr>
                <w:p w14:paraId="2CC10BE1">
                  <w:pPr>
                    <w:pStyle w:val="32"/>
                  </w:pPr>
                  <w:r>
                    <w:rPr>
                      <w:rFonts w:cs="Times New Roman"/>
                      <w:sz w:val="21"/>
                      <w:szCs w:val="21"/>
                    </w:rPr>
                    <w:t>临时沉淀池</w:t>
                  </w:r>
                </w:p>
              </w:tc>
              <w:tc>
                <w:tcPr>
                  <w:tcW w:w="1499" w:type="dxa"/>
                  <w:vAlign w:val="center"/>
                </w:tcPr>
                <w:p w14:paraId="28D32C6D">
                  <w:pPr>
                    <w:pStyle w:val="32"/>
                    <w:rPr>
                      <w:rFonts w:hint="default" w:eastAsia="宋体"/>
                      <w:lang w:val="en-US" w:eastAsia="zh-CN"/>
                    </w:rPr>
                  </w:pPr>
                  <w:r>
                    <w:rPr>
                      <w:rFonts w:hint="eastAsia"/>
                      <w:lang w:val="en-US" w:eastAsia="zh-CN"/>
                    </w:rPr>
                    <w:t>0.5</w:t>
                  </w:r>
                </w:p>
              </w:tc>
            </w:tr>
            <w:tr w14:paraId="1A2BEF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68" w:hRule="atLeast"/>
              </w:trPr>
              <w:tc>
                <w:tcPr>
                  <w:tcW w:w="949" w:type="dxa"/>
                  <w:vMerge w:val="restart"/>
                  <w:vAlign w:val="center"/>
                </w:tcPr>
                <w:p w14:paraId="670F4896">
                  <w:pPr>
                    <w:pStyle w:val="32"/>
                  </w:pPr>
                  <w:r>
                    <w:t>运营期</w:t>
                  </w:r>
                </w:p>
              </w:tc>
              <w:tc>
                <w:tcPr>
                  <w:tcW w:w="1155" w:type="dxa"/>
                  <w:vAlign w:val="center"/>
                </w:tcPr>
                <w:p w14:paraId="37E19CCD">
                  <w:pPr>
                    <w:pStyle w:val="32"/>
                  </w:pPr>
                  <w:r>
                    <w:t>废气治理</w:t>
                  </w:r>
                </w:p>
              </w:tc>
              <w:tc>
                <w:tcPr>
                  <w:tcW w:w="4619" w:type="dxa"/>
                  <w:vAlign w:val="center"/>
                </w:tcPr>
                <w:p w14:paraId="3D9CCE26">
                  <w:pPr>
                    <w:pStyle w:val="32"/>
                  </w:pPr>
                  <w:r>
                    <w:rPr>
                      <w:rFonts w:hint="eastAsia"/>
                    </w:rPr>
                    <w:t>油气回收装置</w:t>
                  </w:r>
                </w:p>
              </w:tc>
              <w:tc>
                <w:tcPr>
                  <w:tcW w:w="1499" w:type="dxa"/>
                  <w:vAlign w:val="center"/>
                </w:tcPr>
                <w:p w14:paraId="0A7352BB">
                  <w:pPr>
                    <w:pStyle w:val="32"/>
                    <w:rPr>
                      <w:rFonts w:hint="eastAsia" w:eastAsia="宋体"/>
                      <w:lang w:eastAsia="zh-CN"/>
                    </w:rPr>
                  </w:pPr>
                  <w:r>
                    <w:rPr>
                      <w:rFonts w:hint="eastAsia"/>
                      <w:lang w:val="en-US" w:eastAsia="zh-CN"/>
                    </w:rPr>
                    <w:t>5</w:t>
                  </w:r>
                </w:p>
              </w:tc>
            </w:tr>
            <w:tr w14:paraId="5AB6FF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00B4A1D3">
                  <w:pPr>
                    <w:pStyle w:val="32"/>
                  </w:pPr>
                </w:p>
              </w:tc>
              <w:tc>
                <w:tcPr>
                  <w:tcW w:w="1155" w:type="dxa"/>
                  <w:vAlign w:val="center"/>
                </w:tcPr>
                <w:p w14:paraId="7067D4C2">
                  <w:pPr>
                    <w:pStyle w:val="32"/>
                  </w:pPr>
                  <w:r>
                    <w:t>废水治理</w:t>
                  </w:r>
                </w:p>
              </w:tc>
              <w:tc>
                <w:tcPr>
                  <w:tcW w:w="4619" w:type="dxa"/>
                  <w:vAlign w:val="center"/>
                </w:tcPr>
                <w:p w14:paraId="2AE783BD">
                  <w:pPr>
                    <w:pStyle w:val="32"/>
                  </w:pPr>
                  <w:r>
                    <w:rPr>
                      <w:rFonts w:hint="eastAsia"/>
                    </w:rPr>
                    <w:t>化粪池</w:t>
                  </w:r>
                  <w:r>
                    <w:rPr>
                      <w:rFonts w:hint="eastAsia"/>
                      <w:lang w:val="en-US" w:eastAsia="zh-CN"/>
                    </w:rPr>
                    <w:t>收集预处理后</w:t>
                  </w:r>
                  <w:r>
                    <w:rPr>
                      <w:rFonts w:hint="eastAsia"/>
                    </w:rPr>
                    <w:t>排放至市政排水管道</w:t>
                  </w:r>
                </w:p>
              </w:tc>
              <w:tc>
                <w:tcPr>
                  <w:tcW w:w="1499" w:type="dxa"/>
                  <w:vAlign w:val="center"/>
                </w:tcPr>
                <w:p w14:paraId="593F348F">
                  <w:pPr>
                    <w:pStyle w:val="32"/>
                    <w:rPr>
                      <w:rFonts w:hint="default" w:eastAsia="宋体"/>
                      <w:lang w:val="en-US" w:eastAsia="zh-CN"/>
                    </w:rPr>
                  </w:pPr>
                  <w:r>
                    <w:rPr>
                      <w:rFonts w:hint="eastAsia"/>
                      <w:lang w:val="en-US" w:eastAsia="zh-CN"/>
                    </w:rPr>
                    <w:t>2</w:t>
                  </w:r>
                </w:p>
              </w:tc>
            </w:tr>
            <w:tr w14:paraId="7C874E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25315E50">
                  <w:pPr>
                    <w:pStyle w:val="32"/>
                  </w:pPr>
                </w:p>
              </w:tc>
              <w:tc>
                <w:tcPr>
                  <w:tcW w:w="1155" w:type="dxa"/>
                  <w:vAlign w:val="center"/>
                </w:tcPr>
                <w:p w14:paraId="3B6C3D99">
                  <w:pPr>
                    <w:pStyle w:val="32"/>
                  </w:pPr>
                  <w:r>
                    <w:t>噪声治理</w:t>
                  </w:r>
                </w:p>
              </w:tc>
              <w:tc>
                <w:tcPr>
                  <w:tcW w:w="4619" w:type="dxa"/>
                  <w:vAlign w:val="center"/>
                </w:tcPr>
                <w:p w14:paraId="270E0281">
                  <w:pPr>
                    <w:pStyle w:val="32"/>
                  </w:pPr>
                  <w:r>
                    <w:rPr>
                      <w:rFonts w:cs="Times New Roman"/>
                      <w:sz w:val="21"/>
                      <w:szCs w:val="21"/>
                    </w:rPr>
                    <w:t>隔音措施、减振基座、合理布置生产设备</w:t>
                  </w:r>
                </w:p>
              </w:tc>
              <w:tc>
                <w:tcPr>
                  <w:tcW w:w="1499" w:type="dxa"/>
                  <w:vAlign w:val="center"/>
                </w:tcPr>
                <w:p w14:paraId="20422931">
                  <w:pPr>
                    <w:pStyle w:val="32"/>
                    <w:rPr>
                      <w:rFonts w:hint="eastAsia" w:eastAsia="宋体"/>
                      <w:lang w:eastAsia="zh-CN"/>
                    </w:rPr>
                  </w:pPr>
                  <w:r>
                    <w:rPr>
                      <w:rFonts w:hint="eastAsia"/>
                      <w:lang w:val="en-US" w:eastAsia="zh-CN"/>
                    </w:rPr>
                    <w:t>1</w:t>
                  </w:r>
                </w:p>
              </w:tc>
            </w:tr>
            <w:tr w14:paraId="31DDDC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5FE9DF18">
                  <w:pPr>
                    <w:pStyle w:val="32"/>
                  </w:pPr>
                </w:p>
              </w:tc>
              <w:tc>
                <w:tcPr>
                  <w:tcW w:w="1155" w:type="dxa"/>
                  <w:vMerge w:val="restart"/>
                  <w:vAlign w:val="center"/>
                </w:tcPr>
                <w:p w14:paraId="49890326">
                  <w:pPr>
                    <w:pStyle w:val="32"/>
                  </w:pPr>
                  <w:r>
                    <w:t>固废</w:t>
                  </w:r>
                </w:p>
              </w:tc>
              <w:tc>
                <w:tcPr>
                  <w:tcW w:w="4619" w:type="dxa"/>
                  <w:vAlign w:val="center"/>
                </w:tcPr>
                <w:p w14:paraId="5C48AAFB">
                  <w:pPr>
                    <w:pStyle w:val="32"/>
                    <w:rPr>
                      <w:rFonts w:hint="default" w:eastAsia="宋体"/>
                      <w:lang w:val="en-US" w:eastAsia="zh-CN"/>
                    </w:rPr>
                  </w:pPr>
                  <w:r>
                    <w:rPr>
                      <w:rFonts w:hint="eastAsia" w:ascii="Calibri" w:hAnsi="Calibri" w:cs="Times New Roman"/>
                      <w:sz w:val="21"/>
                      <w:szCs w:val="24"/>
                    </w:rPr>
                    <w:t>生活垃圾交由环卫部门统一清运</w:t>
                  </w:r>
                </w:p>
              </w:tc>
              <w:tc>
                <w:tcPr>
                  <w:tcW w:w="1499" w:type="dxa"/>
                  <w:vAlign w:val="center"/>
                </w:tcPr>
                <w:p w14:paraId="310DCAAA">
                  <w:pPr>
                    <w:pStyle w:val="32"/>
                    <w:rPr>
                      <w:rFonts w:hint="eastAsia" w:eastAsia="宋体"/>
                      <w:lang w:eastAsia="zh-CN"/>
                    </w:rPr>
                  </w:pPr>
                  <w:r>
                    <w:rPr>
                      <w:rFonts w:hint="eastAsia"/>
                      <w:lang w:val="en-US" w:eastAsia="zh-CN"/>
                    </w:rPr>
                    <w:t>1</w:t>
                  </w:r>
                </w:p>
              </w:tc>
            </w:tr>
            <w:tr w14:paraId="4846DD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57985CF0">
                  <w:pPr>
                    <w:pStyle w:val="32"/>
                  </w:pPr>
                </w:p>
              </w:tc>
              <w:tc>
                <w:tcPr>
                  <w:tcW w:w="1155" w:type="dxa"/>
                  <w:vMerge w:val="continue"/>
                  <w:vAlign w:val="center"/>
                </w:tcPr>
                <w:p w14:paraId="29C1265C">
                  <w:pPr>
                    <w:pStyle w:val="32"/>
                  </w:pPr>
                </w:p>
              </w:tc>
              <w:tc>
                <w:tcPr>
                  <w:tcW w:w="4619" w:type="dxa"/>
                  <w:vAlign w:val="center"/>
                </w:tcPr>
                <w:p w14:paraId="467B78C6">
                  <w:pPr>
                    <w:pStyle w:val="32"/>
                    <w:rPr>
                      <w:rFonts w:hint="eastAsia" w:eastAsia="宋体"/>
                      <w:lang w:eastAsia="zh-CN"/>
                    </w:rPr>
                  </w:pPr>
                  <w:r>
                    <w:rPr>
                      <w:rFonts w:hint="eastAsia"/>
                    </w:rPr>
                    <w:t>危险废物</w:t>
                  </w:r>
                  <w:r>
                    <w:rPr>
                      <w:rFonts w:hint="eastAsia"/>
                      <w:lang w:eastAsia="zh-CN"/>
                    </w:rPr>
                    <w:t>贮存点</w:t>
                  </w:r>
                </w:p>
              </w:tc>
              <w:tc>
                <w:tcPr>
                  <w:tcW w:w="1499" w:type="dxa"/>
                  <w:vAlign w:val="center"/>
                </w:tcPr>
                <w:p w14:paraId="6D98B7E0">
                  <w:pPr>
                    <w:pStyle w:val="32"/>
                    <w:rPr>
                      <w:rFonts w:hint="eastAsia" w:eastAsia="宋体"/>
                      <w:lang w:eastAsia="zh-CN"/>
                    </w:rPr>
                  </w:pPr>
                  <w:r>
                    <w:rPr>
                      <w:rFonts w:hint="eastAsia"/>
                      <w:lang w:val="en-US" w:eastAsia="zh-CN"/>
                    </w:rPr>
                    <w:t>1</w:t>
                  </w:r>
                </w:p>
              </w:tc>
            </w:tr>
            <w:tr w14:paraId="01579D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678CFB3D">
                  <w:pPr>
                    <w:pStyle w:val="32"/>
                  </w:pPr>
                </w:p>
              </w:tc>
              <w:tc>
                <w:tcPr>
                  <w:tcW w:w="1155" w:type="dxa"/>
                  <w:vMerge w:val="continue"/>
                  <w:vAlign w:val="center"/>
                </w:tcPr>
                <w:p w14:paraId="41F52500">
                  <w:pPr>
                    <w:pStyle w:val="32"/>
                  </w:pPr>
                </w:p>
              </w:tc>
              <w:tc>
                <w:tcPr>
                  <w:tcW w:w="4619" w:type="dxa"/>
                  <w:vAlign w:val="center"/>
                </w:tcPr>
                <w:p w14:paraId="63BF6257">
                  <w:pPr>
                    <w:pStyle w:val="32"/>
                  </w:pPr>
                  <w:r>
                    <w:t>危险废物委托处置</w:t>
                  </w:r>
                </w:p>
              </w:tc>
              <w:tc>
                <w:tcPr>
                  <w:tcW w:w="1499" w:type="dxa"/>
                  <w:vAlign w:val="center"/>
                </w:tcPr>
                <w:p w14:paraId="2136F56F">
                  <w:pPr>
                    <w:pStyle w:val="32"/>
                  </w:pPr>
                  <w:r>
                    <w:rPr>
                      <w:rFonts w:hint="eastAsia"/>
                    </w:rPr>
                    <w:t>2</w:t>
                  </w:r>
                </w:p>
              </w:tc>
            </w:tr>
            <w:tr w14:paraId="277BD8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221DD1A6">
                  <w:pPr>
                    <w:pStyle w:val="32"/>
                  </w:pPr>
                </w:p>
              </w:tc>
              <w:tc>
                <w:tcPr>
                  <w:tcW w:w="1155" w:type="dxa"/>
                  <w:vMerge w:val="restart"/>
                  <w:vAlign w:val="center"/>
                </w:tcPr>
                <w:p w14:paraId="7D014115">
                  <w:pPr>
                    <w:spacing w:line="240" w:lineRule="auto"/>
                    <w:ind w:firstLine="0" w:firstLineChars="0"/>
                    <w:jc w:val="center"/>
                    <w:textAlignment w:val="auto"/>
                  </w:pPr>
                  <w:r>
                    <w:rPr>
                      <w:rFonts w:cs="Times New Roman"/>
                      <w:sz w:val="21"/>
                      <w:szCs w:val="21"/>
                    </w:rPr>
                    <w:t>风险</w:t>
                  </w:r>
                </w:p>
              </w:tc>
              <w:tc>
                <w:tcPr>
                  <w:tcW w:w="4619" w:type="dxa"/>
                  <w:vAlign w:val="center"/>
                </w:tcPr>
                <w:p w14:paraId="284B5BCA">
                  <w:pPr>
                    <w:spacing w:line="240" w:lineRule="auto"/>
                    <w:ind w:firstLine="0" w:firstLineChars="0"/>
                    <w:jc w:val="center"/>
                    <w:textAlignment w:val="auto"/>
                    <w:rPr>
                      <w:rFonts w:hint="eastAsia" w:eastAsia="宋体"/>
                      <w:lang w:eastAsia="zh-CN"/>
                    </w:rPr>
                  </w:pPr>
                  <w:r>
                    <w:rPr>
                      <w:rFonts w:hint="eastAsia" w:cs="Times New Roman"/>
                      <w:sz w:val="21"/>
                      <w:szCs w:val="21"/>
                      <w:lang w:val="en-US" w:eastAsia="zh-CN"/>
                    </w:rPr>
                    <w:t>分区防渗、</w:t>
                  </w:r>
                  <w:r>
                    <w:rPr>
                      <w:rFonts w:cs="Times New Roman"/>
                      <w:sz w:val="21"/>
                      <w:szCs w:val="21"/>
                    </w:rPr>
                    <w:t>灭火器、在线监测仪及其他安全措施</w:t>
                  </w:r>
                </w:p>
              </w:tc>
              <w:tc>
                <w:tcPr>
                  <w:tcW w:w="1499" w:type="dxa"/>
                  <w:vAlign w:val="center"/>
                </w:tcPr>
                <w:p w14:paraId="66E3CD4A">
                  <w:pPr>
                    <w:spacing w:line="240" w:lineRule="auto"/>
                    <w:ind w:firstLine="0" w:firstLineChars="0"/>
                    <w:jc w:val="center"/>
                    <w:textAlignment w:val="auto"/>
                    <w:rPr>
                      <w:rFonts w:hint="eastAsia" w:eastAsia="宋体"/>
                      <w:lang w:eastAsia="zh-CN"/>
                    </w:rPr>
                  </w:pPr>
                  <w:r>
                    <w:rPr>
                      <w:rFonts w:hint="eastAsia" w:cs="Times New Roman"/>
                      <w:sz w:val="21"/>
                      <w:szCs w:val="21"/>
                      <w:lang w:val="en-US" w:eastAsia="zh-CN"/>
                    </w:rPr>
                    <w:t>4</w:t>
                  </w:r>
                </w:p>
              </w:tc>
            </w:tr>
            <w:tr w14:paraId="59A80F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5F37C1CE">
                  <w:pPr>
                    <w:pStyle w:val="32"/>
                  </w:pPr>
                </w:p>
              </w:tc>
              <w:tc>
                <w:tcPr>
                  <w:tcW w:w="1155" w:type="dxa"/>
                  <w:vMerge w:val="continue"/>
                  <w:vAlign w:val="center"/>
                </w:tcPr>
                <w:p w14:paraId="65E8D3A7">
                  <w:pPr>
                    <w:spacing w:line="240" w:lineRule="auto"/>
                    <w:ind w:firstLine="0" w:firstLineChars="0"/>
                    <w:jc w:val="center"/>
                    <w:textAlignment w:val="auto"/>
                    <w:rPr>
                      <w:rFonts w:cs="Times New Roman"/>
                      <w:sz w:val="21"/>
                      <w:szCs w:val="21"/>
                    </w:rPr>
                  </w:pPr>
                </w:p>
              </w:tc>
              <w:tc>
                <w:tcPr>
                  <w:tcW w:w="4619" w:type="dxa"/>
                  <w:vAlign w:val="center"/>
                </w:tcPr>
                <w:p w14:paraId="6EB9CEF0">
                  <w:pPr>
                    <w:spacing w:line="240" w:lineRule="auto"/>
                    <w:ind w:firstLine="0" w:firstLineChars="0"/>
                    <w:jc w:val="center"/>
                    <w:textAlignment w:val="auto"/>
                    <w:rPr>
                      <w:rFonts w:cs="Times New Roman"/>
                      <w:sz w:val="21"/>
                      <w:szCs w:val="21"/>
                    </w:rPr>
                  </w:pPr>
                  <w:r>
                    <w:rPr>
                      <w:rFonts w:hint="eastAsia" w:cs="Times New Roman"/>
                      <w:color w:val="000000"/>
                      <w:sz w:val="21"/>
                      <w:szCs w:val="21"/>
                      <w:lang w:val="en-US" w:eastAsia="zh-CN"/>
                    </w:rPr>
                    <w:t>编制</w:t>
                  </w:r>
                  <w:r>
                    <w:rPr>
                      <w:rFonts w:hint="eastAsia" w:ascii="Times New Roman" w:hAnsi="Times New Roman" w:eastAsia="宋体" w:cs="Times New Roman"/>
                      <w:color w:val="000000"/>
                      <w:sz w:val="21"/>
                      <w:szCs w:val="21"/>
                    </w:rPr>
                    <w:t>应急操作规程与事故应急预案</w:t>
                  </w:r>
                </w:p>
              </w:tc>
              <w:tc>
                <w:tcPr>
                  <w:tcW w:w="1499" w:type="dxa"/>
                  <w:vAlign w:val="center"/>
                </w:tcPr>
                <w:p w14:paraId="3322D7DB">
                  <w:pPr>
                    <w:spacing w:line="240" w:lineRule="auto"/>
                    <w:ind w:firstLine="0" w:firstLineChars="0"/>
                    <w:jc w:val="center"/>
                    <w:textAlignment w:val="auto"/>
                    <w:rPr>
                      <w:rFonts w:hint="eastAsia" w:eastAsia="宋体" w:cs="Times New Roman"/>
                      <w:sz w:val="21"/>
                      <w:szCs w:val="21"/>
                      <w:lang w:val="en-US" w:eastAsia="zh-CN"/>
                    </w:rPr>
                  </w:pPr>
                  <w:r>
                    <w:rPr>
                      <w:rFonts w:hint="eastAsia" w:cs="Times New Roman"/>
                      <w:sz w:val="21"/>
                      <w:szCs w:val="21"/>
                      <w:lang w:val="en-US" w:eastAsia="zh-CN"/>
                    </w:rPr>
                    <w:t>2</w:t>
                  </w:r>
                </w:p>
              </w:tc>
            </w:tr>
            <w:tr w14:paraId="380DAC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3B7D8235">
                  <w:pPr>
                    <w:pStyle w:val="32"/>
                  </w:pPr>
                </w:p>
              </w:tc>
              <w:tc>
                <w:tcPr>
                  <w:tcW w:w="1155" w:type="dxa"/>
                  <w:vAlign w:val="center"/>
                </w:tcPr>
                <w:p w14:paraId="331482FE">
                  <w:pPr>
                    <w:spacing w:line="240" w:lineRule="auto"/>
                    <w:ind w:firstLine="0" w:firstLineChars="0"/>
                    <w:jc w:val="center"/>
                    <w:textAlignment w:val="auto"/>
                  </w:pPr>
                  <w:r>
                    <w:rPr>
                      <w:rFonts w:cs="Times New Roman"/>
                      <w:sz w:val="21"/>
                      <w:szCs w:val="21"/>
                    </w:rPr>
                    <w:t>绿化</w:t>
                  </w:r>
                </w:p>
              </w:tc>
              <w:tc>
                <w:tcPr>
                  <w:tcW w:w="4619" w:type="dxa"/>
                  <w:vAlign w:val="center"/>
                </w:tcPr>
                <w:p w14:paraId="65A12CD8">
                  <w:pPr>
                    <w:spacing w:line="240" w:lineRule="auto"/>
                    <w:ind w:firstLine="0" w:firstLineChars="0"/>
                    <w:jc w:val="center"/>
                    <w:textAlignment w:val="auto"/>
                  </w:pPr>
                  <w:r>
                    <w:rPr>
                      <w:rFonts w:cs="Times New Roman"/>
                      <w:sz w:val="21"/>
                      <w:szCs w:val="21"/>
                    </w:rPr>
                    <w:t>绿化设施</w:t>
                  </w:r>
                </w:p>
              </w:tc>
              <w:tc>
                <w:tcPr>
                  <w:tcW w:w="1499" w:type="dxa"/>
                  <w:vAlign w:val="center"/>
                </w:tcPr>
                <w:p w14:paraId="25652CBB">
                  <w:pPr>
                    <w:spacing w:line="240" w:lineRule="auto"/>
                    <w:ind w:firstLine="0" w:firstLineChars="0"/>
                    <w:jc w:val="center"/>
                    <w:textAlignment w:val="auto"/>
                    <w:rPr>
                      <w:rFonts w:hint="eastAsia" w:eastAsia="宋体"/>
                      <w:lang w:eastAsia="zh-CN"/>
                    </w:rPr>
                  </w:pPr>
                  <w:r>
                    <w:rPr>
                      <w:rFonts w:hint="eastAsia" w:cs="Times New Roman"/>
                      <w:sz w:val="21"/>
                      <w:szCs w:val="21"/>
                      <w:lang w:val="en-US" w:eastAsia="zh-CN"/>
                    </w:rPr>
                    <w:t>1</w:t>
                  </w:r>
                </w:p>
              </w:tc>
            </w:tr>
            <w:tr w14:paraId="6A2FCB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949" w:type="dxa"/>
                  <w:vMerge w:val="continue"/>
                  <w:vAlign w:val="center"/>
                </w:tcPr>
                <w:p w14:paraId="1E9A2A47">
                  <w:pPr>
                    <w:pStyle w:val="32"/>
                  </w:pPr>
                </w:p>
              </w:tc>
              <w:tc>
                <w:tcPr>
                  <w:tcW w:w="1155" w:type="dxa"/>
                  <w:vAlign w:val="center"/>
                </w:tcPr>
                <w:p w14:paraId="1ED43291">
                  <w:pPr>
                    <w:pStyle w:val="32"/>
                  </w:pPr>
                  <w:r>
                    <w:rPr>
                      <w:rFonts w:hint="eastAsia"/>
                    </w:rPr>
                    <w:t>其他</w:t>
                  </w:r>
                </w:p>
              </w:tc>
              <w:tc>
                <w:tcPr>
                  <w:tcW w:w="4619" w:type="dxa"/>
                  <w:vAlign w:val="center"/>
                </w:tcPr>
                <w:p w14:paraId="7F190606">
                  <w:pPr>
                    <w:pStyle w:val="32"/>
                  </w:pPr>
                  <w:r>
                    <w:rPr>
                      <w:rFonts w:cs="Times New Roman"/>
                      <w:sz w:val="21"/>
                      <w:szCs w:val="21"/>
                    </w:rPr>
                    <w:t>职工个人防护（工作服等）</w:t>
                  </w:r>
                </w:p>
              </w:tc>
              <w:tc>
                <w:tcPr>
                  <w:tcW w:w="1499" w:type="dxa"/>
                  <w:vAlign w:val="center"/>
                </w:tcPr>
                <w:p w14:paraId="6D50A7E6">
                  <w:pPr>
                    <w:pStyle w:val="32"/>
                    <w:rPr>
                      <w:rFonts w:hint="default" w:eastAsia="宋体"/>
                      <w:lang w:val="en-US" w:eastAsia="zh-CN"/>
                    </w:rPr>
                  </w:pPr>
                  <w:r>
                    <w:rPr>
                      <w:rFonts w:hint="eastAsia"/>
                      <w:lang w:val="en-US" w:eastAsia="zh-CN"/>
                    </w:rPr>
                    <w:t>0.5</w:t>
                  </w:r>
                </w:p>
              </w:tc>
            </w:tr>
            <w:tr w14:paraId="173D6E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5" w:hRule="atLeast"/>
              </w:trPr>
              <w:tc>
                <w:tcPr>
                  <w:tcW w:w="6723" w:type="dxa"/>
                  <w:gridSpan w:val="3"/>
                  <w:vAlign w:val="center"/>
                </w:tcPr>
                <w:p w14:paraId="3E99F28A">
                  <w:pPr>
                    <w:pStyle w:val="32"/>
                  </w:pPr>
                  <w:r>
                    <w:t>合计</w:t>
                  </w:r>
                </w:p>
              </w:tc>
              <w:tc>
                <w:tcPr>
                  <w:tcW w:w="1499" w:type="dxa"/>
                  <w:vAlign w:val="center"/>
                </w:tcPr>
                <w:p w14:paraId="315B385F">
                  <w:pPr>
                    <w:pStyle w:val="32"/>
                    <w:rPr>
                      <w:rFonts w:hint="eastAsia" w:eastAsia="宋体"/>
                      <w:lang w:eastAsia="zh-CN"/>
                    </w:rPr>
                  </w:pPr>
                  <w:r>
                    <w:rPr>
                      <w:rFonts w:hint="eastAsia"/>
                    </w:rPr>
                    <w:t>2</w:t>
                  </w:r>
                  <w:r>
                    <w:rPr>
                      <w:rFonts w:hint="eastAsia"/>
                      <w:lang w:val="en-US" w:eastAsia="zh-CN"/>
                    </w:rPr>
                    <w:t>6</w:t>
                  </w:r>
                </w:p>
              </w:tc>
            </w:tr>
          </w:tbl>
          <w:p w14:paraId="1F3FBEAE">
            <w:pPr>
              <w:ind w:firstLine="440"/>
              <w:rPr>
                <w:rFonts w:ascii="宋体" w:hAnsi="宋体" w:eastAsia="等线" w:cs="宋体"/>
                <w:bCs/>
                <w:spacing w:val="-10"/>
                <w:szCs w:val="21"/>
              </w:rPr>
            </w:pPr>
          </w:p>
        </w:tc>
      </w:tr>
    </w:tbl>
    <w:p w14:paraId="6334A4AD">
      <w:pPr>
        <w:pStyle w:val="2"/>
        <w:ind w:left="0" w:leftChars="0"/>
      </w:pPr>
    </w:p>
    <w:p w14:paraId="66A65D88">
      <w:pPr>
        <w:pStyle w:val="4"/>
      </w:pPr>
      <w:r>
        <w:rPr>
          <w:rFonts w:hint="eastAsia"/>
        </w:rPr>
        <w:t>五、</w:t>
      </w:r>
      <w:bookmarkStart w:id="22" w:name="_Hlk54167917"/>
      <w:r>
        <w:rPr>
          <w:rFonts w:hint="eastAsia"/>
        </w:rPr>
        <w:t>环境保护措施监督检查清单</w:t>
      </w:r>
      <w:bookmarkEnd w:id="22"/>
    </w:p>
    <w:tbl>
      <w:tblPr>
        <w:tblStyle w:val="20"/>
        <w:tblW w:w="919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653"/>
        <w:gridCol w:w="1276"/>
        <w:gridCol w:w="1784"/>
        <w:gridCol w:w="3035"/>
      </w:tblGrid>
      <w:tr w14:paraId="204E4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44" w:type="dxa"/>
            <w:tcBorders>
              <w:tl2br w:val="single" w:color="auto" w:sz="4" w:space="0"/>
            </w:tcBorders>
          </w:tcPr>
          <w:p w14:paraId="0EE3BE6D">
            <w:pPr>
              <w:pStyle w:val="32"/>
            </w:pPr>
            <w:r>
              <w:t>内容</w:t>
            </w:r>
          </w:p>
          <w:p w14:paraId="114B8EB1">
            <w:pPr>
              <w:pStyle w:val="32"/>
            </w:pPr>
          </w:p>
          <w:p w14:paraId="045C1B73">
            <w:pPr>
              <w:pStyle w:val="32"/>
            </w:pPr>
            <w:r>
              <w:t>要素</w:t>
            </w:r>
          </w:p>
        </w:tc>
        <w:tc>
          <w:tcPr>
            <w:tcW w:w="1653" w:type="dxa"/>
            <w:vAlign w:val="center"/>
          </w:tcPr>
          <w:p w14:paraId="1973020F">
            <w:pPr>
              <w:pStyle w:val="32"/>
            </w:pPr>
            <w:r>
              <w:t>排放口(编号、名称)/污染源</w:t>
            </w:r>
          </w:p>
        </w:tc>
        <w:tc>
          <w:tcPr>
            <w:tcW w:w="1276" w:type="dxa"/>
            <w:vAlign w:val="center"/>
          </w:tcPr>
          <w:p w14:paraId="55FBAA7F">
            <w:pPr>
              <w:pStyle w:val="32"/>
            </w:pPr>
            <w:r>
              <w:t>污染物项目</w:t>
            </w:r>
          </w:p>
        </w:tc>
        <w:tc>
          <w:tcPr>
            <w:tcW w:w="1784" w:type="dxa"/>
            <w:vAlign w:val="center"/>
          </w:tcPr>
          <w:p w14:paraId="39B24185">
            <w:pPr>
              <w:pStyle w:val="32"/>
            </w:pPr>
            <w:r>
              <w:t>环境保护措施</w:t>
            </w:r>
          </w:p>
        </w:tc>
        <w:tc>
          <w:tcPr>
            <w:tcW w:w="3035" w:type="dxa"/>
            <w:vAlign w:val="center"/>
          </w:tcPr>
          <w:p w14:paraId="30D66697">
            <w:pPr>
              <w:pStyle w:val="32"/>
            </w:pPr>
            <w:r>
              <w:t>执行标准</w:t>
            </w:r>
          </w:p>
        </w:tc>
      </w:tr>
      <w:tr w14:paraId="7001B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444" w:type="dxa"/>
            <w:vMerge w:val="restart"/>
            <w:vAlign w:val="center"/>
          </w:tcPr>
          <w:p w14:paraId="00D8C938">
            <w:pPr>
              <w:pStyle w:val="32"/>
            </w:pPr>
            <w:r>
              <w:t>大气环境</w:t>
            </w:r>
          </w:p>
        </w:tc>
        <w:tc>
          <w:tcPr>
            <w:tcW w:w="1653" w:type="dxa"/>
            <w:vAlign w:val="center"/>
          </w:tcPr>
          <w:p w14:paraId="76ED8491">
            <w:pPr>
              <w:pStyle w:val="32"/>
            </w:pPr>
            <w:r>
              <w:t>（</w:t>
            </w:r>
            <w:r>
              <w:rPr>
                <w:rFonts w:hint="eastAsia"/>
                <w:lang w:val="en-US" w:eastAsia="zh-CN"/>
              </w:rPr>
              <w:t>加油枪、油品贮存</w:t>
            </w:r>
            <w:r>
              <w:t>、灌装工段）正常排放</w:t>
            </w:r>
          </w:p>
        </w:tc>
        <w:tc>
          <w:tcPr>
            <w:tcW w:w="1276" w:type="dxa"/>
            <w:vAlign w:val="center"/>
          </w:tcPr>
          <w:p w14:paraId="607B0D03">
            <w:pPr>
              <w:pStyle w:val="32"/>
            </w:pPr>
            <w:r>
              <w:t>非甲烷总烃</w:t>
            </w:r>
          </w:p>
        </w:tc>
        <w:tc>
          <w:tcPr>
            <w:tcW w:w="1784" w:type="dxa"/>
            <w:vMerge w:val="restart"/>
            <w:vAlign w:val="center"/>
          </w:tcPr>
          <w:p w14:paraId="09BACBCC">
            <w:pPr>
              <w:pStyle w:val="32"/>
            </w:pPr>
            <w:r>
              <w:t>采用地埋式工艺</w:t>
            </w:r>
            <w:r>
              <w:rPr>
                <w:rFonts w:hint="eastAsia"/>
              </w:rPr>
              <w:t>，卸油、</w:t>
            </w:r>
            <w:r>
              <w:t>储油罐及加油作业</w:t>
            </w:r>
            <w:r>
              <w:rPr>
                <w:rFonts w:hint="eastAsia"/>
              </w:rPr>
              <w:t>阶段的油气（非甲烷总烃）经</w:t>
            </w:r>
            <w:r>
              <w:rPr>
                <w:rFonts w:hint="eastAsia"/>
                <w:lang w:val="en-US" w:eastAsia="zh-CN"/>
              </w:rPr>
              <w:t>二次</w:t>
            </w:r>
            <w:r>
              <w:rPr>
                <w:rFonts w:hint="eastAsia"/>
              </w:rPr>
              <w:t>油气回收装置处理</w:t>
            </w:r>
          </w:p>
        </w:tc>
        <w:tc>
          <w:tcPr>
            <w:tcW w:w="3035" w:type="dxa"/>
            <w:vMerge w:val="restart"/>
            <w:vAlign w:val="center"/>
          </w:tcPr>
          <w:p w14:paraId="77EB7580">
            <w:pPr>
              <w:pStyle w:val="32"/>
            </w:pPr>
            <w:r>
              <w:t>《加油站大气污染物排放标准》（GB20952-2020）</w:t>
            </w:r>
            <w:r>
              <w:rPr>
                <w:rFonts w:cs="Times New Roman"/>
                <w:sz w:val="21"/>
                <w:szCs w:val="21"/>
              </w:rPr>
              <w:t>中的相关规定</w:t>
            </w:r>
          </w:p>
        </w:tc>
      </w:tr>
      <w:tr w14:paraId="6C72A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44" w:type="dxa"/>
            <w:vMerge w:val="continue"/>
            <w:vAlign w:val="center"/>
          </w:tcPr>
          <w:p w14:paraId="258A7B5C">
            <w:pPr>
              <w:pStyle w:val="32"/>
            </w:pPr>
          </w:p>
        </w:tc>
        <w:tc>
          <w:tcPr>
            <w:tcW w:w="1653" w:type="dxa"/>
            <w:vAlign w:val="center"/>
          </w:tcPr>
          <w:p w14:paraId="3081C6EB">
            <w:pPr>
              <w:pStyle w:val="32"/>
              <w:rPr>
                <w:rFonts w:hint="eastAsia" w:eastAsia="宋体"/>
                <w:lang w:val="en-US" w:eastAsia="zh-CN"/>
              </w:rPr>
            </w:pPr>
            <w:r>
              <w:rPr>
                <w:rFonts w:hint="eastAsia"/>
                <w:lang w:val="en-US" w:eastAsia="zh-CN"/>
              </w:rPr>
              <w:t>厂界</w:t>
            </w:r>
          </w:p>
        </w:tc>
        <w:tc>
          <w:tcPr>
            <w:tcW w:w="1276" w:type="dxa"/>
            <w:vAlign w:val="center"/>
          </w:tcPr>
          <w:p w14:paraId="1131E87C">
            <w:pPr>
              <w:pStyle w:val="32"/>
            </w:pPr>
            <w:r>
              <w:t>非甲烷总烃</w:t>
            </w:r>
          </w:p>
        </w:tc>
        <w:tc>
          <w:tcPr>
            <w:tcW w:w="1784" w:type="dxa"/>
            <w:vMerge w:val="continue"/>
            <w:vAlign w:val="center"/>
          </w:tcPr>
          <w:p w14:paraId="6CF021D5">
            <w:pPr>
              <w:pStyle w:val="32"/>
            </w:pPr>
          </w:p>
        </w:tc>
        <w:tc>
          <w:tcPr>
            <w:tcW w:w="3035" w:type="dxa"/>
            <w:vMerge w:val="continue"/>
            <w:vAlign w:val="center"/>
          </w:tcPr>
          <w:p w14:paraId="11A9406C">
            <w:pPr>
              <w:pStyle w:val="32"/>
            </w:pPr>
          </w:p>
        </w:tc>
      </w:tr>
      <w:tr w14:paraId="61198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444" w:type="dxa"/>
            <w:vMerge w:val="continue"/>
            <w:vAlign w:val="center"/>
          </w:tcPr>
          <w:p w14:paraId="29E128F9">
            <w:pPr>
              <w:pStyle w:val="32"/>
            </w:pPr>
          </w:p>
        </w:tc>
        <w:tc>
          <w:tcPr>
            <w:tcW w:w="1653" w:type="dxa"/>
            <w:vAlign w:val="center"/>
          </w:tcPr>
          <w:p w14:paraId="1A2E042D">
            <w:pPr>
              <w:pStyle w:val="32"/>
            </w:pPr>
            <w:r>
              <w:rPr>
                <w:rFonts w:hint="eastAsia" w:cs="Times New Roman"/>
                <w:sz w:val="21"/>
                <w:szCs w:val="21"/>
              </w:rPr>
              <w:t>站区内</w:t>
            </w:r>
          </w:p>
        </w:tc>
        <w:tc>
          <w:tcPr>
            <w:tcW w:w="1276" w:type="dxa"/>
            <w:vAlign w:val="center"/>
          </w:tcPr>
          <w:p w14:paraId="529B0BD4">
            <w:pPr>
              <w:pStyle w:val="32"/>
            </w:pPr>
            <w:r>
              <w:rPr>
                <w:rFonts w:hint="eastAsia"/>
                <w:color w:val="000000"/>
                <w:sz w:val="21"/>
                <w:szCs w:val="21"/>
              </w:rPr>
              <w:t>非甲烷总烃</w:t>
            </w:r>
          </w:p>
        </w:tc>
        <w:tc>
          <w:tcPr>
            <w:tcW w:w="1784" w:type="dxa"/>
            <w:vMerge w:val="continue"/>
            <w:vAlign w:val="center"/>
          </w:tcPr>
          <w:p w14:paraId="42293124">
            <w:pPr>
              <w:pStyle w:val="32"/>
            </w:pPr>
          </w:p>
        </w:tc>
        <w:tc>
          <w:tcPr>
            <w:tcW w:w="3035" w:type="dxa"/>
            <w:vAlign w:val="center"/>
          </w:tcPr>
          <w:p w14:paraId="6CC195CB">
            <w:pPr>
              <w:pStyle w:val="32"/>
            </w:pPr>
            <w:r>
              <w:rPr>
                <w:rFonts w:hint="eastAsia" w:cs="Times New Roman"/>
                <w:color w:val="000000" w:themeColor="text1"/>
                <w:sz w:val="21"/>
                <w:szCs w:val="21"/>
                <w14:textFill>
                  <w14:solidFill>
                    <w14:schemeClr w14:val="tx1"/>
                  </w14:solidFill>
                </w14:textFill>
              </w:rPr>
              <w:t>《挥发性有机物无组织排放控制标准》（GB37822-2019）表A.1厂区内VOCs无组织排放限值</w:t>
            </w:r>
          </w:p>
        </w:tc>
      </w:tr>
      <w:tr w14:paraId="41BC1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44" w:type="dxa"/>
            <w:vAlign w:val="center"/>
          </w:tcPr>
          <w:p w14:paraId="59253FBA">
            <w:pPr>
              <w:pStyle w:val="32"/>
            </w:pPr>
            <w:r>
              <w:t>地表水环境</w:t>
            </w:r>
          </w:p>
        </w:tc>
        <w:tc>
          <w:tcPr>
            <w:tcW w:w="1653" w:type="dxa"/>
            <w:vAlign w:val="center"/>
          </w:tcPr>
          <w:p w14:paraId="1CDC3090">
            <w:pPr>
              <w:pStyle w:val="32"/>
              <w:rPr>
                <w:rFonts w:hint="eastAsia" w:eastAsia="宋体"/>
                <w:lang w:eastAsia="zh-CN"/>
              </w:rPr>
            </w:pPr>
            <w:r>
              <w:t>生活</w:t>
            </w:r>
            <w:r>
              <w:rPr>
                <w:rFonts w:hint="eastAsia"/>
                <w:lang w:val="en-US" w:eastAsia="zh-CN"/>
              </w:rPr>
              <w:t>污水</w:t>
            </w:r>
          </w:p>
        </w:tc>
        <w:tc>
          <w:tcPr>
            <w:tcW w:w="1276" w:type="dxa"/>
            <w:vAlign w:val="center"/>
          </w:tcPr>
          <w:p w14:paraId="5F70BAC4">
            <w:pPr>
              <w:pStyle w:val="32"/>
            </w:pPr>
            <w:r>
              <w:t>COD</w:t>
            </w:r>
            <w:r>
              <w:rPr>
                <w:vertAlign w:val="subscript"/>
              </w:rPr>
              <w:t>Cr</w:t>
            </w:r>
            <w:r>
              <w:t>、BOD</w:t>
            </w:r>
            <w:r>
              <w:rPr>
                <w:vertAlign w:val="subscript"/>
              </w:rPr>
              <w:t>5</w:t>
            </w:r>
            <w:r>
              <w:t>、SS、氨氮</w:t>
            </w:r>
          </w:p>
        </w:tc>
        <w:tc>
          <w:tcPr>
            <w:tcW w:w="1784" w:type="dxa"/>
            <w:vAlign w:val="center"/>
          </w:tcPr>
          <w:p w14:paraId="437BF2D2">
            <w:pPr>
              <w:pStyle w:val="32"/>
              <w:rPr>
                <w:rFonts w:hint="eastAsia" w:eastAsia="宋体"/>
                <w:lang w:eastAsia="zh-CN"/>
              </w:rPr>
            </w:pPr>
            <w:r>
              <w:rPr>
                <w:rFonts w:hint="eastAsia"/>
              </w:rPr>
              <w:t>经排水系统收集至化粪池处理后排放至市政排水管道</w:t>
            </w:r>
            <w:r>
              <w:rPr>
                <w:rFonts w:hint="eastAsia"/>
                <w:lang w:eastAsia="zh-CN"/>
              </w:rPr>
              <w:t>，</w:t>
            </w:r>
            <w:r>
              <w:rPr>
                <w:rFonts w:hint="eastAsia"/>
              </w:rPr>
              <w:t>最终进入</w:t>
            </w:r>
            <w:r>
              <w:rPr>
                <w:rFonts w:hint="eastAsia"/>
                <w:lang w:eastAsia="zh-CN"/>
              </w:rPr>
              <w:t>库尔勒经济技术开发区工业废水处理厂</w:t>
            </w:r>
            <w:r>
              <w:rPr>
                <w:rFonts w:hint="eastAsia"/>
              </w:rPr>
              <w:t>深度处理</w:t>
            </w:r>
          </w:p>
        </w:tc>
        <w:tc>
          <w:tcPr>
            <w:tcW w:w="3035" w:type="dxa"/>
            <w:vAlign w:val="center"/>
          </w:tcPr>
          <w:p w14:paraId="29A0EECE">
            <w:pPr>
              <w:pStyle w:val="32"/>
            </w:pPr>
            <w:r>
              <w:t>《污水综合排放标准》（GB8978-1996）三级排放标准</w:t>
            </w:r>
          </w:p>
        </w:tc>
      </w:tr>
      <w:tr w14:paraId="03844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444" w:type="dxa"/>
            <w:vAlign w:val="center"/>
          </w:tcPr>
          <w:p w14:paraId="59734F57">
            <w:pPr>
              <w:pStyle w:val="32"/>
            </w:pPr>
            <w:r>
              <w:t>声环境</w:t>
            </w:r>
          </w:p>
        </w:tc>
        <w:tc>
          <w:tcPr>
            <w:tcW w:w="1653" w:type="dxa"/>
            <w:vAlign w:val="center"/>
          </w:tcPr>
          <w:p w14:paraId="4CF987FE">
            <w:pPr>
              <w:pStyle w:val="32"/>
            </w:pPr>
            <w:r>
              <w:t>设备噪声</w:t>
            </w:r>
          </w:p>
        </w:tc>
        <w:tc>
          <w:tcPr>
            <w:tcW w:w="1276" w:type="dxa"/>
            <w:vAlign w:val="center"/>
          </w:tcPr>
          <w:p w14:paraId="5986669D">
            <w:pPr>
              <w:pStyle w:val="32"/>
            </w:pPr>
            <w:r>
              <w:t>噪声</w:t>
            </w:r>
          </w:p>
        </w:tc>
        <w:tc>
          <w:tcPr>
            <w:tcW w:w="1784" w:type="dxa"/>
            <w:vAlign w:val="center"/>
          </w:tcPr>
          <w:p w14:paraId="1C990FE3">
            <w:pPr>
              <w:pStyle w:val="32"/>
            </w:pPr>
            <w:r>
              <w:rPr>
                <w:rFonts w:cs="Times New Roman"/>
                <w:sz w:val="21"/>
                <w:szCs w:val="21"/>
              </w:rPr>
              <w:t>隔音措施、减振基座、合理布置生产设备</w:t>
            </w:r>
          </w:p>
        </w:tc>
        <w:tc>
          <w:tcPr>
            <w:tcW w:w="3035" w:type="dxa"/>
            <w:vAlign w:val="center"/>
          </w:tcPr>
          <w:p w14:paraId="77466604">
            <w:pPr>
              <w:pStyle w:val="32"/>
            </w:pPr>
            <w:r>
              <w:t>《工业企业厂界环境噪声排放标准》（GB12348</w:t>
            </w:r>
            <w:r>
              <w:rPr>
                <w:rFonts w:hint="eastAsia"/>
                <w:lang w:val="en-US" w:eastAsia="zh-CN"/>
              </w:rPr>
              <w:t>-</w:t>
            </w:r>
            <w:r>
              <w:t>2008）2类标准</w:t>
            </w:r>
          </w:p>
        </w:tc>
      </w:tr>
      <w:tr w14:paraId="7E673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444" w:type="dxa"/>
            <w:vAlign w:val="center"/>
          </w:tcPr>
          <w:p w14:paraId="2511E409">
            <w:pPr>
              <w:pStyle w:val="32"/>
            </w:pPr>
            <w:r>
              <w:rPr>
                <w:rFonts w:hint="eastAsia"/>
              </w:rPr>
              <w:t>固体废物</w:t>
            </w:r>
          </w:p>
        </w:tc>
        <w:tc>
          <w:tcPr>
            <w:tcW w:w="7748" w:type="dxa"/>
            <w:gridSpan w:val="4"/>
            <w:vAlign w:val="center"/>
          </w:tcPr>
          <w:p w14:paraId="663AC580">
            <w:pPr>
              <w:pStyle w:val="32"/>
            </w:pPr>
            <w:r>
              <w:t>本项目生活垃圾集中收集后交环卫部门统一清运处理；油罐清洁工作定期委托站外单位承包，</w:t>
            </w:r>
            <w:r>
              <w:rPr>
                <w:rFonts w:hint="eastAsia" w:cs="Times New Roman"/>
                <w:sz w:val="21"/>
                <w:szCs w:val="21"/>
              </w:rPr>
              <w:t>油罐污泥</w:t>
            </w:r>
            <w:r>
              <w:rPr>
                <w:rFonts w:hint="eastAsia" w:cs="Times New Roman"/>
                <w:sz w:val="21"/>
                <w:szCs w:val="21"/>
                <w:lang w:eastAsia="zh-CN"/>
              </w:rPr>
              <w:t>、</w:t>
            </w:r>
            <w:r>
              <w:rPr>
                <w:rFonts w:hint="eastAsia" w:cs="Times New Roman"/>
                <w:sz w:val="21"/>
                <w:szCs w:val="21"/>
                <w:lang w:val="en-US" w:eastAsia="zh-CN"/>
              </w:rPr>
              <w:t>废水</w:t>
            </w:r>
            <w:r>
              <w:rPr>
                <w:rFonts w:hint="eastAsia" w:cs="Times New Roman"/>
                <w:sz w:val="21"/>
                <w:szCs w:val="21"/>
              </w:rPr>
              <w:t>由作业方</w:t>
            </w:r>
            <w:r>
              <w:rPr>
                <w:rFonts w:cs="Times New Roman"/>
                <w:sz w:val="21"/>
                <w:szCs w:val="21"/>
              </w:rPr>
              <w:t>（危废处置单位）处置，不在站区</w:t>
            </w:r>
            <w:r>
              <w:rPr>
                <w:rFonts w:hint="eastAsia" w:cs="Times New Roman"/>
                <w:sz w:val="21"/>
                <w:szCs w:val="21"/>
                <w:lang w:val="en-US" w:eastAsia="zh-CN"/>
              </w:rPr>
              <w:t>贮存</w:t>
            </w:r>
            <w:r>
              <w:rPr>
                <w:rFonts w:cs="Times New Roman"/>
                <w:sz w:val="21"/>
                <w:szCs w:val="21"/>
              </w:rPr>
              <w:t>；</w:t>
            </w:r>
            <w:r>
              <w:rPr>
                <w:rFonts w:hint="eastAsia" w:cs="Times New Roman"/>
                <w:sz w:val="21"/>
                <w:szCs w:val="21"/>
              </w:rPr>
              <w:t>废弃的</w:t>
            </w:r>
            <w:r>
              <w:rPr>
                <w:rFonts w:hint="eastAsia" w:cs="Times New Roman"/>
                <w:sz w:val="21"/>
                <w:szCs w:val="21"/>
                <w:lang w:eastAsia="zh-CN"/>
              </w:rPr>
              <w:t>沾油手套</w:t>
            </w:r>
            <w:r>
              <w:rPr>
                <w:rFonts w:hint="eastAsia" w:cs="Times New Roman"/>
                <w:sz w:val="21"/>
                <w:szCs w:val="21"/>
              </w:rPr>
              <w:t>、抹布，设备检维修时产生废润滑油，集中收集</w:t>
            </w:r>
            <w:r>
              <w:rPr>
                <w:rFonts w:hint="eastAsia" w:cs="Times New Roman"/>
                <w:sz w:val="21"/>
                <w:szCs w:val="21"/>
                <w:lang w:val="en-US" w:eastAsia="zh-CN"/>
              </w:rPr>
              <w:t>贮存</w:t>
            </w:r>
            <w:r>
              <w:rPr>
                <w:rFonts w:hint="eastAsia" w:cs="Times New Roman"/>
                <w:sz w:val="21"/>
                <w:szCs w:val="21"/>
              </w:rPr>
              <w:t>于危险废物</w:t>
            </w:r>
            <w:r>
              <w:rPr>
                <w:rFonts w:hint="eastAsia" w:cs="Times New Roman"/>
                <w:sz w:val="21"/>
                <w:szCs w:val="21"/>
                <w:lang w:val="en-US" w:eastAsia="zh-CN"/>
              </w:rPr>
              <w:t>贮存点</w:t>
            </w:r>
            <w:r>
              <w:rPr>
                <w:rFonts w:hint="eastAsia" w:cs="Times New Roman"/>
                <w:sz w:val="21"/>
                <w:szCs w:val="21"/>
              </w:rPr>
              <w:t>并委托有资质单位</w:t>
            </w:r>
            <w:r>
              <w:rPr>
                <w:rFonts w:hint="eastAsia" w:cs="Times New Roman"/>
                <w:sz w:val="21"/>
                <w:szCs w:val="21"/>
                <w:lang w:val="en-US" w:eastAsia="zh-CN"/>
              </w:rPr>
              <w:t>拉运</w:t>
            </w:r>
            <w:r>
              <w:rPr>
                <w:rFonts w:hint="eastAsia" w:cs="Times New Roman"/>
                <w:sz w:val="21"/>
                <w:szCs w:val="21"/>
              </w:rPr>
              <w:t>处置</w:t>
            </w:r>
          </w:p>
        </w:tc>
      </w:tr>
      <w:tr w14:paraId="0263D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44" w:type="dxa"/>
            <w:vAlign w:val="center"/>
          </w:tcPr>
          <w:p w14:paraId="6721AF8E">
            <w:pPr>
              <w:pStyle w:val="32"/>
            </w:pPr>
            <w:r>
              <w:rPr>
                <w:rFonts w:hint="eastAsia"/>
              </w:rPr>
              <w:t>土壤及地下水污染防治措施</w:t>
            </w:r>
          </w:p>
        </w:tc>
        <w:tc>
          <w:tcPr>
            <w:tcW w:w="7748" w:type="dxa"/>
            <w:gridSpan w:val="4"/>
            <w:vAlign w:val="center"/>
          </w:tcPr>
          <w:p w14:paraId="7F8C47D8">
            <w:pPr>
              <w:pStyle w:val="32"/>
            </w:pPr>
            <w:r>
              <w:rPr>
                <w:rFonts w:hint="eastAsia"/>
              </w:rPr>
              <w:t>本项目采用双层罐和双层输油管道，可以有效防控油品泄漏，储罐内设置了</w:t>
            </w:r>
            <w:r>
              <w:t>液位计、液位管理系统、液位报警装置，液位计和液位管理系统能够准确显示和管理罐内液位，</w:t>
            </w:r>
            <w:r>
              <w:rPr>
                <w:rFonts w:hint="eastAsia"/>
              </w:rPr>
              <w:t>可以及时发现储罐泄漏，</w:t>
            </w:r>
            <w:r>
              <w:t>如果发生油罐</w:t>
            </w:r>
            <w:r>
              <w:rPr>
                <w:rFonts w:hint="eastAsia"/>
                <w:lang w:val="en-US" w:eastAsia="zh-CN"/>
              </w:rPr>
              <w:t>泄漏</w:t>
            </w:r>
            <w:r>
              <w:t>，液位报警装置能够发出警告</w:t>
            </w:r>
            <w:r>
              <w:rPr>
                <w:rFonts w:hint="eastAsia"/>
              </w:rPr>
              <w:t>，</w:t>
            </w:r>
            <w:r>
              <w:t>而且罐区均进行防腐防渗</w:t>
            </w:r>
            <w:r>
              <w:rPr>
                <w:rFonts w:hint="eastAsia"/>
              </w:rPr>
              <w:t>措施，本项目不直接取用地下水，项目对区域地下水的影响很小</w:t>
            </w:r>
          </w:p>
        </w:tc>
      </w:tr>
      <w:tr w14:paraId="2138C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Align w:val="center"/>
          </w:tcPr>
          <w:p w14:paraId="07BB818B">
            <w:pPr>
              <w:pStyle w:val="32"/>
            </w:pPr>
            <w:r>
              <w:t>生态保护措施</w:t>
            </w:r>
          </w:p>
        </w:tc>
        <w:tc>
          <w:tcPr>
            <w:tcW w:w="7748" w:type="dxa"/>
            <w:gridSpan w:val="4"/>
            <w:vAlign w:val="center"/>
          </w:tcPr>
          <w:p w14:paraId="5CBD28C0">
            <w:pPr>
              <w:pStyle w:val="32"/>
              <w:jc w:val="center"/>
              <w:rPr>
                <w:rFonts w:hint="eastAsia" w:eastAsia="宋体"/>
                <w:lang w:val="en-US" w:eastAsia="zh-CN"/>
              </w:rPr>
            </w:pPr>
            <w:r>
              <w:rPr>
                <w:rFonts w:hint="eastAsia"/>
                <w:lang w:val="en-US" w:eastAsia="zh-CN"/>
              </w:rPr>
              <w:t>无</w:t>
            </w:r>
          </w:p>
        </w:tc>
      </w:tr>
      <w:tr w14:paraId="03053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6" w:hRule="atLeast"/>
        </w:trPr>
        <w:tc>
          <w:tcPr>
            <w:tcW w:w="1444" w:type="dxa"/>
            <w:vAlign w:val="center"/>
          </w:tcPr>
          <w:p w14:paraId="6AFF0597">
            <w:pPr>
              <w:pStyle w:val="32"/>
            </w:pPr>
            <w:r>
              <w:t>环境风险</w:t>
            </w:r>
          </w:p>
          <w:p w14:paraId="26FDBD01">
            <w:pPr>
              <w:pStyle w:val="32"/>
            </w:pPr>
            <w:r>
              <w:t>防范措施</w:t>
            </w:r>
          </w:p>
        </w:tc>
        <w:tc>
          <w:tcPr>
            <w:tcW w:w="7748" w:type="dxa"/>
            <w:gridSpan w:val="4"/>
            <w:vAlign w:val="center"/>
          </w:tcPr>
          <w:p w14:paraId="07966F15">
            <w:pPr>
              <w:pStyle w:val="32"/>
              <w:jc w:val="left"/>
            </w:pPr>
            <w:r>
              <w:rPr>
                <w:rFonts w:hint="eastAsia" w:ascii="宋体" w:hAnsi="宋体" w:eastAsia="宋体" w:cs="宋体"/>
              </w:rPr>
              <w:t>①</w:t>
            </w:r>
            <w:r>
              <w:rPr>
                <w:rFonts w:hint="eastAsia"/>
              </w:rPr>
              <w:t>本项目采用双层罐和双层输油管道，严格按照《汽车加油加气加氢站技术标准》（GB50156-2021）要求进行罐区防腐防渗工作；</w:t>
            </w:r>
          </w:p>
          <w:p w14:paraId="634BB974">
            <w:pPr>
              <w:pStyle w:val="32"/>
              <w:jc w:val="left"/>
            </w:pPr>
            <w:r>
              <w:rPr>
                <w:rFonts w:hint="eastAsia" w:ascii="宋体" w:hAnsi="宋体" w:eastAsia="宋体" w:cs="宋体"/>
              </w:rPr>
              <w:t>②</w:t>
            </w:r>
            <w:r>
              <w:t>加强油罐与管道系统的管理与维修，使整个油品储存系统处于密闭化、严格防止跑冒滴漏现象发生；</w:t>
            </w:r>
          </w:p>
          <w:p w14:paraId="79E923B0">
            <w:pPr>
              <w:pStyle w:val="32"/>
              <w:jc w:val="left"/>
            </w:pPr>
            <w:r>
              <w:rPr>
                <w:rFonts w:hint="eastAsia" w:ascii="宋体" w:hAnsi="宋体" w:eastAsia="宋体" w:cs="宋体"/>
              </w:rPr>
              <w:t>③</w:t>
            </w:r>
            <w:r>
              <w:t>项目防火防爆等消防安全措施到位，生产设备、管道、阀门等密封不泄漏，防止物料的跑、冒、滴、漏，加强管理、消除隐患。一旦发生溢油事故，被油品污染的泥土、泥沙、抢险人员使用的棉纱等物品，必须作为危险固废处理，禁止随意</w:t>
            </w:r>
            <w:r>
              <w:rPr>
                <w:rFonts w:hint="eastAsia"/>
              </w:rPr>
              <w:t>丢弃</w:t>
            </w:r>
            <w:r>
              <w:t>。</w:t>
            </w:r>
          </w:p>
          <w:p w14:paraId="538B2CB7">
            <w:pPr>
              <w:pStyle w:val="32"/>
              <w:jc w:val="left"/>
            </w:pPr>
            <w:r>
              <w:rPr>
                <w:rFonts w:hint="eastAsia" w:ascii="宋体" w:hAnsi="宋体" w:eastAsia="宋体" w:cs="宋体"/>
              </w:rPr>
              <w:t>④</w:t>
            </w:r>
            <w:r>
              <w:t>加强操作人员的岗位培训</w:t>
            </w:r>
            <w:r>
              <w:rPr>
                <w:rFonts w:hint="eastAsia"/>
              </w:rPr>
              <w:t>，</w:t>
            </w:r>
            <w:r>
              <w:t>严格遵守开、停工规程。对事故易发部位地点，按规定时间巡检，发现问题及早解决</w:t>
            </w:r>
            <w:r>
              <w:rPr>
                <w:rFonts w:hint="eastAsia"/>
                <w:lang w:eastAsia="zh-CN"/>
              </w:rPr>
              <w:t>，</w:t>
            </w:r>
            <w:r>
              <w:t>把每个工作人员在业务、工作上与消防管理上的职责、责任明确清楚</w:t>
            </w:r>
            <w:r>
              <w:rPr>
                <w:rFonts w:hint="eastAsia"/>
              </w:rPr>
              <w:t>；</w:t>
            </w:r>
          </w:p>
          <w:p w14:paraId="12EB5FF4">
            <w:pPr>
              <w:pStyle w:val="32"/>
              <w:jc w:val="left"/>
            </w:pPr>
            <w:r>
              <w:rPr>
                <w:rFonts w:hint="eastAsia" w:ascii="宋体" w:hAnsi="宋体" w:eastAsia="宋体" w:cs="宋体"/>
              </w:rPr>
              <w:t>⑤</w:t>
            </w:r>
            <w:r>
              <w:t>对各类储存容器、机电装置、安全设施、消防器材等，进行日常的、定期的、专业的防火安全检查，并将发现的问题落实到人、限期落实整改</w:t>
            </w:r>
            <w:r>
              <w:rPr>
                <w:rFonts w:hint="eastAsia"/>
              </w:rPr>
              <w:t>；</w:t>
            </w:r>
          </w:p>
          <w:p w14:paraId="1A3438FF">
            <w:pPr>
              <w:pStyle w:val="32"/>
              <w:jc w:val="left"/>
            </w:pPr>
            <w:r>
              <w:rPr>
                <w:rFonts w:hint="eastAsia" w:ascii="宋体" w:hAnsi="宋体" w:eastAsia="宋体" w:cs="宋体"/>
              </w:rPr>
              <w:t>⑥</w:t>
            </w:r>
            <w:r>
              <w:rPr>
                <w:rFonts w:hint="eastAsia"/>
              </w:rPr>
              <w:t>建立夜间值班巡查制度、火灾报告制度、安全奖惩制度等；项目需编制《突发环境事件应急预案》并备案，并根据要求定期演练，并做好应急预案的修订工作。</w:t>
            </w:r>
          </w:p>
        </w:tc>
      </w:tr>
      <w:tr w14:paraId="1E003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1444" w:type="dxa"/>
            <w:vAlign w:val="center"/>
          </w:tcPr>
          <w:p w14:paraId="34868546">
            <w:pPr>
              <w:pStyle w:val="32"/>
            </w:pPr>
            <w:r>
              <w:t>其他环境</w:t>
            </w:r>
          </w:p>
          <w:p w14:paraId="2B307BC3">
            <w:pPr>
              <w:pStyle w:val="32"/>
            </w:pPr>
            <w:r>
              <w:t>管理要求</w:t>
            </w:r>
          </w:p>
        </w:tc>
        <w:tc>
          <w:tcPr>
            <w:tcW w:w="7748" w:type="dxa"/>
            <w:gridSpan w:val="4"/>
            <w:vAlign w:val="center"/>
          </w:tcPr>
          <w:p w14:paraId="18353BED">
            <w:pPr>
              <w:pStyle w:val="32"/>
              <w:jc w:val="left"/>
            </w:pPr>
            <w:r>
              <w:rPr>
                <w:rFonts w:hint="eastAsia"/>
              </w:rPr>
              <w:t>1、</w:t>
            </w:r>
            <w:r>
              <w:rPr>
                <w:rFonts w:hint="eastAsia" w:ascii="宋体" w:hAnsi="宋体" w:cs="宋体"/>
                <w:color w:val="000000"/>
                <w:kern w:val="0"/>
                <w:lang w:bidi="ar"/>
              </w:rPr>
              <w:t>对照《固定污染</w:t>
            </w:r>
            <w:r>
              <w:rPr>
                <w:rFonts w:hint="eastAsia" w:cs="Times New Roman"/>
                <w:color w:val="000000"/>
                <w:kern w:val="0"/>
                <w:lang w:bidi="ar"/>
              </w:rPr>
              <w:t>源排污许可分类管理名录》（2019年版），本项目属于“四十二、零售业52-100汽车、摩托车、零配件和燃料及其他动力销售526—位于城市建成区的加油站，</w:t>
            </w:r>
            <w:r>
              <w:rPr>
                <w:rFonts w:hint="eastAsia" w:cs="Times New Roman"/>
                <w:color w:val="000000"/>
                <w:kern w:val="0"/>
                <w:lang w:val="en-US" w:eastAsia="zh-CN" w:bidi="ar"/>
              </w:rPr>
              <w:t>实行</w:t>
            </w:r>
            <w:r>
              <w:rPr>
                <w:rFonts w:hint="eastAsia" w:cs="Times New Roman"/>
                <w:color w:val="000000"/>
                <w:kern w:val="0"/>
                <w:lang w:bidi="ar"/>
              </w:rPr>
              <w:t>简化管理</w:t>
            </w:r>
            <w:r>
              <w:rPr>
                <w:rFonts w:hint="eastAsia"/>
              </w:rPr>
              <w:t>。《排污许可证申请与核发技术规范 储油库、加油站》（HJ1118-2020）已发布实施，建设单位应在项目建成后、发生实际排污行为之前，按照国家环境保护相关法律法规以及排污许可证申请与核发技术规范要求申请排污许可证，不得无证排污或不按证排污。</w:t>
            </w:r>
          </w:p>
          <w:p w14:paraId="1DE6B809">
            <w:pPr>
              <w:spacing w:line="240" w:lineRule="auto"/>
              <w:ind w:firstLine="0" w:firstLineChars="0"/>
              <w:textAlignment w:val="auto"/>
              <w:rPr>
                <w:rFonts w:cs="Times New Roman"/>
                <w:snapToGrid w:val="0"/>
                <w:kern w:val="0"/>
                <w:sz w:val="21"/>
                <w:szCs w:val="21"/>
              </w:rPr>
            </w:pPr>
            <w:r>
              <w:rPr>
                <w:rFonts w:cs="Times New Roman"/>
                <w:snapToGrid w:val="0"/>
                <w:kern w:val="0"/>
                <w:sz w:val="21"/>
                <w:szCs w:val="21"/>
              </w:rPr>
              <w:t>2、根据《排污许可证申请与核发技术规范 储油库、加油站》（HJ1118-2020）要求制定环境管理台账、执行许可报告、监测计划并落实自行监测。</w:t>
            </w:r>
          </w:p>
          <w:p w14:paraId="787A663F">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3、排污口规范化</w:t>
            </w:r>
          </w:p>
          <w:p w14:paraId="5CC51F82">
            <w:pPr>
              <w:pStyle w:val="32"/>
              <w:ind w:firstLine="420" w:firstLineChars="200"/>
              <w:jc w:val="left"/>
            </w:pPr>
            <w:r>
              <w:rPr>
                <w:rFonts w:hint="eastAsia" w:cs="Times New Roman"/>
                <w:sz w:val="21"/>
                <w:szCs w:val="21"/>
              </w:rPr>
              <w:t>根据国家标准《环境保护图形标志——排放口（源）》和国家环保总局《排污口规范化整治要求（试行）》的技术要求，本项目所有排放口，包括水、气、声、固体废物，必须按照“便于计量监测、便于日常现场监督检查”的原则和规范化要求，设置与之相适应的环境保护图形标志牌</w:t>
            </w:r>
            <w:r>
              <w:rPr>
                <w:rFonts w:cs="Times New Roman"/>
                <w:sz w:val="21"/>
                <w:szCs w:val="21"/>
              </w:rPr>
              <w:t>。</w:t>
            </w:r>
          </w:p>
        </w:tc>
      </w:tr>
    </w:tbl>
    <w:p w14:paraId="7BC9BF27">
      <w:pPr>
        <w:pStyle w:val="4"/>
      </w:pPr>
      <w:r>
        <w:rPr>
          <w:rFonts w:hint="eastAsia"/>
        </w:rPr>
        <w:t>六、结论</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FBA9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1" w:hRule="atLeast"/>
          <w:jc w:val="center"/>
        </w:trPr>
        <w:tc>
          <w:tcPr>
            <w:tcW w:w="8865" w:type="dxa"/>
            <w:vAlign w:val="center"/>
          </w:tcPr>
          <w:p w14:paraId="4D0C224D">
            <w:pPr>
              <w:ind w:firstLine="480"/>
              <w:rPr>
                <w:rFonts w:hAnsi="宋体" w:cs="Arial"/>
                <w:color w:val="000000"/>
              </w:rPr>
            </w:pPr>
            <w:r>
              <w:rPr>
                <w:rFonts w:hint="eastAsia" w:ascii="宋体" w:cs="宋体"/>
              </w:rPr>
              <w:t>本项目选址可行，总体布置合理，符合国家及地方相关产业政策。营运期排放的各种污染物经采取相关措施后对区域环境空气、地表水、声环境影响不大，项目的实施不会对区域环境质量产生明显影响，且</w:t>
            </w:r>
            <w:r>
              <w:rPr>
                <w:rFonts w:hint="eastAsia" w:ascii="宋体" w:cs="宋体"/>
                <w:lang w:val="en-US" w:eastAsia="zh-CN"/>
              </w:rPr>
              <w:t>提升</w:t>
            </w:r>
            <w:r>
              <w:rPr>
                <w:rFonts w:hint="eastAsia" w:ascii="宋体" w:cs="宋体"/>
              </w:rPr>
              <w:t>了社会效益、经济效益等。因此，从环境保护角度分析，</w:t>
            </w:r>
            <w:r>
              <w:rPr>
                <w:rFonts w:ascii="宋体" w:cs="宋体"/>
              </w:rPr>
              <w:t>建设项目环境影响可行</w:t>
            </w:r>
            <w:r>
              <w:rPr>
                <w:rFonts w:hint="eastAsia" w:ascii="宋体" w:cs="宋体"/>
              </w:rPr>
              <w:t>。</w:t>
            </w:r>
          </w:p>
          <w:p w14:paraId="101C932B">
            <w:pPr>
              <w:ind w:firstLine="480"/>
              <w:rPr>
                <w:rFonts w:ascii="宋体" w:cs="宋体"/>
              </w:rPr>
            </w:pPr>
          </w:p>
          <w:p w14:paraId="028F2C7F">
            <w:pPr>
              <w:ind w:firstLine="480"/>
              <w:rPr>
                <w:rFonts w:ascii="宋体" w:cs="宋体"/>
              </w:rPr>
            </w:pPr>
          </w:p>
          <w:p w14:paraId="6D251210">
            <w:pPr>
              <w:ind w:firstLine="480"/>
              <w:rPr>
                <w:rFonts w:ascii="宋体" w:cs="宋体"/>
              </w:rPr>
            </w:pPr>
          </w:p>
          <w:p w14:paraId="224DA571">
            <w:pPr>
              <w:ind w:firstLine="480"/>
              <w:rPr>
                <w:rFonts w:ascii="宋体" w:cs="宋体"/>
              </w:rPr>
            </w:pPr>
          </w:p>
          <w:p w14:paraId="62E8D82A">
            <w:pPr>
              <w:ind w:firstLine="480"/>
              <w:rPr>
                <w:rFonts w:ascii="宋体" w:cs="宋体"/>
              </w:rPr>
            </w:pPr>
          </w:p>
          <w:p w14:paraId="62CAB0F8">
            <w:pPr>
              <w:ind w:firstLine="480"/>
              <w:rPr>
                <w:rFonts w:ascii="宋体" w:cs="宋体"/>
              </w:rPr>
            </w:pPr>
          </w:p>
          <w:p w14:paraId="2C2F4CEA">
            <w:pPr>
              <w:ind w:firstLine="480"/>
              <w:rPr>
                <w:rFonts w:ascii="宋体" w:cs="宋体"/>
              </w:rPr>
            </w:pPr>
          </w:p>
          <w:p w14:paraId="00BB9153">
            <w:pPr>
              <w:ind w:firstLine="480"/>
              <w:rPr>
                <w:rFonts w:ascii="宋体" w:cs="宋体"/>
              </w:rPr>
            </w:pPr>
          </w:p>
          <w:p w14:paraId="2A4326B5">
            <w:pPr>
              <w:ind w:firstLine="480"/>
              <w:rPr>
                <w:rFonts w:ascii="宋体" w:cs="宋体"/>
              </w:rPr>
            </w:pPr>
          </w:p>
          <w:p w14:paraId="70FEE7BE">
            <w:pPr>
              <w:ind w:firstLine="480"/>
              <w:rPr>
                <w:rFonts w:ascii="宋体" w:cs="宋体"/>
              </w:rPr>
            </w:pPr>
          </w:p>
          <w:p w14:paraId="441EA5FF">
            <w:pPr>
              <w:ind w:firstLine="480"/>
              <w:rPr>
                <w:rFonts w:ascii="宋体" w:cs="宋体"/>
              </w:rPr>
            </w:pPr>
          </w:p>
          <w:p w14:paraId="17C1276B">
            <w:pPr>
              <w:ind w:firstLine="0" w:firstLineChars="0"/>
              <w:rPr>
                <w:rFonts w:ascii="宋体" w:cs="宋体"/>
              </w:rPr>
            </w:pPr>
          </w:p>
          <w:p w14:paraId="2F586D87">
            <w:pPr>
              <w:pStyle w:val="2"/>
              <w:rPr>
                <w:rFonts w:ascii="宋体" w:cs="宋体"/>
              </w:rPr>
            </w:pPr>
          </w:p>
          <w:p w14:paraId="7669BBC4">
            <w:pPr>
              <w:rPr>
                <w:rFonts w:ascii="宋体" w:cs="宋体"/>
              </w:rPr>
            </w:pPr>
          </w:p>
          <w:p w14:paraId="4C6A029E">
            <w:pPr>
              <w:pStyle w:val="2"/>
              <w:rPr>
                <w:rFonts w:ascii="宋体" w:cs="宋体"/>
              </w:rPr>
            </w:pPr>
          </w:p>
          <w:p w14:paraId="4AFDE8DD">
            <w:pPr>
              <w:rPr>
                <w:rFonts w:ascii="宋体" w:cs="宋体"/>
              </w:rPr>
            </w:pPr>
          </w:p>
          <w:p w14:paraId="245E772A">
            <w:pPr>
              <w:pStyle w:val="2"/>
              <w:rPr>
                <w:rFonts w:ascii="宋体" w:cs="宋体"/>
              </w:rPr>
            </w:pPr>
          </w:p>
          <w:p w14:paraId="344D0E5C">
            <w:pPr>
              <w:rPr>
                <w:rFonts w:ascii="宋体" w:cs="宋体"/>
              </w:rPr>
            </w:pPr>
          </w:p>
          <w:p w14:paraId="5FD76D67">
            <w:pPr>
              <w:pStyle w:val="2"/>
              <w:rPr>
                <w:rFonts w:ascii="宋体" w:cs="宋体"/>
              </w:rPr>
            </w:pPr>
          </w:p>
          <w:p w14:paraId="0E478302">
            <w:pPr>
              <w:rPr>
                <w:rFonts w:ascii="宋体" w:cs="宋体"/>
              </w:rPr>
            </w:pPr>
          </w:p>
          <w:p w14:paraId="5C8152A1">
            <w:pPr>
              <w:pStyle w:val="2"/>
              <w:rPr>
                <w:rFonts w:ascii="宋体" w:cs="宋体"/>
              </w:rPr>
            </w:pPr>
          </w:p>
          <w:p w14:paraId="5E8F4572"/>
        </w:tc>
      </w:tr>
    </w:tbl>
    <w:p w14:paraId="2FA966ED">
      <w:pPr>
        <w:ind w:firstLine="480"/>
        <w:rPr>
          <w:rFonts w:ascii="宋体"/>
        </w:rPr>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pgNumType w:fmt="decimal" w:start="1"/>
          <w:cols w:space="720" w:num="1"/>
          <w:docGrid w:linePitch="312" w:charSpace="0"/>
        </w:sectPr>
      </w:pPr>
    </w:p>
    <w:p w14:paraId="08DF18AB">
      <w:pPr>
        <w:ind w:firstLine="0" w:firstLineChars="0"/>
        <w:jc w:val="both"/>
        <w:rPr>
          <w:b/>
          <w:bCs/>
        </w:rPr>
      </w:pPr>
      <w:r>
        <w:rPr>
          <w:rFonts w:hint="eastAsia"/>
          <w:b/>
          <w:bCs/>
        </w:rPr>
        <w:t>附表</w:t>
      </w:r>
    </w:p>
    <w:p w14:paraId="6077E114">
      <w:pPr>
        <w:pStyle w:val="16"/>
        <w:adjustRightInd w:val="0"/>
        <w:snapToGrid w:val="0"/>
        <w:spacing w:before="0" w:beforeAutospacing="0" w:after="0" w:afterAutospacing="0"/>
        <w:ind w:firstLine="760"/>
        <w:jc w:val="center"/>
        <w:outlineLvl w:val="0"/>
        <w:rPr>
          <w:rFonts w:ascii="方正小标宋_GBK" w:hAnsi="黑体" w:eastAsia="方正小标宋_GBK"/>
          <w:sz w:val="38"/>
          <w:szCs w:val="38"/>
        </w:rPr>
      </w:pPr>
      <w:r>
        <w:rPr>
          <w:rFonts w:hint="eastAsia" w:ascii="方正小标宋_GBK" w:hAnsi="黑体" w:eastAsia="方正小标宋_GBK"/>
          <w:sz w:val="38"/>
          <w:szCs w:val="38"/>
        </w:rPr>
        <w:t>建设项目污染物排放量汇总表</w:t>
      </w:r>
    </w:p>
    <w:tbl>
      <w:tblPr>
        <w:tblStyle w:val="2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418"/>
        <w:gridCol w:w="1701"/>
        <w:gridCol w:w="1275"/>
        <w:gridCol w:w="1418"/>
        <w:gridCol w:w="1701"/>
        <w:gridCol w:w="1701"/>
        <w:gridCol w:w="1701"/>
        <w:gridCol w:w="1569"/>
      </w:tblGrid>
      <w:tr w14:paraId="1A211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4" w:hRule="atLeast"/>
        </w:trPr>
        <w:tc>
          <w:tcPr>
            <w:tcW w:w="1304" w:type="dxa"/>
            <w:tcBorders>
              <w:tl2br w:val="single" w:color="auto" w:sz="4" w:space="0"/>
            </w:tcBorders>
            <w:tcMar>
              <w:left w:w="28" w:type="dxa"/>
              <w:right w:w="28" w:type="dxa"/>
            </w:tcMar>
            <w:vAlign w:val="center"/>
          </w:tcPr>
          <w:p w14:paraId="31FF82C2">
            <w:pPr>
              <w:pStyle w:val="32"/>
              <w:bidi w:val="0"/>
            </w:pPr>
            <w:r>
              <w:t>项目</w:t>
            </w:r>
          </w:p>
          <w:p w14:paraId="2AF66AE5">
            <w:pPr>
              <w:pStyle w:val="32"/>
              <w:bidi w:val="0"/>
            </w:pPr>
            <w:r>
              <w:t>分类</w:t>
            </w:r>
          </w:p>
        </w:tc>
        <w:tc>
          <w:tcPr>
            <w:tcW w:w="1418" w:type="dxa"/>
            <w:tcMar>
              <w:left w:w="28" w:type="dxa"/>
              <w:right w:w="28" w:type="dxa"/>
            </w:tcMar>
            <w:vAlign w:val="center"/>
          </w:tcPr>
          <w:p w14:paraId="52C8136B">
            <w:pPr>
              <w:pStyle w:val="32"/>
              <w:bidi w:val="0"/>
            </w:pPr>
            <w:r>
              <w:t>污染物名称</w:t>
            </w:r>
          </w:p>
        </w:tc>
        <w:tc>
          <w:tcPr>
            <w:tcW w:w="1701" w:type="dxa"/>
            <w:tcMar>
              <w:left w:w="28" w:type="dxa"/>
              <w:right w:w="28" w:type="dxa"/>
            </w:tcMar>
            <w:vAlign w:val="center"/>
          </w:tcPr>
          <w:p w14:paraId="5C05C769">
            <w:pPr>
              <w:pStyle w:val="32"/>
              <w:bidi w:val="0"/>
            </w:pPr>
            <w:r>
              <w:rPr>
                <w:rFonts w:hint="eastAsia"/>
              </w:rPr>
              <w:t>现有</w:t>
            </w:r>
            <w:r>
              <w:t>工程排放量（固体废物产生量）</w:t>
            </w:r>
            <w:r>
              <w:fldChar w:fldCharType="begin"/>
            </w:r>
            <w:r>
              <w:instrText xml:space="preserve"> = 1 \* GB3 \* MERGEFORMAT </w:instrText>
            </w:r>
            <w:r>
              <w:fldChar w:fldCharType="separate"/>
            </w:r>
            <w:r>
              <w:rPr>
                <w:rFonts w:hint="eastAsia"/>
              </w:rPr>
              <w:t>①</w:t>
            </w:r>
            <w:r>
              <w:fldChar w:fldCharType="end"/>
            </w:r>
          </w:p>
        </w:tc>
        <w:tc>
          <w:tcPr>
            <w:tcW w:w="1275" w:type="dxa"/>
            <w:tcMar>
              <w:left w:w="28" w:type="dxa"/>
              <w:right w:w="28" w:type="dxa"/>
            </w:tcMar>
            <w:vAlign w:val="center"/>
          </w:tcPr>
          <w:p w14:paraId="142F79CC">
            <w:pPr>
              <w:pStyle w:val="32"/>
              <w:bidi w:val="0"/>
            </w:pPr>
            <w:r>
              <w:rPr>
                <w:rFonts w:hint="eastAsia"/>
              </w:rPr>
              <w:t>现有</w:t>
            </w:r>
            <w:r>
              <w:t>工程许可排放量</w:t>
            </w:r>
          </w:p>
          <w:p w14:paraId="4C60E193">
            <w:pPr>
              <w:pStyle w:val="32"/>
              <w:bidi w:val="0"/>
            </w:pPr>
            <w:r>
              <w:fldChar w:fldCharType="begin"/>
            </w:r>
            <w:r>
              <w:instrText xml:space="preserve"> = 2 \* GB3 \* MERGEFORMAT </w:instrText>
            </w:r>
            <w:r>
              <w:fldChar w:fldCharType="separate"/>
            </w:r>
            <w:r>
              <w:rPr>
                <w:rFonts w:hint="eastAsia"/>
              </w:rPr>
              <w:t>②</w:t>
            </w:r>
            <w:r>
              <w:fldChar w:fldCharType="end"/>
            </w:r>
          </w:p>
        </w:tc>
        <w:tc>
          <w:tcPr>
            <w:tcW w:w="1418" w:type="dxa"/>
            <w:tcMar>
              <w:left w:w="28" w:type="dxa"/>
              <w:right w:w="28" w:type="dxa"/>
            </w:tcMar>
            <w:vAlign w:val="center"/>
          </w:tcPr>
          <w:p w14:paraId="04868987">
            <w:pPr>
              <w:pStyle w:val="32"/>
              <w:bidi w:val="0"/>
            </w:pPr>
            <w:r>
              <w:t>在建工程排放量（固体废物产生量）</w:t>
            </w:r>
            <w:r>
              <w:fldChar w:fldCharType="begin"/>
            </w:r>
            <w:r>
              <w:instrText xml:space="preserve"> = 3 \* GB3 \* MERGEFORMAT </w:instrText>
            </w:r>
            <w:r>
              <w:fldChar w:fldCharType="separate"/>
            </w:r>
            <w:r>
              <w:rPr>
                <w:rFonts w:hint="eastAsia"/>
              </w:rPr>
              <w:t>③</w:t>
            </w:r>
            <w:r>
              <w:fldChar w:fldCharType="end"/>
            </w:r>
          </w:p>
        </w:tc>
        <w:tc>
          <w:tcPr>
            <w:tcW w:w="1701" w:type="dxa"/>
            <w:tcMar>
              <w:left w:w="28" w:type="dxa"/>
              <w:right w:w="28" w:type="dxa"/>
            </w:tcMar>
            <w:vAlign w:val="center"/>
          </w:tcPr>
          <w:p w14:paraId="7BEDD9E5">
            <w:pPr>
              <w:pStyle w:val="32"/>
              <w:bidi w:val="0"/>
            </w:pPr>
            <w:r>
              <w:t>本项目排放量（固体废物产生量）</w:t>
            </w:r>
            <w:r>
              <w:fldChar w:fldCharType="begin"/>
            </w:r>
            <w:r>
              <w:instrText xml:space="preserve"> = 4 \* GB3 \* MERGEFORMAT </w:instrText>
            </w:r>
            <w:r>
              <w:fldChar w:fldCharType="separate"/>
            </w:r>
            <w:r>
              <w:rPr>
                <w:rFonts w:hint="eastAsia"/>
              </w:rPr>
              <w:t>④</w:t>
            </w:r>
            <w:r>
              <w:fldChar w:fldCharType="end"/>
            </w:r>
          </w:p>
        </w:tc>
        <w:tc>
          <w:tcPr>
            <w:tcW w:w="1701" w:type="dxa"/>
            <w:tcMar>
              <w:left w:w="28" w:type="dxa"/>
              <w:right w:w="28" w:type="dxa"/>
            </w:tcMar>
            <w:vAlign w:val="center"/>
          </w:tcPr>
          <w:p w14:paraId="1174AFBE">
            <w:pPr>
              <w:pStyle w:val="32"/>
              <w:bidi w:val="0"/>
            </w:pPr>
            <w:r>
              <w:t>以新带老削减量（新建项目不填）</w:t>
            </w:r>
            <w:r>
              <w:fldChar w:fldCharType="begin"/>
            </w:r>
            <w:r>
              <w:instrText xml:space="preserve"> = 5 \* GB3 \* MERGEFORMAT </w:instrText>
            </w:r>
            <w:r>
              <w:fldChar w:fldCharType="separate"/>
            </w:r>
            <w:r>
              <w:rPr>
                <w:rFonts w:hint="eastAsia"/>
              </w:rPr>
              <w:t>⑤</w:t>
            </w:r>
            <w:r>
              <w:fldChar w:fldCharType="end"/>
            </w:r>
          </w:p>
        </w:tc>
        <w:tc>
          <w:tcPr>
            <w:tcW w:w="1701" w:type="dxa"/>
            <w:tcMar>
              <w:left w:w="28" w:type="dxa"/>
              <w:right w:w="28" w:type="dxa"/>
            </w:tcMar>
            <w:vAlign w:val="center"/>
          </w:tcPr>
          <w:p w14:paraId="6E60F6EA">
            <w:pPr>
              <w:pStyle w:val="32"/>
              <w:bidi w:val="0"/>
            </w:pPr>
            <w:r>
              <w:t>本项目建成后全厂排放量（固体废物产生量）</w:t>
            </w:r>
            <w:r>
              <w:fldChar w:fldCharType="begin"/>
            </w:r>
            <w:r>
              <w:instrText xml:space="preserve"> = 6 \* GB3 \* MERGEFORMAT </w:instrText>
            </w:r>
            <w:r>
              <w:fldChar w:fldCharType="separate"/>
            </w:r>
            <w:r>
              <w:rPr>
                <w:rFonts w:hint="eastAsia"/>
              </w:rPr>
              <w:t>⑥</w:t>
            </w:r>
            <w:r>
              <w:fldChar w:fldCharType="end"/>
            </w:r>
          </w:p>
        </w:tc>
        <w:tc>
          <w:tcPr>
            <w:tcW w:w="1569" w:type="dxa"/>
            <w:tcMar>
              <w:left w:w="28" w:type="dxa"/>
              <w:right w:w="28" w:type="dxa"/>
            </w:tcMar>
            <w:vAlign w:val="center"/>
          </w:tcPr>
          <w:p w14:paraId="4E12ABF0">
            <w:pPr>
              <w:pStyle w:val="32"/>
              <w:bidi w:val="0"/>
            </w:pPr>
            <w:r>
              <w:t>变化量</w:t>
            </w:r>
            <w:r>
              <w:fldChar w:fldCharType="begin"/>
            </w:r>
            <w:r>
              <w:instrText xml:space="preserve"> = 7 \* GB3 \* MERGEFORMAT </w:instrText>
            </w:r>
            <w:r>
              <w:fldChar w:fldCharType="separate"/>
            </w:r>
            <w:r>
              <w:rPr>
                <w:rFonts w:hint="eastAsia"/>
              </w:rPr>
              <w:t>⑦</w:t>
            </w:r>
            <w:r>
              <w:fldChar w:fldCharType="end"/>
            </w:r>
          </w:p>
        </w:tc>
      </w:tr>
      <w:tr w14:paraId="2C4F7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Align w:val="center"/>
          </w:tcPr>
          <w:p w14:paraId="067D98A4">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废气</w:t>
            </w:r>
          </w:p>
        </w:tc>
        <w:tc>
          <w:tcPr>
            <w:tcW w:w="1418" w:type="dxa"/>
            <w:vAlign w:val="center"/>
          </w:tcPr>
          <w:p w14:paraId="6517EC64">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szCs w:val="21"/>
              </w:rPr>
              <w:t>非甲烷总烃</w:t>
            </w:r>
          </w:p>
        </w:tc>
        <w:tc>
          <w:tcPr>
            <w:tcW w:w="1701" w:type="dxa"/>
            <w:vAlign w:val="center"/>
          </w:tcPr>
          <w:p w14:paraId="68D49F6A">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275" w:type="dxa"/>
            <w:vAlign w:val="center"/>
          </w:tcPr>
          <w:p w14:paraId="1E0A76D6">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418" w:type="dxa"/>
            <w:vAlign w:val="center"/>
          </w:tcPr>
          <w:p w14:paraId="0A1262AC">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701" w:type="dxa"/>
            <w:vAlign w:val="center"/>
          </w:tcPr>
          <w:p w14:paraId="3C814739">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kern w:val="2"/>
                <w:szCs w:val="21"/>
                <w:lang w:val="en-US" w:eastAsia="zh-CN"/>
              </w:rPr>
              <w:t>1.431</w:t>
            </w:r>
            <w:r>
              <w:rPr>
                <w:rFonts w:hint="eastAsia" w:ascii="Times New Roman" w:hAnsi="Times New Roman"/>
                <w:kern w:val="2"/>
                <w:szCs w:val="21"/>
              </w:rPr>
              <w:t>t/a</w:t>
            </w:r>
          </w:p>
        </w:tc>
        <w:tc>
          <w:tcPr>
            <w:tcW w:w="1701" w:type="dxa"/>
            <w:vAlign w:val="center"/>
          </w:tcPr>
          <w:p w14:paraId="42FED34B">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0179F906">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kern w:val="2"/>
                <w:szCs w:val="21"/>
                <w:lang w:val="en-US" w:eastAsia="zh-CN"/>
              </w:rPr>
              <w:t>1.431</w:t>
            </w:r>
            <w:r>
              <w:rPr>
                <w:rFonts w:hint="eastAsia" w:ascii="Times New Roman" w:hAnsi="Times New Roman"/>
                <w:kern w:val="2"/>
                <w:szCs w:val="21"/>
              </w:rPr>
              <w:t>t/a</w:t>
            </w:r>
          </w:p>
        </w:tc>
        <w:tc>
          <w:tcPr>
            <w:tcW w:w="1569" w:type="dxa"/>
            <w:vAlign w:val="center"/>
          </w:tcPr>
          <w:p w14:paraId="7CC4CC7D">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kern w:val="2"/>
                <w:szCs w:val="21"/>
                <w:lang w:val="en-US" w:eastAsia="zh-CN"/>
              </w:rPr>
              <w:t>+1.431</w:t>
            </w:r>
            <w:r>
              <w:rPr>
                <w:rFonts w:hint="eastAsia" w:ascii="Times New Roman" w:hAnsi="Times New Roman"/>
                <w:kern w:val="2"/>
                <w:szCs w:val="21"/>
              </w:rPr>
              <w:t>t/a</w:t>
            </w:r>
          </w:p>
        </w:tc>
      </w:tr>
      <w:tr w14:paraId="777E9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restart"/>
            <w:vAlign w:val="center"/>
          </w:tcPr>
          <w:p w14:paraId="15DDD16A">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废水</w:t>
            </w:r>
          </w:p>
        </w:tc>
        <w:tc>
          <w:tcPr>
            <w:tcW w:w="1418" w:type="dxa"/>
            <w:vAlign w:val="center"/>
          </w:tcPr>
          <w:p w14:paraId="2878A3A7">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szCs w:val="21"/>
                <w:lang w:eastAsia="zh-CN"/>
              </w:rPr>
            </w:pPr>
            <w:r>
              <w:rPr>
                <w:rFonts w:hint="eastAsia" w:ascii="Times New Roman" w:hAnsi="Times New Roman"/>
                <w:szCs w:val="21"/>
                <w:lang w:val="en-US" w:eastAsia="zh-CN"/>
              </w:rPr>
              <w:t>生活污水</w:t>
            </w:r>
          </w:p>
        </w:tc>
        <w:tc>
          <w:tcPr>
            <w:tcW w:w="1701" w:type="dxa"/>
            <w:vAlign w:val="center"/>
          </w:tcPr>
          <w:p w14:paraId="0EDD9581">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275" w:type="dxa"/>
            <w:vAlign w:val="center"/>
          </w:tcPr>
          <w:p w14:paraId="2A9BA104">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418" w:type="dxa"/>
            <w:vAlign w:val="center"/>
          </w:tcPr>
          <w:p w14:paraId="426A95D8">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701" w:type="dxa"/>
            <w:vAlign w:val="center"/>
          </w:tcPr>
          <w:p w14:paraId="44D6CBD8">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hint="eastAsia" w:ascii="Times New Roman" w:hAnsi="Times New Roman"/>
                <w:kern w:val="2"/>
                <w:szCs w:val="21"/>
              </w:rPr>
              <w:t>4</w:t>
            </w:r>
            <w:r>
              <w:rPr>
                <w:rFonts w:hint="eastAsia" w:ascii="Times New Roman" w:hAnsi="Times New Roman"/>
                <w:kern w:val="2"/>
                <w:szCs w:val="21"/>
                <w:lang w:val="en-US" w:eastAsia="zh-CN"/>
              </w:rPr>
              <w:t>26.32</w:t>
            </w:r>
            <w:r>
              <w:rPr>
                <w:rFonts w:ascii="Times New Roman" w:hAnsi="Times New Roman"/>
                <w:kern w:val="2"/>
                <w:szCs w:val="21"/>
              </w:rPr>
              <w:t>m³/a</w:t>
            </w:r>
          </w:p>
        </w:tc>
        <w:tc>
          <w:tcPr>
            <w:tcW w:w="1701" w:type="dxa"/>
            <w:vAlign w:val="center"/>
          </w:tcPr>
          <w:p w14:paraId="660C6B3B">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69975530">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hint="eastAsia" w:ascii="Times New Roman" w:hAnsi="Times New Roman"/>
                <w:kern w:val="2"/>
                <w:szCs w:val="21"/>
              </w:rPr>
              <w:t>4</w:t>
            </w:r>
            <w:r>
              <w:rPr>
                <w:rFonts w:hint="eastAsia" w:ascii="Times New Roman" w:hAnsi="Times New Roman"/>
                <w:kern w:val="2"/>
                <w:szCs w:val="21"/>
                <w:lang w:val="en-US" w:eastAsia="zh-CN"/>
              </w:rPr>
              <w:t>26.32</w:t>
            </w:r>
            <w:r>
              <w:rPr>
                <w:rFonts w:ascii="Times New Roman" w:hAnsi="Times New Roman"/>
                <w:kern w:val="2"/>
                <w:szCs w:val="21"/>
              </w:rPr>
              <w:t>m³/a</w:t>
            </w:r>
          </w:p>
        </w:tc>
        <w:tc>
          <w:tcPr>
            <w:tcW w:w="1569" w:type="dxa"/>
            <w:vAlign w:val="center"/>
          </w:tcPr>
          <w:p w14:paraId="69E1BAA8">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hint="eastAsia" w:ascii="Times New Roman" w:hAnsi="Times New Roman"/>
                <w:kern w:val="2"/>
                <w:szCs w:val="21"/>
                <w:lang w:val="en-US" w:eastAsia="zh-CN"/>
              </w:rPr>
              <w:t>+</w:t>
            </w:r>
            <w:r>
              <w:rPr>
                <w:rFonts w:hint="eastAsia" w:ascii="Times New Roman" w:hAnsi="Times New Roman"/>
                <w:kern w:val="2"/>
                <w:szCs w:val="21"/>
              </w:rPr>
              <w:t>4</w:t>
            </w:r>
            <w:r>
              <w:rPr>
                <w:rFonts w:hint="eastAsia" w:ascii="Times New Roman" w:hAnsi="Times New Roman"/>
                <w:kern w:val="2"/>
                <w:szCs w:val="21"/>
                <w:lang w:val="en-US" w:eastAsia="zh-CN"/>
              </w:rPr>
              <w:t>26.32</w:t>
            </w:r>
            <w:r>
              <w:rPr>
                <w:rFonts w:ascii="Times New Roman" w:hAnsi="Times New Roman"/>
                <w:kern w:val="2"/>
                <w:szCs w:val="21"/>
              </w:rPr>
              <w:t>m³/a</w:t>
            </w:r>
          </w:p>
        </w:tc>
      </w:tr>
      <w:tr w14:paraId="41C4A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continue"/>
            <w:vAlign w:val="center"/>
          </w:tcPr>
          <w:p w14:paraId="7E92DF8B">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p>
        </w:tc>
        <w:tc>
          <w:tcPr>
            <w:tcW w:w="1418" w:type="dxa"/>
            <w:vAlign w:val="center"/>
          </w:tcPr>
          <w:p w14:paraId="2364ACAD">
            <w:pPr>
              <w:pStyle w:val="32"/>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t>COD</w:t>
            </w:r>
          </w:p>
        </w:tc>
        <w:tc>
          <w:tcPr>
            <w:tcW w:w="1701" w:type="dxa"/>
            <w:vAlign w:val="center"/>
          </w:tcPr>
          <w:p w14:paraId="6DAC5BFD">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275" w:type="dxa"/>
            <w:vAlign w:val="center"/>
          </w:tcPr>
          <w:p w14:paraId="689D01A2">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418" w:type="dxa"/>
            <w:vAlign w:val="center"/>
          </w:tcPr>
          <w:p w14:paraId="1D9C08AE">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701" w:type="dxa"/>
            <w:vAlign w:val="center"/>
          </w:tcPr>
          <w:p w14:paraId="06B5E5F2">
            <w:pPr>
              <w:pStyle w:val="32"/>
              <w:ind w:firstLine="0" w:firstLineChars="0"/>
              <w:rPr>
                <w:rFonts w:hint="eastAsia" w:ascii="Times New Roman" w:hAnsi="Times New Roman"/>
                <w:kern w:val="2"/>
                <w:szCs w:val="21"/>
              </w:rPr>
            </w:pPr>
            <w:r>
              <w:rPr>
                <w:rFonts w:hint="eastAsia"/>
                <w:lang w:val="en-US" w:eastAsia="zh-CN"/>
              </w:rPr>
              <w:t>0.134</w:t>
            </w:r>
            <w:r>
              <w:rPr>
                <w:rFonts w:hint="eastAsia" w:ascii="Times New Roman" w:hAnsi="Times New Roman"/>
                <w:kern w:val="2"/>
                <w:szCs w:val="21"/>
              </w:rPr>
              <w:t>t/a</w:t>
            </w:r>
          </w:p>
        </w:tc>
        <w:tc>
          <w:tcPr>
            <w:tcW w:w="1701" w:type="dxa"/>
            <w:vAlign w:val="center"/>
          </w:tcPr>
          <w:p w14:paraId="2B5D8852">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6DC5C54B">
            <w:pPr>
              <w:pStyle w:val="32"/>
              <w:ind w:firstLine="0" w:firstLineChars="0"/>
              <w:rPr>
                <w:rFonts w:ascii="Times New Roman" w:hAnsi="Times New Roman"/>
                <w:kern w:val="2"/>
                <w:szCs w:val="21"/>
              </w:rPr>
            </w:pPr>
            <w:r>
              <w:rPr>
                <w:rFonts w:hint="eastAsia"/>
                <w:lang w:val="en-US" w:eastAsia="zh-CN"/>
              </w:rPr>
              <w:t>0.134</w:t>
            </w:r>
            <w:r>
              <w:rPr>
                <w:rFonts w:hint="eastAsia" w:ascii="Times New Roman" w:hAnsi="Times New Roman"/>
                <w:kern w:val="2"/>
                <w:szCs w:val="21"/>
              </w:rPr>
              <w:t>t/a</w:t>
            </w:r>
          </w:p>
        </w:tc>
        <w:tc>
          <w:tcPr>
            <w:tcW w:w="1569" w:type="dxa"/>
            <w:vAlign w:val="center"/>
          </w:tcPr>
          <w:p w14:paraId="5398BC1C">
            <w:pPr>
              <w:pStyle w:val="32"/>
              <w:ind w:firstLine="0" w:firstLineChars="0"/>
              <w:rPr>
                <w:rFonts w:hint="eastAsia" w:ascii="Times New Roman" w:hAnsi="Times New Roman"/>
                <w:szCs w:val="21"/>
              </w:rPr>
            </w:pPr>
            <w:r>
              <w:rPr>
                <w:rFonts w:hint="eastAsia" w:ascii="Times New Roman" w:hAnsi="Times New Roman"/>
                <w:kern w:val="2"/>
                <w:szCs w:val="21"/>
                <w:lang w:val="en-US" w:eastAsia="zh-CN"/>
              </w:rPr>
              <w:t>+</w:t>
            </w:r>
            <w:r>
              <w:rPr>
                <w:rFonts w:hint="eastAsia"/>
                <w:lang w:val="en-US" w:eastAsia="zh-CN"/>
              </w:rPr>
              <w:t>0.134</w:t>
            </w:r>
          </w:p>
        </w:tc>
      </w:tr>
      <w:tr w14:paraId="027DA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continue"/>
            <w:vAlign w:val="center"/>
          </w:tcPr>
          <w:p w14:paraId="08A11E71">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p>
        </w:tc>
        <w:tc>
          <w:tcPr>
            <w:tcW w:w="1418" w:type="dxa"/>
            <w:vAlign w:val="center"/>
          </w:tcPr>
          <w:p w14:paraId="70F4668C">
            <w:pPr>
              <w:pStyle w:val="32"/>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t>BOD</w:t>
            </w:r>
            <w:r>
              <w:rPr>
                <w:vertAlign w:val="subscript"/>
              </w:rPr>
              <w:t>5</w:t>
            </w:r>
          </w:p>
        </w:tc>
        <w:tc>
          <w:tcPr>
            <w:tcW w:w="1701" w:type="dxa"/>
            <w:vAlign w:val="center"/>
          </w:tcPr>
          <w:p w14:paraId="1A62E6D0">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275" w:type="dxa"/>
            <w:vAlign w:val="center"/>
          </w:tcPr>
          <w:p w14:paraId="7439B463">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418" w:type="dxa"/>
            <w:vAlign w:val="center"/>
          </w:tcPr>
          <w:p w14:paraId="712F015A">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701" w:type="dxa"/>
            <w:vAlign w:val="center"/>
          </w:tcPr>
          <w:p w14:paraId="650E1EC5">
            <w:pPr>
              <w:pStyle w:val="32"/>
              <w:ind w:firstLine="0" w:firstLineChars="0"/>
              <w:rPr>
                <w:rFonts w:hint="eastAsia" w:ascii="Times New Roman" w:hAnsi="Times New Roman"/>
                <w:kern w:val="2"/>
                <w:szCs w:val="21"/>
              </w:rPr>
            </w:pPr>
            <w:r>
              <w:rPr>
                <w:rFonts w:hint="eastAsia"/>
                <w:lang w:val="en-US" w:eastAsia="zh-CN"/>
              </w:rPr>
              <w:t>0.049</w:t>
            </w:r>
            <w:r>
              <w:rPr>
                <w:rFonts w:hint="eastAsia" w:ascii="Times New Roman" w:hAnsi="Times New Roman"/>
                <w:kern w:val="2"/>
                <w:szCs w:val="21"/>
              </w:rPr>
              <w:t>t/a</w:t>
            </w:r>
          </w:p>
        </w:tc>
        <w:tc>
          <w:tcPr>
            <w:tcW w:w="1701" w:type="dxa"/>
            <w:vAlign w:val="center"/>
          </w:tcPr>
          <w:p w14:paraId="3D3777A5">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6E1CE205">
            <w:pPr>
              <w:pStyle w:val="32"/>
              <w:ind w:firstLine="0" w:firstLineChars="0"/>
              <w:rPr>
                <w:rFonts w:ascii="Times New Roman" w:hAnsi="Times New Roman"/>
                <w:kern w:val="2"/>
                <w:szCs w:val="21"/>
              </w:rPr>
            </w:pPr>
            <w:r>
              <w:rPr>
                <w:rFonts w:hint="eastAsia"/>
                <w:lang w:val="en-US" w:eastAsia="zh-CN"/>
              </w:rPr>
              <w:t>0.049</w:t>
            </w:r>
            <w:r>
              <w:rPr>
                <w:rFonts w:hint="eastAsia" w:ascii="Times New Roman" w:hAnsi="Times New Roman"/>
                <w:kern w:val="2"/>
                <w:szCs w:val="21"/>
              </w:rPr>
              <w:t>t/a</w:t>
            </w:r>
          </w:p>
        </w:tc>
        <w:tc>
          <w:tcPr>
            <w:tcW w:w="1569" w:type="dxa"/>
            <w:vAlign w:val="center"/>
          </w:tcPr>
          <w:p w14:paraId="4D324565">
            <w:pPr>
              <w:pStyle w:val="32"/>
              <w:ind w:firstLine="0" w:firstLineChars="0"/>
              <w:rPr>
                <w:rFonts w:hint="eastAsia" w:ascii="Times New Roman" w:hAnsi="Times New Roman"/>
                <w:szCs w:val="21"/>
              </w:rPr>
            </w:pPr>
            <w:r>
              <w:rPr>
                <w:rFonts w:hint="eastAsia" w:ascii="Times New Roman" w:hAnsi="Times New Roman"/>
                <w:kern w:val="2"/>
                <w:szCs w:val="21"/>
                <w:lang w:val="en-US" w:eastAsia="zh-CN"/>
              </w:rPr>
              <w:t>+</w:t>
            </w:r>
            <w:r>
              <w:rPr>
                <w:rFonts w:hint="eastAsia"/>
                <w:lang w:val="en-US" w:eastAsia="zh-CN"/>
              </w:rPr>
              <w:t>0.049</w:t>
            </w:r>
          </w:p>
        </w:tc>
      </w:tr>
      <w:tr w14:paraId="227AA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continue"/>
            <w:vAlign w:val="center"/>
          </w:tcPr>
          <w:p w14:paraId="46E6B297">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p>
        </w:tc>
        <w:tc>
          <w:tcPr>
            <w:tcW w:w="1418" w:type="dxa"/>
            <w:vAlign w:val="center"/>
          </w:tcPr>
          <w:p w14:paraId="647A09D4">
            <w:pPr>
              <w:pStyle w:val="32"/>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t>SS</w:t>
            </w:r>
          </w:p>
        </w:tc>
        <w:tc>
          <w:tcPr>
            <w:tcW w:w="1701" w:type="dxa"/>
            <w:vAlign w:val="center"/>
          </w:tcPr>
          <w:p w14:paraId="4687BF6C">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275" w:type="dxa"/>
            <w:vAlign w:val="center"/>
          </w:tcPr>
          <w:p w14:paraId="4CA0328B">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418" w:type="dxa"/>
            <w:vAlign w:val="center"/>
          </w:tcPr>
          <w:p w14:paraId="6AB8347B">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701" w:type="dxa"/>
            <w:vAlign w:val="center"/>
          </w:tcPr>
          <w:p w14:paraId="63D7DA81">
            <w:pPr>
              <w:pStyle w:val="32"/>
              <w:ind w:firstLine="0" w:firstLineChars="0"/>
              <w:rPr>
                <w:rFonts w:hint="eastAsia" w:ascii="Times New Roman" w:hAnsi="Times New Roman"/>
                <w:kern w:val="2"/>
                <w:szCs w:val="21"/>
              </w:rPr>
            </w:pPr>
            <w:r>
              <w:rPr>
                <w:rFonts w:hint="eastAsia"/>
                <w:lang w:val="en-US" w:eastAsia="zh-CN"/>
              </w:rPr>
              <w:t>0.085</w:t>
            </w:r>
            <w:r>
              <w:rPr>
                <w:rFonts w:hint="eastAsia" w:ascii="Times New Roman" w:hAnsi="Times New Roman"/>
                <w:kern w:val="2"/>
                <w:szCs w:val="21"/>
              </w:rPr>
              <w:t>t/a</w:t>
            </w:r>
          </w:p>
        </w:tc>
        <w:tc>
          <w:tcPr>
            <w:tcW w:w="1701" w:type="dxa"/>
            <w:vAlign w:val="center"/>
          </w:tcPr>
          <w:p w14:paraId="53A70791">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0BF66D04">
            <w:pPr>
              <w:pStyle w:val="32"/>
              <w:ind w:firstLine="0" w:firstLineChars="0"/>
              <w:rPr>
                <w:rFonts w:ascii="Times New Roman" w:hAnsi="Times New Roman"/>
                <w:kern w:val="2"/>
                <w:szCs w:val="21"/>
              </w:rPr>
            </w:pPr>
            <w:r>
              <w:rPr>
                <w:rFonts w:hint="eastAsia"/>
                <w:lang w:val="en-US" w:eastAsia="zh-CN"/>
              </w:rPr>
              <w:t>0.085</w:t>
            </w:r>
            <w:r>
              <w:rPr>
                <w:rFonts w:hint="eastAsia" w:ascii="Times New Roman" w:hAnsi="Times New Roman"/>
                <w:kern w:val="2"/>
                <w:szCs w:val="21"/>
              </w:rPr>
              <w:t>t/a</w:t>
            </w:r>
          </w:p>
        </w:tc>
        <w:tc>
          <w:tcPr>
            <w:tcW w:w="1569" w:type="dxa"/>
            <w:vAlign w:val="center"/>
          </w:tcPr>
          <w:p w14:paraId="4596E2BB">
            <w:pPr>
              <w:pStyle w:val="32"/>
              <w:ind w:firstLine="0" w:firstLineChars="0"/>
              <w:rPr>
                <w:rFonts w:hint="eastAsia" w:ascii="Times New Roman" w:hAnsi="Times New Roman"/>
                <w:szCs w:val="21"/>
              </w:rPr>
            </w:pPr>
            <w:r>
              <w:rPr>
                <w:rFonts w:hint="eastAsia" w:ascii="Times New Roman" w:hAnsi="Times New Roman"/>
                <w:kern w:val="2"/>
                <w:szCs w:val="21"/>
                <w:lang w:val="en-US" w:eastAsia="zh-CN"/>
              </w:rPr>
              <w:t>+</w:t>
            </w:r>
            <w:r>
              <w:rPr>
                <w:rFonts w:hint="eastAsia"/>
                <w:lang w:val="en-US" w:eastAsia="zh-CN"/>
              </w:rPr>
              <w:t>0.085</w:t>
            </w:r>
          </w:p>
        </w:tc>
      </w:tr>
      <w:tr w14:paraId="0A93A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continue"/>
            <w:vAlign w:val="center"/>
          </w:tcPr>
          <w:p w14:paraId="1A8D309F">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p>
        </w:tc>
        <w:tc>
          <w:tcPr>
            <w:tcW w:w="1418" w:type="dxa"/>
            <w:vAlign w:val="center"/>
          </w:tcPr>
          <w:p w14:paraId="7AB1270A">
            <w:pPr>
              <w:pStyle w:val="32"/>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hint="eastAsia"/>
              </w:rPr>
              <w:t>氨氮</w:t>
            </w:r>
          </w:p>
        </w:tc>
        <w:tc>
          <w:tcPr>
            <w:tcW w:w="1701" w:type="dxa"/>
            <w:vAlign w:val="center"/>
          </w:tcPr>
          <w:p w14:paraId="45465E78">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275" w:type="dxa"/>
            <w:vAlign w:val="center"/>
          </w:tcPr>
          <w:p w14:paraId="68D3C830">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418" w:type="dxa"/>
            <w:vAlign w:val="center"/>
          </w:tcPr>
          <w:p w14:paraId="1098D313">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701" w:type="dxa"/>
            <w:vAlign w:val="center"/>
          </w:tcPr>
          <w:p w14:paraId="3182D077">
            <w:pPr>
              <w:pStyle w:val="32"/>
              <w:ind w:firstLine="0" w:firstLineChars="0"/>
              <w:rPr>
                <w:rFonts w:hint="eastAsia" w:ascii="Times New Roman" w:hAnsi="Times New Roman"/>
                <w:kern w:val="2"/>
                <w:szCs w:val="21"/>
              </w:rPr>
            </w:pPr>
            <w:r>
              <w:rPr>
                <w:rFonts w:hint="eastAsia"/>
                <w:lang w:val="en-US" w:eastAsia="zh-CN"/>
              </w:rPr>
              <w:t>0.019</w:t>
            </w:r>
            <w:r>
              <w:rPr>
                <w:rFonts w:hint="eastAsia" w:ascii="Times New Roman" w:hAnsi="Times New Roman"/>
                <w:kern w:val="2"/>
                <w:szCs w:val="21"/>
              </w:rPr>
              <w:t>t/a</w:t>
            </w:r>
          </w:p>
        </w:tc>
        <w:tc>
          <w:tcPr>
            <w:tcW w:w="1701" w:type="dxa"/>
            <w:vAlign w:val="center"/>
          </w:tcPr>
          <w:p w14:paraId="73180350">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25448003">
            <w:pPr>
              <w:pStyle w:val="32"/>
              <w:ind w:firstLine="0" w:firstLineChars="0"/>
              <w:rPr>
                <w:rFonts w:ascii="Times New Roman" w:hAnsi="Times New Roman"/>
                <w:kern w:val="2"/>
                <w:szCs w:val="21"/>
              </w:rPr>
            </w:pPr>
            <w:r>
              <w:rPr>
                <w:rFonts w:hint="eastAsia"/>
                <w:lang w:val="en-US" w:eastAsia="zh-CN"/>
              </w:rPr>
              <w:t>0.019</w:t>
            </w:r>
            <w:r>
              <w:rPr>
                <w:rFonts w:hint="eastAsia" w:ascii="Times New Roman" w:hAnsi="Times New Roman"/>
                <w:kern w:val="2"/>
                <w:szCs w:val="21"/>
              </w:rPr>
              <w:t>t/a</w:t>
            </w:r>
          </w:p>
        </w:tc>
        <w:tc>
          <w:tcPr>
            <w:tcW w:w="1569" w:type="dxa"/>
            <w:vAlign w:val="center"/>
          </w:tcPr>
          <w:p w14:paraId="53333A85">
            <w:pPr>
              <w:pStyle w:val="32"/>
              <w:ind w:firstLine="0" w:firstLineChars="0"/>
              <w:rPr>
                <w:rFonts w:hint="eastAsia" w:ascii="Times New Roman" w:hAnsi="Times New Roman"/>
                <w:szCs w:val="21"/>
              </w:rPr>
            </w:pPr>
            <w:r>
              <w:rPr>
                <w:rFonts w:hint="eastAsia" w:ascii="Times New Roman" w:hAnsi="Times New Roman"/>
                <w:kern w:val="2"/>
                <w:szCs w:val="21"/>
                <w:lang w:val="en-US" w:eastAsia="zh-CN"/>
              </w:rPr>
              <w:t>+</w:t>
            </w:r>
            <w:r>
              <w:rPr>
                <w:rFonts w:hint="eastAsia"/>
                <w:lang w:val="en-US" w:eastAsia="zh-CN"/>
              </w:rPr>
              <w:t>0.019</w:t>
            </w:r>
          </w:p>
        </w:tc>
      </w:tr>
      <w:tr w14:paraId="21D60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Align w:val="center"/>
          </w:tcPr>
          <w:p w14:paraId="2F2AD9DF">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一般工业</w:t>
            </w:r>
          </w:p>
          <w:p w14:paraId="4ABF5E31">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固体废物</w:t>
            </w:r>
          </w:p>
        </w:tc>
        <w:tc>
          <w:tcPr>
            <w:tcW w:w="1418" w:type="dxa"/>
            <w:vAlign w:val="center"/>
          </w:tcPr>
          <w:p w14:paraId="344BCFF8">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ascii="Times New Roman" w:hAnsi="Times New Roman"/>
                <w:szCs w:val="21"/>
              </w:rPr>
              <w:t>生活垃圾</w:t>
            </w:r>
          </w:p>
        </w:tc>
        <w:tc>
          <w:tcPr>
            <w:tcW w:w="1701" w:type="dxa"/>
            <w:vAlign w:val="center"/>
          </w:tcPr>
          <w:p w14:paraId="504DD7A9">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color w:val="000000"/>
                <w:kern w:val="21"/>
                <w:szCs w:val="21"/>
              </w:rPr>
              <w:t>0</w:t>
            </w:r>
          </w:p>
        </w:tc>
        <w:tc>
          <w:tcPr>
            <w:tcW w:w="1275" w:type="dxa"/>
            <w:vAlign w:val="center"/>
          </w:tcPr>
          <w:p w14:paraId="05FAA14C">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418" w:type="dxa"/>
            <w:vAlign w:val="center"/>
          </w:tcPr>
          <w:p w14:paraId="6F2A1D16">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701" w:type="dxa"/>
            <w:vAlign w:val="center"/>
          </w:tcPr>
          <w:p w14:paraId="6155EC90">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szCs w:val="21"/>
                <w:lang w:val="en-US" w:eastAsia="zh-CN"/>
              </w:rPr>
              <w:t>2.19</w:t>
            </w:r>
            <w:r>
              <w:rPr>
                <w:rFonts w:ascii="Times New Roman" w:hAnsi="Times New Roman"/>
                <w:szCs w:val="21"/>
              </w:rPr>
              <w:t>t/a</w:t>
            </w:r>
          </w:p>
        </w:tc>
        <w:tc>
          <w:tcPr>
            <w:tcW w:w="1701" w:type="dxa"/>
            <w:vAlign w:val="center"/>
          </w:tcPr>
          <w:p w14:paraId="503DB07F">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18CC8C2E">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szCs w:val="21"/>
                <w:lang w:val="en-US" w:eastAsia="zh-CN"/>
              </w:rPr>
              <w:t>2.19</w:t>
            </w:r>
            <w:r>
              <w:rPr>
                <w:rFonts w:ascii="Times New Roman" w:hAnsi="Times New Roman"/>
                <w:szCs w:val="21"/>
              </w:rPr>
              <w:t>t/a</w:t>
            </w:r>
          </w:p>
        </w:tc>
        <w:tc>
          <w:tcPr>
            <w:tcW w:w="1569" w:type="dxa"/>
            <w:vAlign w:val="center"/>
          </w:tcPr>
          <w:p w14:paraId="5D31898D">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kern w:val="2"/>
                <w:szCs w:val="21"/>
                <w:lang w:val="en-US" w:eastAsia="zh-CN"/>
              </w:rPr>
              <w:t>+</w:t>
            </w:r>
            <w:r>
              <w:rPr>
                <w:rFonts w:hint="eastAsia" w:ascii="Times New Roman" w:hAnsi="Times New Roman"/>
                <w:szCs w:val="21"/>
                <w:lang w:val="en-US" w:eastAsia="zh-CN"/>
              </w:rPr>
              <w:t>2.19</w:t>
            </w:r>
            <w:r>
              <w:rPr>
                <w:rFonts w:ascii="Times New Roman" w:hAnsi="Times New Roman"/>
                <w:szCs w:val="21"/>
              </w:rPr>
              <w:t>t/a</w:t>
            </w:r>
          </w:p>
        </w:tc>
      </w:tr>
      <w:tr w14:paraId="07A1F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restart"/>
            <w:vAlign w:val="center"/>
          </w:tcPr>
          <w:p w14:paraId="68947A2B">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危险废物</w:t>
            </w:r>
          </w:p>
        </w:tc>
        <w:tc>
          <w:tcPr>
            <w:tcW w:w="1418" w:type="dxa"/>
            <w:vAlign w:val="center"/>
          </w:tcPr>
          <w:p w14:paraId="0297B41B">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szCs w:val="21"/>
              </w:rPr>
              <w:t>废弃的</w:t>
            </w:r>
            <w:r>
              <w:rPr>
                <w:rFonts w:hint="eastAsia" w:ascii="Times New Roman" w:hAnsi="Times New Roman"/>
                <w:szCs w:val="21"/>
                <w:lang w:eastAsia="zh-CN"/>
              </w:rPr>
              <w:t>沾油手套</w:t>
            </w:r>
            <w:r>
              <w:rPr>
                <w:rFonts w:hint="eastAsia" w:ascii="Times New Roman" w:hAnsi="Times New Roman"/>
                <w:szCs w:val="21"/>
              </w:rPr>
              <w:t>、抹布</w:t>
            </w:r>
          </w:p>
        </w:tc>
        <w:tc>
          <w:tcPr>
            <w:tcW w:w="1701" w:type="dxa"/>
            <w:vAlign w:val="center"/>
          </w:tcPr>
          <w:p w14:paraId="69972D96">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275" w:type="dxa"/>
            <w:vAlign w:val="center"/>
          </w:tcPr>
          <w:p w14:paraId="55C87AB9">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418" w:type="dxa"/>
            <w:vAlign w:val="center"/>
          </w:tcPr>
          <w:p w14:paraId="53132979">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701" w:type="dxa"/>
            <w:vAlign w:val="center"/>
          </w:tcPr>
          <w:p w14:paraId="107C1977">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szCs w:val="21"/>
              </w:rPr>
              <w:t>0.05t/a</w:t>
            </w:r>
          </w:p>
        </w:tc>
        <w:tc>
          <w:tcPr>
            <w:tcW w:w="1701" w:type="dxa"/>
            <w:vAlign w:val="center"/>
          </w:tcPr>
          <w:p w14:paraId="6D2F2FD8">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75B7CEB8">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szCs w:val="21"/>
              </w:rPr>
              <w:t>0.05t/a</w:t>
            </w:r>
          </w:p>
        </w:tc>
        <w:tc>
          <w:tcPr>
            <w:tcW w:w="1569" w:type="dxa"/>
            <w:vAlign w:val="center"/>
          </w:tcPr>
          <w:p w14:paraId="2E21BCC0">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hint="eastAsia" w:ascii="Times New Roman" w:hAnsi="Times New Roman"/>
                <w:kern w:val="2"/>
                <w:szCs w:val="21"/>
                <w:lang w:val="en-US" w:eastAsia="zh-CN"/>
              </w:rPr>
              <w:t>+</w:t>
            </w:r>
            <w:r>
              <w:rPr>
                <w:rFonts w:ascii="Times New Roman" w:hAnsi="Times New Roman"/>
                <w:szCs w:val="21"/>
              </w:rPr>
              <w:t>0.05t/a</w:t>
            </w:r>
          </w:p>
        </w:tc>
      </w:tr>
      <w:tr w14:paraId="76865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continue"/>
            <w:vAlign w:val="center"/>
          </w:tcPr>
          <w:p w14:paraId="6D8DCA3C">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p>
        </w:tc>
        <w:tc>
          <w:tcPr>
            <w:tcW w:w="1418" w:type="dxa"/>
            <w:vAlign w:val="center"/>
          </w:tcPr>
          <w:p w14:paraId="1D296091">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hint="eastAsia" w:cs="Times New Roman"/>
                <w:kern w:val="0"/>
                <w:sz w:val="21"/>
                <w:szCs w:val="21"/>
              </w:rPr>
              <w:t>油罐污泥</w:t>
            </w:r>
          </w:p>
        </w:tc>
        <w:tc>
          <w:tcPr>
            <w:tcW w:w="1701" w:type="dxa"/>
            <w:vAlign w:val="center"/>
          </w:tcPr>
          <w:p w14:paraId="20C1ED3A">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275" w:type="dxa"/>
            <w:vAlign w:val="center"/>
          </w:tcPr>
          <w:p w14:paraId="63B005B4">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418" w:type="dxa"/>
            <w:vAlign w:val="center"/>
          </w:tcPr>
          <w:p w14:paraId="510E7E2A">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701" w:type="dxa"/>
            <w:vAlign w:val="center"/>
          </w:tcPr>
          <w:p w14:paraId="32F207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000000"/>
                <w:kern w:val="21"/>
                <w:szCs w:val="21"/>
                <w:lang w:eastAsia="zh-CN"/>
              </w:rPr>
            </w:pPr>
            <w:r>
              <w:rPr>
                <w:sz w:val="21"/>
                <w:szCs w:val="21"/>
              </w:rPr>
              <w:t>0.08</w:t>
            </w:r>
            <w:r>
              <w:rPr>
                <w:rFonts w:hint="eastAsia"/>
                <w:sz w:val="21"/>
                <w:szCs w:val="21"/>
              </w:rPr>
              <w:t>t/3a</w:t>
            </w:r>
          </w:p>
        </w:tc>
        <w:tc>
          <w:tcPr>
            <w:tcW w:w="1701" w:type="dxa"/>
            <w:vAlign w:val="center"/>
          </w:tcPr>
          <w:p w14:paraId="2549927E">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58FAA9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000000"/>
                <w:kern w:val="21"/>
                <w:szCs w:val="21"/>
                <w:lang w:eastAsia="zh-CN"/>
              </w:rPr>
            </w:pPr>
            <w:r>
              <w:rPr>
                <w:sz w:val="21"/>
                <w:szCs w:val="21"/>
              </w:rPr>
              <w:t>0.08</w:t>
            </w:r>
            <w:r>
              <w:rPr>
                <w:rFonts w:hint="eastAsia"/>
                <w:sz w:val="21"/>
                <w:szCs w:val="21"/>
              </w:rPr>
              <w:t>t/3a</w:t>
            </w:r>
          </w:p>
        </w:tc>
        <w:tc>
          <w:tcPr>
            <w:tcW w:w="1569" w:type="dxa"/>
            <w:vAlign w:val="center"/>
          </w:tcPr>
          <w:p w14:paraId="2D89B6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b/>
                <w:bCs/>
                <w:color w:val="000000"/>
                <w:kern w:val="21"/>
                <w:szCs w:val="21"/>
              </w:rPr>
            </w:pPr>
            <w:r>
              <w:rPr>
                <w:rFonts w:hint="eastAsia" w:ascii="Times New Roman" w:hAnsi="Times New Roman"/>
                <w:kern w:val="2"/>
                <w:szCs w:val="21"/>
                <w:lang w:val="en-US" w:eastAsia="zh-CN"/>
              </w:rPr>
              <w:t>+</w:t>
            </w:r>
            <w:r>
              <w:rPr>
                <w:sz w:val="21"/>
                <w:szCs w:val="21"/>
              </w:rPr>
              <w:t>0.08</w:t>
            </w:r>
            <w:r>
              <w:rPr>
                <w:rFonts w:hint="eastAsia"/>
                <w:sz w:val="21"/>
                <w:szCs w:val="21"/>
              </w:rPr>
              <w:t>t/3a</w:t>
            </w:r>
          </w:p>
        </w:tc>
      </w:tr>
      <w:tr w14:paraId="07495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continue"/>
            <w:vAlign w:val="center"/>
          </w:tcPr>
          <w:p w14:paraId="3B5CC756">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p>
        </w:tc>
        <w:tc>
          <w:tcPr>
            <w:tcW w:w="1418" w:type="dxa"/>
            <w:vAlign w:val="center"/>
          </w:tcPr>
          <w:p w14:paraId="1872CD23">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cs="Times New Roman"/>
                <w:kern w:val="0"/>
                <w:sz w:val="21"/>
                <w:szCs w:val="21"/>
              </w:rPr>
            </w:pPr>
            <w:r>
              <w:rPr>
                <w:rFonts w:hint="eastAsia" w:cs="Times New Roman"/>
                <w:kern w:val="0"/>
                <w:sz w:val="21"/>
                <w:szCs w:val="21"/>
              </w:rPr>
              <w:t>储油罐清洗废液</w:t>
            </w:r>
          </w:p>
        </w:tc>
        <w:tc>
          <w:tcPr>
            <w:tcW w:w="1701" w:type="dxa"/>
            <w:vAlign w:val="center"/>
          </w:tcPr>
          <w:p w14:paraId="63C64402">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275" w:type="dxa"/>
            <w:vAlign w:val="center"/>
          </w:tcPr>
          <w:p w14:paraId="377973E4">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418" w:type="dxa"/>
            <w:vAlign w:val="center"/>
          </w:tcPr>
          <w:p w14:paraId="6AA56606">
            <w:pPr>
              <w:pStyle w:val="29"/>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olor w:val="000000"/>
                <w:kern w:val="21"/>
                <w:szCs w:val="21"/>
                <w:lang w:val="en-US" w:eastAsia="zh-CN"/>
              </w:rPr>
            </w:pPr>
            <w:r>
              <w:rPr>
                <w:rFonts w:hint="eastAsia" w:ascii="Times New Roman" w:hAnsi="Times New Roman"/>
                <w:color w:val="000000"/>
                <w:kern w:val="21"/>
                <w:szCs w:val="21"/>
                <w:lang w:val="en-US" w:eastAsia="zh-CN"/>
              </w:rPr>
              <w:t>0</w:t>
            </w:r>
          </w:p>
        </w:tc>
        <w:tc>
          <w:tcPr>
            <w:tcW w:w="1701" w:type="dxa"/>
            <w:vAlign w:val="center"/>
          </w:tcPr>
          <w:p w14:paraId="07E7D6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szCs w:val="21"/>
                <w:lang w:eastAsia="zh-CN"/>
              </w:rPr>
            </w:pPr>
            <w:r>
              <w:rPr>
                <w:rFonts w:hint="eastAsia"/>
                <w:sz w:val="21"/>
                <w:szCs w:val="21"/>
              </w:rPr>
              <w:t>0</w:t>
            </w:r>
            <w:r>
              <w:rPr>
                <w:sz w:val="21"/>
                <w:szCs w:val="21"/>
              </w:rPr>
              <w:t>.8</w:t>
            </w:r>
            <w:r>
              <w:rPr>
                <w:rFonts w:hint="eastAsia"/>
                <w:sz w:val="21"/>
                <w:szCs w:val="21"/>
              </w:rPr>
              <w:t>t/3a</w:t>
            </w:r>
          </w:p>
        </w:tc>
        <w:tc>
          <w:tcPr>
            <w:tcW w:w="1701" w:type="dxa"/>
            <w:vAlign w:val="center"/>
          </w:tcPr>
          <w:p w14:paraId="46098BF6">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6A937C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szCs w:val="21"/>
                <w:lang w:eastAsia="zh-CN"/>
              </w:rPr>
            </w:pPr>
            <w:r>
              <w:rPr>
                <w:rFonts w:hint="eastAsia"/>
                <w:sz w:val="21"/>
                <w:szCs w:val="21"/>
              </w:rPr>
              <w:t>0</w:t>
            </w:r>
            <w:r>
              <w:rPr>
                <w:sz w:val="21"/>
                <w:szCs w:val="21"/>
              </w:rPr>
              <w:t>.8</w:t>
            </w:r>
            <w:r>
              <w:rPr>
                <w:rFonts w:hint="eastAsia"/>
                <w:sz w:val="21"/>
                <w:szCs w:val="21"/>
              </w:rPr>
              <w:t>t/3a</w:t>
            </w:r>
          </w:p>
        </w:tc>
        <w:tc>
          <w:tcPr>
            <w:tcW w:w="1569" w:type="dxa"/>
            <w:vAlign w:val="center"/>
          </w:tcPr>
          <w:p w14:paraId="42F30E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b/>
                <w:bCs/>
                <w:color w:val="000000"/>
                <w:kern w:val="21"/>
                <w:szCs w:val="21"/>
              </w:rPr>
            </w:pPr>
            <w:r>
              <w:rPr>
                <w:rFonts w:hint="eastAsia" w:ascii="Times New Roman" w:hAnsi="Times New Roman"/>
                <w:kern w:val="2"/>
                <w:szCs w:val="21"/>
                <w:lang w:val="en-US" w:eastAsia="zh-CN"/>
              </w:rPr>
              <w:t>+</w:t>
            </w:r>
            <w:r>
              <w:rPr>
                <w:rFonts w:hint="eastAsia"/>
                <w:sz w:val="21"/>
                <w:szCs w:val="21"/>
              </w:rPr>
              <w:t>0</w:t>
            </w:r>
            <w:r>
              <w:rPr>
                <w:sz w:val="21"/>
                <w:szCs w:val="21"/>
              </w:rPr>
              <w:t>.8</w:t>
            </w:r>
            <w:r>
              <w:rPr>
                <w:rFonts w:hint="eastAsia"/>
                <w:sz w:val="21"/>
                <w:szCs w:val="21"/>
              </w:rPr>
              <w:t>t/3a</w:t>
            </w:r>
          </w:p>
        </w:tc>
      </w:tr>
      <w:tr w14:paraId="09D3C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04" w:type="dxa"/>
            <w:vMerge w:val="continue"/>
            <w:vAlign w:val="center"/>
          </w:tcPr>
          <w:p w14:paraId="56A4F8E1">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p>
        </w:tc>
        <w:tc>
          <w:tcPr>
            <w:tcW w:w="1418" w:type="dxa"/>
            <w:vAlign w:val="center"/>
          </w:tcPr>
          <w:p w14:paraId="1C8FC43A">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hint="eastAsia" w:ascii="Times New Roman" w:hAnsi="Times New Roman"/>
                <w:szCs w:val="21"/>
              </w:rPr>
              <w:t>废润滑油</w:t>
            </w:r>
          </w:p>
        </w:tc>
        <w:tc>
          <w:tcPr>
            <w:tcW w:w="1701" w:type="dxa"/>
            <w:vAlign w:val="center"/>
          </w:tcPr>
          <w:p w14:paraId="6F1168F9">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275" w:type="dxa"/>
            <w:vAlign w:val="center"/>
          </w:tcPr>
          <w:p w14:paraId="4D81B968">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418" w:type="dxa"/>
            <w:vAlign w:val="center"/>
          </w:tcPr>
          <w:p w14:paraId="6CDB248D">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0</w:t>
            </w:r>
          </w:p>
        </w:tc>
        <w:tc>
          <w:tcPr>
            <w:tcW w:w="1701" w:type="dxa"/>
            <w:vAlign w:val="center"/>
          </w:tcPr>
          <w:p w14:paraId="4F0B4821">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ascii="Times New Roman" w:hAnsi="Times New Roman"/>
                <w:szCs w:val="21"/>
              </w:rPr>
              <w:t>0.</w:t>
            </w:r>
            <w:r>
              <w:rPr>
                <w:rFonts w:hint="eastAsia" w:ascii="Times New Roman" w:hAnsi="Times New Roman"/>
                <w:szCs w:val="21"/>
                <w:lang w:val="en-US" w:eastAsia="zh-CN"/>
              </w:rPr>
              <w:t>1</w:t>
            </w:r>
            <w:r>
              <w:rPr>
                <w:rFonts w:ascii="Times New Roman" w:hAnsi="Times New Roman"/>
                <w:szCs w:val="21"/>
              </w:rPr>
              <w:t>t/a</w:t>
            </w:r>
          </w:p>
        </w:tc>
        <w:tc>
          <w:tcPr>
            <w:tcW w:w="1701" w:type="dxa"/>
            <w:vAlign w:val="center"/>
          </w:tcPr>
          <w:p w14:paraId="4693BDD3">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color w:val="000000"/>
                <w:kern w:val="21"/>
                <w:szCs w:val="21"/>
              </w:rPr>
            </w:pPr>
            <w:r>
              <w:rPr>
                <w:rFonts w:ascii="Times New Roman" w:hAnsi="Times New Roman"/>
                <w:color w:val="000000"/>
                <w:kern w:val="21"/>
                <w:szCs w:val="21"/>
              </w:rPr>
              <w:t>/</w:t>
            </w:r>
          </w:p>
        </w:tc>
        <w:tc>
          <w:tcPr>
            <w:tcW w:w="1701" w:type="dxa"/>
            <w:vAlign w:val="center"/>
          </w:tcPr>
          <w:p w14:paraId="4A30EC37">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ascii="Times New Roman" w:hAnsi="Times New Roman"/>
                <w:szCs w:val="21"/>
              </w:rPr>
              <w:t>0.</w:t>
            </w:r>
            <w:r>
              <w:rPr>
                <w:rFonts w:hint="eastAsia" w:ascii="Times New Roman" w:hAnsi="Times New Roman"/>
                <w:szCs w:val="21"/>
                <w:lang w:val="en-US" w:eastAsia="zh-CN"/>
              </w:rPr>
              <w:t>1</w:t>
            </w:r>
            <w:r>
              <w:rPr>
                <w:rFonts w:ascii="Times New Roman" w:hAnsi="Times New Roman"/>
                <w:szCs w:val="21"/>
              </w:rPr>
              <w:t>t/a</w:t>
            </w:r>
          </w:p>
        </w:tc>
        <w:tc>
          <w:tcPr>
            <w:tcW w:w="1569" w:type="dxa"/>
            <w:vAlign w:val="center"/>
          </w:tcPr>
          <w:p w14:paraId="7D06C402">
            <w:pPr>
              <w:pStyle w:val="29"/>
              <w:keepNext w:val="0"/>
              <w:keepLines w:val="0"/>
              <w:pageBreakBefore w:val="0"/>
              <w:widowControl w:val="0"/>
              <w:kinsoku/>
              <w:wordWrap/>
              <w:overflowPunct/>
              <w:topLinePunct w:val="0"/>
              <w:autoSpaceDE/>
              <w:autoSpaceDN/>
              <w:bidi w:val="0"/>
              <w:ind w:firstLine="0" w:firstLineChars="0"/>
              <w:jc w:val="center"/>
              <w:textAlignment w:val="auto"/>
              <w:rPr>
                <w:rFonts w:ascii="Times New Roman" w:hAnsi="Times New Roman"/>
                <w:szCs w:val="21"/>
              </w:rPr>
            </w:pPr>
            <w:r>
              <w:rPr>
                <w:rFonts w:hint="eastAsia" w:ascii="Times New Roman" w:hAnsi="Times New Roman"/>
                <w:kern w:val="2"/>
                <w:szCs w:val="21"/>
                <w:lang w:val="en-US" w:eastAsia="zh-CN"/>
              </w:rPr>
              <w:t>+</w:t>
            </w:r>
            <w:r>
              <w:rPr>
                <w:rFonts w:ascii="Times New Roman" w:hAnsi="Times New Roman"/>
                <w:szCs w:val="21"/>
              </w:rPr>
              <w:t>0.</w:t>
            </w:r>
            <w:r>
              <w:rPr>
                <w:rFonts w:hint="eastAsia" w:ascii="Times New Roman" w:hAnsi="Times New Roman"/>
                <w:szCs w:val="21"/>
                <w:lang w:val="en-US" w:eastAsia="zh-CN"/>
              </w:rPr>
              <w:t>1</w:t>
            </w:r>
            <w:r>
              <w:rPr>
                <w:rFonts w:ascii="Times New Roman" w:hAnsi="Times New Roman"/>
                <w:szCs w:val="21"/>
              </w:rPr>
              <w:t>t/a</w:t>
            </w:r>
          </w:p>
        </w:tc>
      </w:tr>
    </w:tbl>
    <w:p w14:paraId="49F46226">
      <w:pPr>
        <w:pStyle w:val="29"/>
        <w:keepNext w:val="0"/>
        <w:keepLines w:val="0"/>
        <w:pageBreakBefore w:val="0"/>
        <w:widowControl w:val="0"/>
        <w:kinsoku/>
        <w:wordWrap/>
        <w:overflowPunct/>
        <w:topLinePunct w:val="0"/>
        <w:autoSpaceDE/>
        <w:autoSpaceDN/>
        <w:bidi w:val="0"/>
        <w:ind w:firstLine="0" w:firstLineChars="0"/>
        <w:jc w:val="center"/>
        <w:textAlignment w:val="auto"/>
        <w:rPr>
          <w:color w:val="000000"/>
          <w:spacing w:val="-6"/>
          <w:kern w:val="21"/>
          <w:szCs w:val="21"/>
        </w:rPr>
      </w:pPr>
      <w:r>
        <w:rPr>
          <w:color w:val="000000"/>
          <w:kern w:val="21"/>
          <w:szCs w:val="21"/>
        </w:rPr>
        <w:t>注：</w:t>
      </w:r>
      <w:r>
        <w:rPr>
          <w:color w:val="000000"/>
          <w:spacing w:val="-16"/>
          <w:kern w:val="21"/>
          <w:szCs w:val="21"/>
        </w:rPr>
        <w:fldChar w:fldCharType="begin"/>
      </w:r>
      <w:r>
        <w:rPr>
          <w:color w:val="000000"/>
          <w:spacing w:val="-16"/>
          <w:kern w:val="21"/>
          <w:szCs w:val="21"/>
        </w:rPr>
        <w:instrText xml:space="preserve"> = 6 \* GB3 \* MERGEFORMAT </w:instrText>
      </w:r>
      <w:r>
        <w:rPr>
          <w:color w:val="000000"/>
          <w:spacing w:val="-16"/>
          <w:kern w:val="21"/>
          <w:szCs w:val="21"/>
        </w:rPr>
        <w:fldChar w:fldCharType="separate"/>
      </w:r>
      <w:r>
        <w:rPr>
          <w:rFonts w:hint="eastAsia"/>
          <w:szCs w:val="21"/>
        </w:rPr>
        <w:t>⑥</w:t>
      </w:r>
      <w:r>
        <w:rPr>
          <w:color w:val="000000"/>
          <w:spacing w:val="-16"/>
          <w:kern w:val="21"/>
          <w:szCs w:val="21"/>
        </w:rPr>
        <w:fldChar w:fldCharType="end"/>
      </w:r>
      <w:r>
        <w:rPr>
          <w:color w:val="000000"/>
          <w:spacing w:val="-16"/>
          <w:kern w:val="21"/>
          <w:szCs w:val="21"/>
        </w:rPr>
        <w:t>=</w:t>
      </w:r>
      <w:r>
        <w:rPr>
          <w:color w:val="000000"/>
          <w:spacing w:val="-6"/>
          <w:kern w:val="21"/>
          <w:szCs w:val="21"/>
        </w:rPr>
        <w:fldChar w:fldCharType="begin"/>
      </w:r>
      <w:r>
        <w:rPr>
          <w:color w:val="000000"/>
          <w:spacing w:val="-6"/>
          <w:kern w:val="21"/>
          <w:szCs w:val="21"/>
        </w:rPr>
        <w:instrText xml:space="preserve"> = 1 \* GB3 \* MERGEFORMAT </w:instrText>
      </w:r>
      <w:r>
        <w:rPr>
          <w:color w:val="000000"/>
          <w:spacing w:val="-6"/>
          <w:kern w:val="21"/>
          <w:szCs w:val="21"/>
        </w:rPr>
        <w:fldChar w:fldCharType="separate"/>
      </w:r>
      <w:r>
        <w:rPr>
          <w:rFonts w:hint="eastAsia"/>
          <w:szCs w:val="21"/>
        </w:rPr>
        <w:t>①</w:t>
      </w:r>
      <w:r>
        <w:rPr>
          <w:color w:val="000000"/>
          <w:spacing w:val="-6"/>
          <w:kern w:val="21"/>
          <w:szCs w:val="21"/>
        </w:rPr>
        <w:fldChar w:fldCharType="end"/>
      </w:r>
      <w:r>
        <w:rPr>
          <w:color w:val="000000"/>
          <w:spacing w:val="-6"/>
          <w:kern w:val="21"/>
          <w:szCs w:val="21"/>
        </w:rPr>
        <w:t>+</w:t>
      </w:r>
      <w:r>
        <w:rPr>
          <w:color w:val="000000"/>
          <w:spacing w:val="-6"/>
          <w:kern w:val="21"/>
          <w:szCs w:val="21"/>
        </w:rPr>
        <w:fldChar w:fldCharType="begin"/>
      </w:r>
      <w:r>
        <w:rPr>
          <w:color w:val="000000"/>
          <w:spacing w:val="-6"/>
          <w:kern w:val="21"/>
          <w:szCs w:val="21"/>
        </w:rPr>
        <w:instrText xml:space="preserve"> = 3 \* GB3 \* MERGEFORMAT </w:instrText>
      </w:r>
      <w:r>
        <w:rPr>
          <w:color w:val="000000"/>
          <w:spacing w:val="-6"/>
          <w:kern w:val="21"/>
          <w:szCs w:val="21"/>
        </w:rPr>
        <w:fldChar w:fldCharType="separate"/>
      </w:r>
      <w:r>
        <w:rPr>
          <w:rFonts w:hint="eastAsia"/>
          <w:szCs w:val="21"/>
        </w:rPr>
        <w:t>③</w:t>
      </w:r>
      <w:r>
        <w:rPr>
          <w:color w:val="000000"/>
          <w:spacing w:val="-6"/>
          <w:kern w:val="21"/>
          <w:szCs w:val="21"/>
        </w:rPr>
        <w:fldChar w:fldCharType="end"/>
      </w:r>
      <w:r>
        <w:rPr>
          <w:color w:val="000000"/>
          <w:spacing w:val="-6"/>
          <w:kern w:val="21"/>
          <w:szCs w:val="21"/>
        </w:rPr>
        <w:t>+</w:t>
      </w:r>
      <w:r>
        <w:rPr>
          <w:color w:val="000000"/>
          <w:spacing w:val="-6"/>
          <w:kern w:val="21"/>
          <w:szCs w:val="21"/>
        </w:rPr>
        <w:fldChar w:fldCharType="begin"/>
      </w:r>
      <w:r>
        <w:rPr>
          <w:color w:val="000000"/>
          <w:spacing w:val="-6"/>
          <w:kern w:val="21"/>
          <w:szCs w:val="21"/>
        </w:rPr>
        <w:instrText xml:space="preserve"> = 4 \* GB3 \* MERGEFORMAT </w:instrText>
      </w:r>
      <w:r>
        <w:rPr>
          <w:color w:val="000000"/>
          <w:spacing w:val="-6"/>
          <w:kern w:val="21"/>
          <w:szCs w:val="21"/>
        </w:rPr>
        <w:fldChar w:fldCharType="separate"/>
      </w:r>
      <w:r>
        <w:rPr>
          <w:rFonts w:hint="eastAsia"/>
          <w:szCs w:val="21"/>
        </w:rPr>
        <w:t>④</w:t>
      </w:r>
      <w:r>
        <w:rPr>
          <w:color w:val="000000"/>
          <w:spacing w:val="-6"/>
          <w:kern w:val="21"/>
          <w:szCs w:val="21"/>
        </w:rPr>
        <w:fldChar w:fldCharType="end"/>
      </w:r>
      <w:r>
        <w:rPr>
          <w:color w:val="000000"/>
          <w:spacing w:val="-6"/>
          <w:kern w:val="21"/>
          <w:szCs w:val="21"/>
        </w:rPr>
        <w:t>-</w:t>
      </w:r>
      <w:r>
        <w:rPr>
          <w:color w:val="000000"/>
          <w:spacing w:val="-16"/>
          <w:kern w:val="21"/>
          <w:szCs w:val="21"/>
        </w:rPr>
        <w:fldChar w:fldCharType="begin"/>
      </w:r>
      <w:r>
        <w:rPr>
          <w:color w:val="000000"/>
          <w:spacing w:val="-16"/>
          <w:kern w:val="21"/>
          <w:szCs w:val="21"/>
        </w:rPr>
        <w:instrText xml:space="preserve"> = 5 \* GB3 \* MERGEFORMAT </w:instrText>
      </w:r>
      <w:r>
        <w:rPr>
          <w:color w:val="000000"/>
          <w:spacing w:val="-16"/>
          <w:kern w:val="21"/>
          <w:szCs w:val="21"/>
        </w:rPr>
        <w:fldChar w:fldCharType="separate"/>
      </w:r>
      <w:r>
        <w:rPr>
          <w:rFonts w:hint="eastAsia"/>
          <w:szCs w:val="21"/>
        </w:rPr>
        <w:t>⑤</w:t>
      </w:r>
      <w:r>
        <w:rPr>
          <w:color w:val="000000"/>
          <w:spacing w:val="-16"/>
          <w:kern w:val="21"/>
          <w:szCs w:val="21"/>
        </w:rPr>
        <w:fldChar w:fldCharType="end"/>
      </w:r>
      <w:r>
        <w:rPr>
          <w:color w:val="000000"/>
          <w:spacing w:val="-16"/>
          <w:kern w:val="21"/>
          <w:szCs w:val="21"/>
        </w:rPr>
        <w:t>；</w:t>
      </w:r>
      <w:r>
        <w:rPr>
          <w:color w:val="000000"/>
          <w:spacing w:val="-6"/>
          <w:kern w:val="21"/>
          <w:szCs w:val="21"/>
        </w:rPr>
        <w:fldChar w:fldCharType="begin"/>
      </w:r>
      <w:r>
        <w:rPr>
          <w:color w:val="000000"/>
          <w:spacing w:val="-6"/>
          <w:kern w:val="21"/>
          <w:szCs w:val="21"/>
        </w:rPr>
        <w:instrText xml:space="preserve"> = 7 \* GB3 \* MERGEFORMAT </w:instrText>
      </w:r>
      <w:r>
        <w:rPr>
          <w:color w:val="000000"/>
          <w:spacing w:val="-6"/>
          <w:kern w:val="21"/>
          <w:szCs w:val="21"/>
        </w:rPr>
        <w:fldChar w:fldCharType="separate"/>
      </w:r>
      <w:r>
        <w:rPr>
          <w:rFonts w:hint="eastAsia"/>
          <w:szCs w:val="21"/>
        </w:rPr>
        <w:t>⑦</w:t>
      </w:r>
      <w:r>
        <w:rPr>
          <w:color w:val="000000"/>
          <w:spacing w:val="-6"/>
          <w:kern w:val="21"/>
          <w:szCs w:val="21"/>
        </w:rPr>
        <w:fldChar w:fldCharType="end"/>
      </w:r>
      <w:r>
        <w:rPr>
          <w:color w:val="000000"/>
          <w:spacing w:val="-6"/>
          <w:kern w:val="21"/>
          <w:szCs w:val="21"/>
        </w:rPr>
        <w:t>=</w:t>
      </w:r>
      <w:r>
        <w:rPr>
          <w:color w:val="000000"/>
          <w:spacing w:val="-16"/>
          <w:kern w:val="21"/>
          <w:szCs w:val="21"/>
        </w:rPr>
        <w:fldChar w:fldCharType="begin"/>
      </w:r>
      <w:r>
        <w:rPr>
          <w:color w:val="000000"/>
          <w:spacing w:val="-16"/>
          <w:kern w:val="21"/>
          <w:szCs w:val="21"/>
        </w:rPr>
        <w:instrText xml:space="preserve"> = 6 \* GB3 \* MERGEFORMAT </w:instrText>
      </w:r>
      <w:r>
        <w:rPr>
          <w:color w:val="000000"/>
          <w:spacing w:val="-16"/>
          <w:kern w:val="21"/>
          <w:szCs w:val="21"/>
        </w:rPr>
        <w:fldChar w:fldCharType="separate"/>
      </w:r>
      <w:r>
        <w:rPr>
          <w:rFonts w:hint="eastAsia"/>
          <w:szCs w:val="21"/>
        </w:rPr>
        <w:t>⑥</w:t>
      </w:r>
      <w:r>
        <w:rPr>
          <w:color w:val="000000"/>
          <w:spacing w:val="-16"/>
          <w:kern w:val="21"/>
          <w:szCs w:val="21"/>
        </w:rPr>
        <w:fldChar w:fldCharType="end"/>
      </w:r>
      <w:r>
        <w:rPr>
          <w:color w:val="000000"/>
          <w:spacing w:val="-16"/>
          <w:kern w:val="21"/>
          <w:szCs w:val="21"/>
        </w:rPr>
        <w:t>-</w:t>
      </w:r>
      <w:r>
        <w:rPr>
          <w:color w:val="000000"/>
          <w:spacing w:val="-6"/>
          <w:kern w:val="21"/>
          <w:szCs w:val="21"/>
        </w:rPr>
        <w:fldChar w:fldCharType="begin"/>
      </w:r>
      <w:r>
        <w:rPr>
          <w:color w:val="000000"/>
          <w:spacing w:val="-6"/>
          <w:kern w:val="21"/>
          <w:szCs w:val="21"/>
        </w:rPr>
        <w:instrText xml:space="preserve"> = 1 \* GB3 \* MERGEFORMAT </w:instrText>
      </w:r>
      <w:r>
        <w:rPr>
          <w:color w:val="000000"/>
          <w:spacing w:val="-6"/>
          <w:kern w:val="21"/>
          <w:szCs w:val="21"/>
        </w:rPr>
        <w:fldChar w:fldCharType="separate"/>
      </w:r>
      <w:r>
        <w:rPr>
          <w:rFonts w:hint="eastAsia"/>
          <w:szCs w:val="21"/>
        </w:rPr>
        <w:t>①</w:t>
      </w:r>
      <w:r>
        <w:rPr>
          <w:color w:val="000000"/>
          <w:spacing w:val="-6"/>
          <w:kern w:val="21"/>
          <w:szCs w:val="21"/>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84C0">
    <w:pPr>
      <w:pStyle w:val="1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97CB">
    <w:pPr>
      <w:pStyle w:val="11"/>
      <w:framePr w:wrap="around" w:vAnchor="text" w:hAnchor="margin" w:xAlign="center" w:y="1"/>
      <w:ind w:firstLine="360"/>
      <w:rPr>
        <w:rStyle w:val="23"/>
      </w:rPr>
    </w:pPr>
    <w:r>
      <w:fldChar w:fldCharType="begin"/>
    </w:r>
    <w:r>
      <w:rPr>
        <w:rStyle w:val="23"/>
      </w:rPr>
      <w:instrText xml:space="preserve">PAGE  </w:instrText>
    </w:r>
    <w:r>
      <w:fldChar w:fldCharType="end"/>
    </w:r>
  </w:p>
  <w:p w14:paraId="51C9BFFD">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03E3">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C8AEF">
                          <w:pPr>
                            <w:pStyle w:val="11"/>
                            <w:ind w:left="0" w:leftChars="0" w:firstLine="0" w:firstLineChars="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5AC8AEF">
                    <w:pPr>
                      <w:pStyle w:val="11"/>
                      <w:ind w:left="0" w:leftChars="0" w:firstLine="0" w:firstLineChars="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82F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DCED3"/>
    <w:multiLevelType w:val="singleLevel"/>
    <w:tmpl w:val="A03DCED3"/>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E76C3007"/>
    <w:multiLevelType w:val="singleLevel"/>
    <w:tmpl w:val="E76C3007"/>
    <w:lvl w:ilvl="0" w:tentative="0">
      <w:start w:val="1"/>
      <w:numFmt w:val="decimal"/>
      <w:suff w:val="nothing"/>
      <w:lvlText w:val="（%1）"/>
      <w:lvlJc w:val="left"/>
    </w:lvl>
  </w:abstractNum>
  <w:abstractNum w:abstractNumId="2">
    <w:nsid w:val="4D44C97B"/>
    <w:multiLevelType w:val="singleLevel"/>
    <w:tmpl w:val="4D44C97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GMxZmYwZTYyNDQzMzU3ZmUyOTY0YmRmYjFhMGMifQ=="/>
  </w:docVars>
  <w:rsids>
    <w:rsidRoot w:val="00172A27"/>
    <w:rsid w:val="00086ED7"/>
    <w:rsid w:val="00125681"/>
    <w:rsid w:val="00127E77"/>
    <w:rsid w:val="00142599"/>
    <w:rsid w:val="00172A27"/>
    <w:rsid w:val="001E4038"/>
    <w:rsid w:val="00207593"/>
    <w:rsid w:val="002574B3"/>
    <w:rsid w:val="002866C3"/>
    <w:rsid w:val="002960FA"/>
    <w:rsid w:val="002D51E2"/>
    <w:rsid w:val="0033792B"/>
    <w:rsid w:val="003E358D"/>
    <w:rsid w:val="00766036"/>
    <w:rsid w:val="007A5224"/>
    <w:rsid w:val="007D5723"/>
    <w:rsid w:val="00B562F9"/>
    <w:rsid w:val="00D2130F"/>
    <w:rsid w:val="00F963D8"/>
    <w:rsid w:val="013D4B60"/>
    <w:rsid w:val="015652C5"/>
    <w:rsid w:val="018812AC"/>
    <w:rsid w:val="01A7647D"/>
    <w:rsid w:val="01AF4968"/>
    <w:rsid w:val="0221596F"/>
    <w:rsid w:val="022E63CF"/>
    <w:rsid w:val="02455E77"/>
    <w:rsid w:val="02685C0C"/>
    <w:rsid w:val="02696DA3"/>
    <w:rsid w:val="0270061D"/>
    <w:rsid w:val="029E162E"/>
    <w:rsid w:val="02E9402D"/>
    <w:rsid w:val="031209D4"/>
    <w:rsid w:val="03242B66"/>
    <w:rsid w:val="034026E5"/>
    <w:rsid w:val="03454559"/>
    <w:rsid w:val="0363670C"/>
    <w:rsid w:val="037A0B0F"/>
    <w:rsid w:val="045521C0"/>
    <w:rsid w:val="04AE10AD"/>
    <w:rsid w:val="04E02799"/>
    <w:rsid w:val="05606B44"/>
    <w:rsid w:val="057C5446"/>
    <w:rsid w:val="066C559F"/>
    <w:rsid w:val="068B2DA3"/>
    <w:rsid w:val="06A40F90"/>
    <w:rsid w:val="06B86A37"/>
    <w:rsid w:val="07280DFC"/>
    <w:rsid w:val="075D7282"/>
    <w:rsid w:val="0768220B"/>
    <w:rsid w:val="076B0410"/>
    <w:rsid w:val="07866B35"/>
    <w:rsid w:val="07B05960"/>
    <w:rsid w:val="07CF565D"/>
    <w:rsid w:val="08204893"/>
    <w:rsid w:val="08471532"/>
    <w:rsid w:val="086055C9"/>
    <w:rsid w:val="08723446"/>
    <w:rsid w:val="08D221A5"/>
    <w:rsid w:val="0A27015B"/>
    <w:rsid w:val="0A4754F2"/>
    <w:rsid w:val="0AC21C32"/>
    <w:rsid w:val="0B5A4560"/>
    <w:rsid w:val="0B6B31AD"/>
    <w:rsid w:val="0B977FE8"/>
    <w:rsid w:val="0BA93DDE"/>
    <w:rsid w:val="0BFC1173"/>
    <w:rsid w:val="0C175FAD"/>
    <w:rsid w:val="0C287690"/>
    <w:rsid w:val="0C41127C"/>
    <w:rsid w:val="0CC954FA"/>
    <w:rsid w:val="0CE00A95"/>
    <w:rsid w:val="0D1A5D55"/>
    <w:rsid w:val="0D27551E"/>
    <w:rsid w:val="0D3112F1"/>
    <w:rsid w:val="0D5C7D6C"/>
    <w:rsid w:val="0DD36B0A"/>
    <w:rsid w:val="0E9E387E"/>
    <w:rsid w:val="0EAE7638"/>
    <w:rsid w:val="0EF83F4A"/>
    <w:rsid w:val="0EFD2FB7"/>
    <w:rsid w:val="0F177CEF"/>
    <w:rsid w:val="0F2C6214"/>
    <w:rsid w:val="0F607F69"/>
    <w:rsid w:val="0FDC3796"/>
    <w:rsid w:val="106371F7"/>
    <w:rsid w:val="11273066"/>
    <w:rsid w:val="11D64215"/>
    <w:rsid w:val="11DD7458"/>
    <w:rsid w:val="11DF2E14"/>
    <w:rsid w:val="121836DB"/>
    <w:rsid w:val="123029BC"/>
    <w:rsid w:val="123F625E"/>
    <w:rsid w:val="12483364"/>
    <w:rsid w:val="127E731F"/>
    <w:rsid w:val="12E82452"/>
    <w:rsid w:val="13815B74"/>
    <w:rsid w:val="13A22600"/>
    <w:rsid w:val="13A84BE7"/>
    <w:rsid w:val="13C42DEB"/>
    <w:rsid w:val="13E250F3"/>
    <w:rsid w:val="13FB2F86"/>
    <w:rsid w:val="140E7C96"/>
    <w:rsid w:val="14910D1F"/>
    <w:rsid w:val="14CD2FEA"/>
    <w:rsid w:val="14FC3F92"/>
    <w:rsid w:val="1594241D"/>
    <w:rsid w:val="15A85EC8"/>
    <w:rsid w:val="15E276AA"/>
    <w:rsid w:val="161774F7"/>
    <w:rsid w:val="16F1293F"/>
    <w:rsid w:val="16F97CC0"/>
    <w:rsid w:val="16FC4669"/>
    <w:rsid w:val="16FF4C97"/>
    <w:rsid w:val="17220FE3"/>
    <w:rsid w:val="17372AB4"/>
    <w:rsid w:val="17494D92"/>
    <w:rsid w:val="17FE514D"/>
    <w:rsid w:val="181F70EC"/>
    <w:rsid w:val="1890511D"/>
    <w:rsid w:val="18B7657E"/>
    <w:rsid w:val="191436B8"/>
    <w:rsid w:val="197E766C"/>
    <w:rsid w:val="1991352E"/>
    <w:rsid w:val="19AB0116"/>
    <w:rsid w:val="1A332204"/>
    <w:rsid w:val="1A8F2A50"/>
    <w:rsid w:val="1BD143CB"/>
    <w:rsid w:val="1BDE6861"/>
    <w:rsid w:val="1C0E117B"/>
    <w:rsid w:val="1C1C72F1"/>
    <w:rsid w:val="1C8A5FD5"/>
    <w:rsid w:val="1C8D106A"/>
    <w:rsid w:val="1CBD04AB"/>
    <w:rsid w:val="1CE95744"/>
    <w:rsid w:val="1CF0262F"/>
    <w:rsid w:val="1D1722B1"/>
    <w:rsid w:val="1D7A0514"/>
    <w:rsid w:val="1DBC74E6"/>
    <w:rsid w:val="1E016615"/>
    <w:rsid w:val="1E0431F6"/>
    <w:rsid w:val="1E894AE9"/>
    <w:rsid w:val="1E8A0861"/>
    <w:rsid w:val="1EB64E1B"/>
    <w:rsid w:val="1EF35348"/>
    <w:rsid w:val="1F29007A"/>
    <w:rsid w:val="1F6B68E4"/>
    <w:rsid w:val="1FBA5176"/>
    <w:rsid w:val="1FC14756"/>
    <w:rsid w:val="20061357"/>
    <w:rsid w:val="2007660D"/>
    <w:rsid w:val="202C2DAC"/>
    <w:rsid w:val="203A2EE5"/>
    <w:rsid w:val="20674250"/>
    <w:rsid w:val="206776EC"/>
    <w:rsid w:val="20AD0149"/>
    <w:rsid w:val="20D65900"/>
    <w:rsid w:val="20DD2ECA"/>
    <w:rsid w:val="211057E8"/>
    <w:rsid w:val="21246D4B"/>
    <w:rsid w:val="215A451A"/>
    <w:rsid w:val="2194044A"/>
    <w:rsid w:val="21BD0ACC"/>
    <w:rsid w:val="21D520DD"/>
    <w:rsid w:val="21EF3297"/>
    <w:rsid w:val="21F71E10"/>
    <w:rsid w:val="22406E8A"/>
    <w:rsid w:val="227F174C"/>
    <w:rsid w:val="229B128E"/>
    <w:rsid w:val="22D95C11"/>
    <w:rsid w:val="23030D01"/>
    <w:rsid w:val="232839CF"/>
    <w:rsid w:val="235356C5"/>
    <w:rsid w:val="238C260F"/>
    <w:rsid w:val="23CA754A"/>
    <w:rsid w:val="23DF51AB"/>
    <w:rsid w:val="23FB5610"/>
    <w:rsid w:val="23FE716F"/>
    <w:rsid w:val="24665FB7"/>
    <w:rsid w:val="24B77ED6"/>
    <w:rsid w:val="24C25D62"/>
    <w:rsid w:val="24E21243"/>
    <w:rsid w:val="250749B9"/>
    <w:rsid w:val="25140E84"/>
    <w:rsid w:val="252E67BC"/>
    <w:rsid w:val="255B4836"/>
    <w:rsid w:val="256736AA"/>
    <w:rsid w:val="257346EC"/>
    <w:rsid w:val="25945626"/>
    <w:rsid w:val="25A0096A"/>
    <w:rsid w:val="25C36645"/>
    <w:rsid w:val="25CD13A9"/>
    <w:rsid w:val="25D655D1"/>
    <w:rsid w:val="268D5392"/>
    <w:rsid w:val="26AC1216"/>
    <w:rsid w:val="26F7280B"/>
    <w:rsid w:val="26F806CA"/>
    <w:rsid w:val="27272462"/>
    <w:rsid w:val="27C02715"/>
    <w:rsid w:val="27DD7430"/>
    <w:rsid w:val="27FE0A2E"/>
    <w:rsid w:val="28330C06"/>
    <w:rsid w:val="287721C5"/>
    <w:rsid w:val="287A3F34"/>
    <w:rsid w:val="287D7D73"/>
    <w:rsid w:val="28950213"/>
    <w:rsid w:val="291D44C0"/>
    <w:rsid w:val="297168A5"/>
    <w:rsid w:val="297960F5"/>
    <w:rsid w:val="29BF5862"/>
    <w:rsid w:val="29C713DD"/>
    <w:rsid w:val="29D44C36"/>
    <w:rsid w:val="29FB4F6C"/>
    <w:rsid w:val="2A450906"/>
    <w:rsid w:val="2A9036A3"/>
    <w:rsid w:val="2AAA6DD9"/>
    <w:rsid w:val="2AFD4D90"/>
    <w:rsid w:val="2B0158D8"/>
    <w:rsid w:val="2B2D4A4E"/>
    <w:rsid w:val="2B336CED"/>
    <w:rsid w:val="2B7B7EAF"/>
    <w:rsid w:val="2BD32A12"/>
    <w:rsid w:val="2BEF7F55"/>
    <w:rsid w:val="2BF343F3"/>
    <w:rsid w:val="2C0D6DA4"/>
    <w:rsid w:val="2C557E64"/>
    <w:rsid w:val="2C844B41"/>
    <w:rsid w:val="2CDE6947"/>
    <w:rsid w:val="2D0A1BB7"/>
    <w:rsid w:val="2D2A16FD"/>
    <w:rsid w:val="2D4D2738"/>
    <w:rsid w:val="2DA05586"/>
    <w:rsid w:val="2DC35332"/>
    <w:rsid w:val="2DD50992"/>
    <w:rsid w:val="2E956419"/>
    <w:rsid w:val="2F126434"/>
    <w:rsid w:val="2F1C6FCF"/>
    <w:rsid w:val="2FD76856"/>
    <w:rsid w:val="2FE123DF"/>
    <w:rsid w:val="301D32E3"/>
    <w:rsid w:val="303F348B"/>
    <w:rsid w:val="30696528"/>
    <w:rsid w:val="30817D16"/>
    <w:rsid w:val="308D5C7B"/>
    <w:rsid w:val="309D65F0"/>
    <w:rsid w:val="30F027A5"/>
    <w:rsid w:val="30F9262E"/>
    <w:rsid w:val="30FA4AA7"/>
    <w:rsid w:val="312F1371"/>
    <w:rsid w:val="313326F7"/>
    <w:rsid w:val="315A3B83"/>
    <w:rsid w:val="31762CCE"/>
    <w:rsid w:val="317909ED"/>
    <w:rsid w:val="326B7780"/>
    <w:rsid w:val="3352618F"/>
    <w:rsid w:val="33590AD6"/>
    <w:rsid w:val="33591F3C"/>
    <w:rsid w:val="336E272E"/>
    <w:rsid w:val="337C2A16"/>
    <w:rsid w:val="33C107B5"/>
    <w:rsid w:val="33D421A3"/>
    <w:rsid w:val="33EA74EE"/>
    <w:rsid w:val="33F151B2"/>
    <w:rsid w:val="343F6082"/>
    <w:rsid w:val="34EE16F2"/>
    <w:rsid w:val="350E2B89"/>
    <w:rsid w:val="366D4898"/>
    <w:rsid w:val="368947BD"/>
    <w:rsid w:val="36E0777B"/>
    <w:rsid w:val="373A6E70"/>
    <w:rsid w:val="376932B2"/>
    <w:rsid w:val="37FB65FF"/>
    <w:rsid w:val="37FC2378"/>
    <w:rsid w:val="37FC5ED4"/>
    <w:rsid w:val="38101657"/>
    <w:rsid w:val="382B39B7"/>
    <w:rsid w:val="386D6DD1"/>
    <w:rsid w:val="387C3E6D"/>
    <w:rsid w:val="38FF3ECD"/>
    <w:rsid w:val="38FF6859"/>
    <w:rsid w:val="39DB3FCE"/>
    <w:rsid w:val="3A3161DB"/>
    <w:rsid w:val="3A4F678F"/>
    <w:rsid w:val="3A7A6F3C"/>
    <w:rsid w:val="3A832EBA"/>
    <w:rsid w:val="3B457B92"/>
    <w:rsid w:val="3B63510C"/>
    <w:rsid w:val="3BCD60C4"/>
    <w:rsid w:val="3BF04E47"/>
    <w:rsid w:val="3C4E6795"/>
    <w:rsid w:val="3CB60D47"/>
    <w:rsid w:val="3CF678A4"/>
    <w:rsid w:val="3D06762B"/>
    <w:rsid w:val="3D1E069A"/>
    <w:rsid w:val="3D31661F"/>
    <w:rsid w:val="3D334223"/>
    <w:rsid w:val="3D735A6B"/>
    <w:rsid w:val="3D760535"/>
    <w:rsid w:val="3DC660E6"/>
    <w:rsid w:val="3E546167"/>
    <w:rsid w:val="3EA3354D"/>
    <w:rsid w:val="3EA84A1A"/>
    <w:rsid w:val="3EBE3A8F"/>
    <w:rsid w:val="3EC040FF"/>
    <w:rsid w:val="3EF26282"/>
    <w:rsid w:val="3EFD36B4"/>
    <w:rsid w:val="3EFE69D5"/>
    <w:rsid w:val="3F0152C0"/>
    <w:rsid w:val="3F6D76B7"/>
    <w:rsid w:val="3FA72BC9"/>
    <w:rsid w:val="3FBC59FE"/>
    <w:rsid w:val="403703F1"/>
    <w:rsid w:val="406775E5"/>
    <w:rsid w:val="406A0489"/>
    <w:rsid w:val="408C7DC8"/>
    <w:rsid w:val="40BE641C"/>
    <w:rsid w:val="40C2529C"/>
    <w:rsid w:val="40D50EAA"/>
    <w:rsid w:val="40D55514"/>
    <w:rsid w:val="425C5AB4"/>
    <w:rsid w:val="42680015"/>
    <w:rsid w:val="427406E8"/>
    <w:rsid w:val="432D6715"/>
    <w:rsid w:val="434A27AB"/>
    <w:rsid w:val="43D83C99"/>
    <w:rsid w:val="43F43D44"/>
    <w:rsid w:val="44501A81"/>
    <w:rsid w:val="4475773A"/>
    <w:rsid w:val="447C2876"/>
    <w:rsid w:val="44981FD8"/>
    <w:rsid w:val="449D0A3E"/>
    <w:rsid w:val="44B53FBB"/>
    <w:rsid w:val="44DD0E3B"/>
    <w:rsid w:val="45176F07"/>
    <w:rsid w:val="451E10F1"/>
    <w:rsid w:val="453942C3"/>
    <w:rsid w:val="45D4223E"/>
    <w:rsid w:val="45D55AA5"/>
    <w:rsid w:val="45F4493C"/>
    <w:rsid w:val="462311C0"/>
    <w:rsid w:val="465670F7"/>
    <w:rsid w:val="467519C6"/>
    <w:rsid w:val="47010E1F"/>
    <w:rsid w:val="479F4613"/>
    <w:rsid w:val="47C02A55"/>
    <w:rsid w:val="47DE73A4"/>
    <w:rsid w:val="481F1429"/>
    <w:rsid w:val="482B75F4"/>
    <w:rsid w:val="48801279"/>
    <w:rsid w:val="48C9444C"/>
    <w:rsid w:val="48E103F2"/>
    <w:rsid w:val="49404145"/>
    <w:rsid w:val="49845D29"/>
    <w:rsid w:val="49A67858"/>
    <w:rsid w:val="49B04D70"/>
    <w:rsid w:val="49D94DDD"/>
    <w:rsid w:val="49F16302"/>
    <w:rsid w:val="4A314103"/>
    <w:rsid w:val="4A4D0811"/>
    <w:rsid w:val="4A68381D"/>
    <w:rsid w:val="4AAB57B2"/>
    <w:rsid w:val="4AC40AD3"/>
    <w:rsid w:val="4AFD5D93"/>
    <w:rsid w:val="4B064850"/>
    <w:rsid w:val="4B1D6435"/>
    <w:rsid w:val="4BAB3A41"/>
    <w:rsid w:val="4BFD078A"/>
    <w:rsid w:val="4C4D4AF8"/>
    <w:rsid w:val="4C6562E6"/>
    <w:rsid w:val="4C8C7825"/>
    <w:rsid w:val="4C982699"/>
    <w:rsid w:val="4CCD5509"/>
    <w:rsid w:val="4D7F6F33"/>
    <w:rsid w:val="4D93537F"/>
    <w:rsid w:val="4DAA371F"/>
    <w:rsid w:val="4DFC0DC2"/>
    <w:rsid w:val="4E140960"/>
    <w:rsid w:val="4E824F2D"/>
    <w:rsid w:val="4E881E17"/>
    <w:rsid w:val="4ED21FFB"/>
    <w:rsid w:val="4EEE4370"/>
    <w:rsid w:val="4F3D2C02"/>
    <w:rsid w:val="4F67615C"/>
    <w:rsid w:val="4FEE3A99"/>
    <w:rsid w:val="50210776"/>
    <w:rsid w:val="508512A5"/>
    <w:rsid w:val="508E1939"/>
    <w:rsid w:val="50D0694C"/>
    <w:rsid w:val="51134B57"/>
    <w:rsid w:val="513E5FC8"/>
    <w:rsid w:val="51575861"/>
    <w:rsid w:val="51FE66D9"/>
    <w:rsid w:val="520663E5"/>
    <w:rsid w:val="5225144F"/>
    <w:rsid w:val="526112FD"/>
    <w:rsid w:val="528F161C"/>
    <w:rsid w:val="52A07E5E"/>
    <w:rsid w:val="52AB4326"/>
    <w:rsid w:val="5310364B"/>
    <w:rsid w:val="53A174C2"/>
    <w:rsid w:val="53C77328"/>
    <w:rsid w:val="53CA7E60"/>
    <w:rsid w:val="546960DB"/>
    <w:rsid w:val="54760067"/>
    <w:rsid w:val="547C41CC"/>
    <w:rsid w:val="547F29CF"/>
    <w:rsid w:val="549A0AF6"/>
    <w:rsid w:val="54EB1352"/>
    <w:rsid w:val="54F55D2D"/>
    <w:rsid w:val="5559450E"/>
    <w:rsid w:val="55EF50CA"/>
    <w:rsid w:val="5672533A"/>
    <w:rsid w:val="56757125"/>
    <w:rsid w:val="56807BFF"/>
    <w:rsid w:val="568F668D"/>
    <w:rsid w:val="569D458F"/>
    <w:rsid w:val="56C149B2"/>
    <w:rsid w:val="570861EB"/>
    <w:rsid w:val="572114C3"/>
    <w:rsid w:val="572B1EDA"/>
    <w:rsid w:val="573E4C7D"/>
    <w:rsid w:val="576B56E3"/>
    <w:rsid w:val="57963E4C"/>
    <w:rsid w:val="57A32312"/>
    <w:rsid w:val="58226E39"/>
    <w:rsid w:val="583C439E"/>
    <w:rsid w:val="5855006D"/>
    <w:rsid w:val="58DE6C44"/>
    <w:rsid w:val="58E01F18"/>
    <w:rsid w:val="59412B2A"/>
    <w:rsid w:val="59965D30"/>
    <w:rsid w:val="59CC3500"/>
    <w:rsid w:val="5A0A5DD6"/>
    <w:rsid w:val="5A5C26E6"/>
    <w:rsid w:val="5A854A24"/>
    <w:rsid w:val="5A99595F"/>
    <w:rsid w:val="5ADD173D"/>
    <w:rsid w:val="5AFE0B90"/>
    <w:rsid w:val="5B1A64ED"/>
    <w:rsid w:val="5B6F05E7"/>
    <w:rsid w:val="5C2C7702"/>
    <w:rsid w:val="5C2F7D76"/>
    <w:rsid w:val="5C3B496D"/>
    <w:rsid w:val="5CB07109"/>
    <w:rsid w:val="5CC42BB4"/>
    <w:rsid w:val="5D27704B"/>
    <w:rsid w:val="5D31286B"/>
    <w:rsid w:val="5D565A7C"/>
    <w:rsid w:val="5D706898"/>
    <w:rsid w:val="5D85295E"/>
    <w:rsid w:val="5E331DA0"/>
    <w:rsid w:val="5E341BB1"/>
    <w:rsid w:val="5E5E5BBF"/>
    <w:rsid w:val="5E6E102A"/>
    <w:rsid w:val="5E8545C5"/>
    <w:rsid w:val="5E856373"/>
    <w:rsid w:val="5E8C14B0"/>
    <w:rsid w:val="5ECA3D86"/>
    <w:rsid w:val="5ED427E9"/>
    <w:rsid w:val="5F2961E2"/>
    <w:rsid w:val="5FB575FA"/>
    <w:rsid w:val="5FC367C7"/>
    <w:rsid w:val="60886BF6"/>
    <w:rsid w:val="60C76932"/>
    <w:rsid w:val="6105554A"/>
    <w:rsid w:val="611357CC"/>
    <w:rsid w:val="613A715E"/>
    <w:rsid w:val="61706E67"/>
    <w:rsid w:val="617A498C"/>
    <w:rsid w:val="61E7318C"/>
    <w:rsid w:val="61F562F2"/>
    <w:rsid w:val="61FF01EB"/>
    <w:rsid w:val="6234533C"/>
    <w:rsid w:val="62A414BE"/>
    <w:rsid w:val="62AA45FB"/>
    <w:rsid w:val="62B41015"/>
    <w:rsid w:val="62C0764B"/>
    <w:rsid w:val="62C85CBA"/>
    <w:rsid w:val="63033C02"/>
    <w:rsid w:val="631005FA"/>
    <w:rsid w:val="63106A13"/>
    <w:rsid w:val="63A92B04"/>
    <w:rsid w:val="63AB23D8"/>
    <w:rsid w:val="63BA086D"/>
    <w:rsid w:val="63EF0F3A"/>
    <w:rsid w:val="64063654"/>
    <w:rsid w:val="643C08D1"/>
    <w:rsid w:val="64552A1C"/>
    <w:rsid w:val="64F957AF"/>
    <w:rsid w:val="651E0815"/>
    <w:rsid w:val="656E797A"/>
    <w:rsid w:val="65750BC7"/>
    <w:rsid w:val="65EB2F60"/>
    <w:rsid w:val="66482160"/>
    <w:rsid w:val="668F4747"/>
    <w:rsid w:val="669B0E79"/>
    <w:rsid w:val="67112E9A"/>
    <w:rsid w:val="676A6106"/>
    <w:rsid w:val="678C73B0"/>
    <w:rsid w:val="68040309"/>
    <w:rsid w:val="68526D0C"/>
    <w:rsid w:val="68680B71"/>
    <w:rsid w:val="688F7A7C"/>
    <w:rsid w:val="68A83BA2"/>
    <w:rsid w:val="692914B5"/>
    <w:rsid w:val="693D5CD9"/>
    <w:rsid w:val="69543E93"/>
    <w:rsid w:val="696735BE"/>
    <w:rsid w:val="69896FC3"/>
    <w:rsid w:val="699F478D"/>
    <w:rsid w:val="69CD3B38"/>
    <w:rsid w:val="6BB02C74"/>
    <w:rsid w:val="6BC24763"/>
    <w:rsid w:val="6BCE135A"/>
    <w:rsid w:val="6C103946"/>
    <w:rsid w:val="6C376EFF"/>
    <w:rsid w:val="6C45650D"/>
    <w:rsid w:val="6C7C4D7F"/>
    <w:rsid w:val="6C9500C9"/>
    <w:rsid w:val="6CF649B4"/>
    <w:rsid w:val="6CFA19BD"/>
    <w:rsid w:val="6CFE2944"/>
    <w:rsid w:val="6D0B399E"/>
    <w:rsid w:val="6D0B3EEF"/>
    <w:rsid w:val="6D91357C"/>
    <w:rsid w:val="6DB71609"/>
    <w:rsid w:val="6E3D1B65"/>
    <w:rsid w:val="6E7603C5"/>
    <w:rsid w:val="6EA0251B"/>
    <w:rsid w:val="6EBC193D"/>
    <w:rsid w:val="6F2C1224"/>
    <w:rsid w:val="6F3D6533"/>
    <w:rsid w:val="6FA45BFB"/>
    <w:rsid w:val="6FDC4D61"/>
    <w:rsid w:val="700F1B50"/>
    <w:rsid w:val="704C6CF1"/>
    <w:rsid w:val="706F29B3"/>
    <w:rsid w:val="70E06F2B"/>
    <w:rsid w:val="710C557F"/>
    <w:rsid w:val="71AF00CC"/>
    <w:rsid w:val="71C538F5"/>
    <w:rsid w:val="71D43C4E"/>
    <w:rsid w:val="71D56F7D"/>
    <w:rsid w:val="7206165F"/>
    <w:rsid w:val="72784832"/>
    <w:rsid w:val="72A14F47"/>
    <w:rsid w:val="73677673"/>
    <w:rsid w:val="738F520D"/>
    <w:rsid w:val="73922C6D"/>
    <w:rsid w:val="739C2F93"/>
    <w:rsid w:val="73B057E9"/>
    <w:rsid w:val="73B36AE0"/>
    <w:rsid w:val="73CF08C0"/>
    <w:rsid w:val="740C0200"/>
    <w:rsid w:val="743D0B9E"/>
    <w:rsid w:val="751A116C"/>
    <w:rsid w:val="75222BF0"/>
    <w:rsid w:val="755E63FC"/>
    <w:rsid w:val="75D43A11"/>
    <w:rsid w:val="761C7166"/>
    <w:rsid w:val="764861AD"/>
    <w:rsid w:val="76531749"/>
    <w:rsid w:val="771A36A5"/>
    <w:rsid w:val="77226C6F"/>
    <w:rsid w:val="77967696"/>
    <w:rsid w:val="77C27899"/>
    <w:rsid w:val="77DD7EE5"/>
    <w:rsid w:val="784B6895"/>
    <w:rsid w:val="78577DA4"/>
    <w:rsid w:val="785B6AF3"/>
    <w:rsid w:val="79583D0D"/>
    <w:rsid w:val="795E6E3E"/>
    <w:rsid w:val="7984120D"/>
    <w:rsid w:val="799040F2"/>
    <w:rsid w:val="79DF43F3"/>
    <w:rsid w:val="79EC0AAC"/>
    <w:rsid w:val="7A067F11"/>
    <w:rsid w:val="7A227A1D"/>
    <w:rsid w:val="7A266805"/>
    <w:rsid w:val="7A5F5873"/>
    <w:rsid w:val="7A9D395E"/>
    <w:rsid w:val="7B101B40"/>
    <w:rsid w:val="7B20123A"/>
    <w:rsid w:val="7B393157"/>
    <w:rsid w:val="7B670810"/>
    <w:rsid w:val="7B845591"/>
    <w:rsid w:val="7B994BEB"/>
    <w:rsid w:val="7BB5399C"/>
    <w:rsid w:val="7BDA3403"/>
    <w:rsid w:val="7C076468"/>
    <w:rsid w:val="7C083E8D"/>
    <w:rsid w:val="7C0B1555"/>
    <w:rsid w:val="7C1710D6"/>
    <w:rsid w:val="7CCF0A8E"/>
    <w:rsid w:val="7D592A4D"/>
    <w:rsid w:val="7D636083"/>
    <w:rsid w:val="7DF34C50"/>
    <w:rsid w:val="7E354AD5"/>
    <w:rsid w:val="7EC361AF"/>
    <w:rsid w:val="7F25708B"/>
    <w:rsid w:val="7FAF2DF8"/>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pPr>
    <w:rPr>
      <w:rFonts w:ascii="Times New Roman" w:hAnsi="Times New Roman" w:eastAsia="宋体" w:cs="Times New Roman"/>
      <w:snapToGrid w:val="0"/>
      <w:sz w:val="24"/>
      <w:szCs w:val="24"/>
      <w:lang w:val="en-US" w:eastAsia="zh-CN" w:bidi="ar-SA"/>
    </w:rPr>
  </w:style>
  <w:style w:type="paragraph" w:styleId="4">
    <w:name w:val="heading 1"/>
    <w:basedOn w:val="1"/>
    <w:next w:val="1"/>
    <w:link w:val="31"/>
    <w:qFormat/>
    <w:uiPriority w:val="99"/>
    <w:pPr>
      <w:keepNext/>
      <w:pageBreakBefore/>
      <w:overflowPunct w:val="0"/>
      <w:snapToGrid w:val="0"/>
      <w:spacing w:before="120" w:after="160" w:line="240" w:lineRule="auto"/>
      <w:ind w:firstLine="0" w:firstLineChars="0"/>
      <w:outlineLvl w:val="0"/>
    </w:pPr>
    <w:rPr>
      <w:rFonts w:eastAsia="黑体"/>
      <w:b/>
      <w:bCs/>
      <w:color w:val="000000"/>
      <w:kern w:val="44"/>
      <w:sz w:val="30"/>
      <w:szCs w:val="30"/>
    </w:rPr>
  </w:style>
  <w:style w:type="paragraph" w:styleId="5">
    <w:name w:val="heading 2"/>
    <w:basedOn w:val="1"/>
    <w:next w:val="1"/>
    <w:unhideWhenUsed/>
    <w:qFormat/>
    <w:uiPriority w:val="0"/>
    <w:pPr>
      <w:keepNext/>
      <w:keepLines/>
      <w:spacing w:before="260" w:after="260" w:line="240" w:lineRule="auto"/>
      <w:ind w:firstLine="0" w:firstLineChars="0"/>
      <w:outlineLvl w:val="1"/>
    </w:pPr>
    <w:rPr>
      <w:rFonts w:ascii="Arial" w:hAnsi="Arial"/>
      <w:b/>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4"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0" w:firstLineChars="0"/>
    </w:pPr>
  </w:style>
  <w:style w:type="paragraph" w:styleId="3">
    <w:name w:val="Body Text Indent"/>
    <w:basedOn w:val="1"/>
    <w:qFormat/>
    <w:uiPriority w:val="0"/>
    <w:pPr>
      <w:spacing w:after="120"/>
      <w:ind w:left="420" w:leftChars="200"/>
    </w:pPr>
  </w:style>
  <w:style w:type="paragraph" w:styleId="8">
    <w:name w:val="annotation text"/>
    <w:basedOn w:val="1"/>
    <w:link w:val="36"/>
    <w:qFormat/>
    <w:uiPriority w:val="0"/>
  </w:style>
  <w:style w:type="paragraph" w:styleId="9">
    <w:name w:val="Body Text"/>
    <w:basedOn w:val="1"/>
    <w:next w:val="10"/>
    <w:qFormat/>
    <w:uiPriority w:val="0"/>
    <w:pPr>
      <w:widowControl/>
      <w:snapToGrid w:val="0"/>
      <w:spacing w:before="60" w:after="160" w:line="259" w:lineRule="auto"/>
      <w:ind w:right="113"/>
    </w:pPr>
    <w:rPr>
      <w:sz w:val="18"/>
      <w:szCs w:val="20"/>
    </w:rPr>
  </w:style>
  <w:style w:type="paragraph" w:styleId="10">
    <w:name w:val="List Bullet 5"/>
    <w:basedOn w:val="1"/>
    <w:qFormat/>
    <w:uiPriority w:val="0"/>
    <w:pPr>
      <w:numPr>
        <w:ilvl w:val="0"/>
        <w:numId w:val="1"/>
      </w:numPr>
    </w:pPr>
  </w:style>
  <w:style w:type="paragraph" w:styleId="11">
    <w:name w:val="footer"/>
    <w:basedOn w:val="1"/>
    <w:qFormat/>
    <w:uiPriority w:val="99"/>
    <w:pPr>
      <w:tabs>
        <w:tab w:val="center" w:pos="4153"/>
        <w:tab w:val="right" w:pos="8306"/>
      </w:tabs>
      <w:snapToGrid w:val="0"/>
    </w:pPr>
    <w:rPr>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index heading"/>
    <w:basedOn w:val="1"/>
    <w:next w:val="14"/>
    <w:unhideWhenUsed/>
    <w:qFormat/>
    <w:uiPriority w:val="0"/>
    <w:pPr>
      <w:widowControl/>
    </w:pPr>
    <w:rPr>
      <w:rFonts w:ascii="Cambria" w:hAnsi="Cambria"/>
      <w:b/>
      <w:bCs/>
      <w:sz w:val="25"/>
      <w:szCs w:val="25"/>
    </w:rPr>
  </w:style>
  <w:style w:type="paragraph" w:styleId="14">
    <w:name w:val="index 1"/>
    <w:basedOn w:val="1"/>
    <w:next w:val="1"/>
    <w:qFormat/>
    <w:uiPriority w:val="0"/>
    <w:pPr>
      <w:spacing w:before="240"/>
      <w:ind w:firstLine="420"/>
    </w:pPr>
    <w:rPr>
      <w:rFonts w:ascii="宋体" w:hAnsi="宋体"/>
    </w:rPr>
  </w:style>
  <w:style w:type="paragraph" w:styleId="15">
    <w:name w:val="List"/>
    <w:basedOn w:val="1"/>
    <w:qFormat/>
    <w:uiPriority w:val="0"/>
    <w:pPr>
      <w:ind w:left="200" w:hanging="200" w:hangingChars="200"/>
      <w:contextualSpacing/>
    </w:pPr>
  </w:style>
  <w:style w:type="paragraph" w:styleId="16">
    <w:name w:val="Normal (Web)"/>
    <w:basedOn w:val="1"/>
    <w:qFormat/>
    <w:uiPriority w:val="0"/>
    <w:pPr>
      <w:widowControl/>
      <w:spacing w:before="100" w:beforeAutospacing="1" w:after="100" w:afterAutospacing="1"/>
    </w:pPr>
    <w:rPr>
      <w:rFonts w:ascii="宋体" w:hAnsi="宋体"/>
      <w:szCs w:val="20"/>
    </w:rPr>
  </w:style>
  <w:style w:type="paragraph" w:styleId="17">
    <w:name w:val="Title"/>
    <w:basedOn w:val="1"/>
    <w:next w:val="1"/>
    <w:qFormat/>
    <w:uiPriority w:val="99"/>
    <w:pPr>
      <w:spacing w:beforeLines="50" w:afterLines="50" w:line="240" w:lineRule="auto"/>
      <w:ind w:firstLine="0" w:firstLineChars="0"/>
      <w:jc w:val="center"/>
    </w:pPr>
    <w:rPr>
      <w:b/>
      <w:bCs/>
      <w:sz w:val="21"/>
      <w:szCs w:val="32"/>
    </w:rPr>
  </w:style>
  <w:style w:type="paragraph" w:styleId="18">
    <w:name w:val="annotation subject"/>
    <w:basedOn w:val="8"/>
    <w:next w:val="8"/>
    <w:link w:val="37"/>
    <w:qFormat/>
    <w:uiPriority w:val="0"/>
    <w:rPr>
      <w:b/>
      <w:bCs/>
    </w:rPr>
  </w:style>
  <w:style w:type="paragraph" w:styleId="19">
    <w:name w:val="Body Text First Indent"/>
    <w:basedOn w:val="9"/>
    <w:next w:val="1"/>
    <w:qFormat/>
    <w:uiPriority w:val="0"/>
    <w:pPr>
      <w:spacing w:after="120" w:line="240" w:lineRule="auto"/>
      <w:ind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annotation reference"/>
    <w:basedOn w:val="22"/>
    <w:qFormat/>
    <w:uiPriority w:val="0"/>
    <w:rPr>
      <w:sz w:val="21"/>
      <w:szCs w:val="21"/>
    </w:rPr>
  </w:style>
  <w:style w:type="paragraph" w:customStyle="1" w:styleId="2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格式"/>
    <w:basedOn w:val="19"/>
    <w:next w:val="27"/>
    <w:qFormat/>
    <w:uiPriority w:val="0"/>
    <w:pPr>
      <w:adjustRightInd w:val="0"/>
      <w:spacing w:line="360" w:lineRule="auto"/>
      <w:ind w:firstLine="560"/>
    </w:pPr>
    <w:rPr>
      <w:color w:val="000000"/>
      <w:lang w:val="zh-CN"/>
    </w:rPr>
  </w:style>
  <w:style w:type="paragraph" w:customStyle="1" w:styleId="27">
    <w:name w:val="_Style 5"/>
    <w:basedOn w:val="1"/>
    <w:qFormat/>
    <w:uiPriority w:val="0"/>
    <w:pPr>
      <w:ind w:firstLine="420"/>
    </w:pPr>
    <w:rPr>
      <w:rFonts w:ascii="Calibri" w:hAnsi="Calibri"/>
      <w:szCs w:val="22"/>
    </w:rPr>
  </w:style>
  <w:style w:type="paragraph" w:customStyle="1" w:styleId="28">
    <w:name w:val="表题"/>
    <w:basedOn w:val="1"/>
    <w:next w:val="1"/>
    <w:qFormat/>
    <w:uiPriority w:val="0"/>
    <w:pPr>
      <w:keepNext/>
      <w:spacing w:before="50" w:beforeLines="50" w:line="240" w:lineRule="auto"/>
      <w:ind w:firstLine="0" w:firstLineChars="0"/>
      <w:jc w:val="center"/>
      <w:textAlignment w:val="center"/>
    </w:pPr>
    <w:rPr>
      <w:rFonts w:ascii="Times New Roman" w:hAnsi="Times New Roman" w:eastAsia="宋体"/>
      <w:b/>
      <w:sz w:val="21"/>
      <w:szCs w:val="22"/>
    </w:rPr>
  </w:style>
  <w:style w:type="paragraph" w:customStyle="1" w:styleId="29">
    <w:name w:val="表格"/>
    <w:basedOn w:val="1"/>
    <w:next w:val="1"/>
    <w:qFormat/>
    <w:uiPriority w:val="0"/>
    <w:pPr>
      <w:adjustRightInd w:val="0"/>
      <w:snapToGrid w:val="0"/>
      <w:spacing w:line="240" w:lineRule="auto"/>
      <w:jc w:val="both"/>
    </w:pPr>
    <w:rPr>
      <w:rFonts w:ascii="宋体" w:hAnsi="宋体"/>
      <w:sz w:val="21"/>
      <w:szCs w:val="20"/>
    </w:rPr>
  </w:style>
  <w:style w:type="paragraph" w:customStyle="1" w:styleId="30">
    <w:name w:val="正文-首行缩进"/>
    <w:basedOn w:val="1"/>
    <w:qFormat/>
    <w:uiPriority w:val="0"/>
    <w:pPr>
      <w:adjustRightInd w:val="0"/>
      <w:snapToGrid w:val="0"/>
      <w:ind w:firstLine="200"/>
    </w:pPr>
  </w:style>
  <w:style w:type="character" w:customStyle="1" w:styleId="31">
    <w:name w:val="标题 1 字符"/>
    <w:link w:val="4"/>
    <w:qFormat/>
    <w:uiPriority w:val="99"/>
    <w:rPr>
      <w:rFonts w:ascii="Times New Roman" w:hAnsi="Times New Roman" w:eastAsia="黑体"/>
      <w:b/>
      <w:bCs/>
      <w:color w:val="000000"/>
      <w:kern w:val="44"/>
      <w:sz w:val="30"/>
      <w:szCs w:val="30"/>
    </w:rPr>
  </w:style>
  <w:style w:type="paragraph" w:customStyle="1" w:styleId="32">
    <w:name w:val="表格文字"/>
    <w:basedOn w:val="1"/>
    <w:qFormat/>
    <w:uiPriority w:val="0"/>
    <w:pPr>
      <w:spacing w:line="240" w:lineRule="auto"/>
      <w:ind w:firstLine="0" w:firstLineChars="0"/>
      <w:jc w:val="center"/>
    </w:pPr>
    <w:rPr>
      <w:sz w:val="21"/>
    </w:rPr>
  </w:style>
  <w:style w:type="paragraph" w:customStyle="1" w:styleId="33">
    <w:name w:val="表头"/>
    <w:basedOn w:val="1"/>
    <w:next w:val="1"/>
    <w:qFormat/>
    <w:uiPriority w:val="0"/>
    <w:pPr>
      <w:adjustRightInd w:val="0"/>
      <w:jc w:val="center"/>
      <w:textAlignment w:val="baseline"/>
    </w:pPr>
    <w:rPr>
      <w:rFonts w:ascii="黑体" w:eastAsia="黑体"/>
      <w:szCs w:val="20"/>
    </w:rPr>
  </w:style>
  <w:style w:type="paragraph" w:styleId="34">
    <w:name w:val="List Paragraph"/>
    <w:basedOn w:val="1"/>
    <w:qFormat/>
    <w:uiPriority w:val="99"/>
    <w:pPr>
      <w:ind w:firstLine="420"/>
    </w:pPr>
  </w:style>
  <w:style w:type="paragraph" w:styleId="35">
    <w:name w:val="No Spacing"/>
    <w:basedOn w:val="15"/>
    <w:next w:val="1"/>
    <w:qFormat/>
    <w:uiPriority w:val="1"/>
    <w:pPr>
      <w:ind w:left="0" w:firstLine="0" w:firstLineChars="0"/>
      <w:jc w:val="center"/>
      <w:textAlignment w:val="center"/>
    </w:pPr>
    <w:rPr>
      <w:szCs w:val="22"/>
    </w:rPr>
  </w:style>
  <w:style w:type="character" w:customStyle="1" w:styleId="36">
    <w:name w:val="批注文字 字符"/>
    <w:basedOn w:val="22"/>
    <w:link w:val="8"/>
    <w:qFormat/>
    <w:uiPriority w:val="0"/>
    <w:rPr>
      <w:snapToGrid w:val="0"/>
      <w:sz w:val="24"/>
      <w:szCs w:val="24"/>
    </w:rPr>
  </w:style>
  <w:style w:type="character" w:customStyle="1" w:styleId="37">
    <w:name w:val="批注主题 字符"/>
    <w:basedOn w:val="36"/>
    <w:link w:val="18"/>
    <w:qFormat/>
    <w:uiPriority w:val="0"/>
    <w:rPr>
      <w:b/>
      <w:bCs/>
      <w:snapToGrid w:val="0"/>
      <w:sz w:val="24"/>
      <w:szCs w:val="24"/>
    </w:rPr>
  </w:style>
  <w:style w:type="paragraph" w:customStyle="1" w:styleId="38">
    <w:name w:val="C2"/>
    <w:basedOn w:val="1"/>
    <w:qFormat/>
    <w:uiPriority w:val="0"/>
    <w:rPr>
      <w:sz w:val="28"/>
      <w:szCs w:val="20"/>
    </w:rPr>
  </w:style>
  <w:style w:type="table" w:customStyle="1" w:styleId="39">
    <w:name w:val="网格型1"/>
    <w:basedOn w:val="2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2"/>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图表名称"/>
    <w:next w:val="1"/>
    <w:qFormat/>
    <w:uiPriority w:val="0"/>
    <w:pPr>
      <w:adjustRightInd w:val="0"/>
      <w:snapToGrid w:val="0"/>
      <w:spacing w:line="360" w:lineRule="auto"/>
      <w:jc w:val="center"/>
    </w:pPr>
    <w:rPr>
      <w:rFonts w:ascii="宋体" w:hAnsi="宋体" w:eastAsia="Times New Roman" w:cs="Times New Roman"/>
      <w:b/>
      <w:bCs/>
      <w:kern w:val="2"/>
      <w:sz w:val="24"/>
      <w:szCs w:val="24"/>
      <w:lang w:val="en-US" w:eastAsia="zh-CN" w:bidi="ar-SA"/>
    </w:rPr>
  </w:style>
  <w:style w:type="paragraph" w:customStyle="1" w:styleId="42">
    <w:name w:val="表中文字"/>
    <w:basedOn w:val="1"/>
    <w:qFormat/>
    <w:uiPriority w:val="0"/>
    <w:pPr>
      <w:autoSpaceDE w:val="0"/>
      <w:autoSpaceDN w:val="0"/>
      <w:spacing w:line="240" w:lineRule="auto"/>
      <w:ind w:firstLine="0" w:firstLineChars="0"/>
      <w:jc w:val="center"/>
      <w:textAlignment w:val="bottom"/>
    </w:pPr>
    <w:rPr>
      <w:bCs/>
      <w:color w:val="000000"/>
      <w:spacing w:val="-11"/>
      <w:sz w:val="21"/>
      <w:szCs w:val="21"/>
    </w:rPr>
  </w:style>
  <w:style w:type="paragraph" w:customStyle="1" w:styleId="43">
    <w:name w:val="文本"/>
    <w:basedOn w:val="1"/>
    <w:qFormat/>
    <w:uiPriority w:val="0"/>
    <w:pPr>
      <w:spacing w:line="360" w:lineRule="auto"/>
      <w:ind w:firstLine="480" w:firstLineChars="200"/>
    </w:pPr>
    <w:rPr>
      <w:rFonts w:hint="eastAsia"/>
      <w:sz w:val="24"/>
    </w:rPr>
  </w:style>
  <w:style w:type="paragraph" w:customStyle="1" w:styleId="44">
    <w:name w:val="图表标题"/>
    <w:basedOn w:val="1"/>
    <w:qFormat/>
    <w:uiPriority w:val="0"/>
    <w:pPr>
      <w:spacing w:line="240" w:lineRule="auto"/>
      <w:ind w:firstLine="0" w:firstLineChars="0"/>
      <w:jc w:val="center"/>
    </w:pPr>
    <w:rPr>
      <w:rFonts w:cstheme="majorBidi"/>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5e5227f8-1006-4825-92a9-d716a5676bc3</errorID>
      <errorWord>2台LNG加气机2台</errorWord>
      <group>L1_Other</group>
      <groupName>其他问题</groupName>
      <ability>L2_Consistency</ability>
      <abilityName>一致性检查</abilityName>
      <candidateList>
        <item>2台LNG加气机</item>
      </candidateList>
      <explain>数字一致性：文本中‘2台LNG加气机2台’存在重复表述，导致数字使用不一致，规范后应为‘2台LNG加气机’</explain>
      <paraID>2A79466D</paraID>
      <start>155</start>
      <end>163</end>
      <status>modified</status>
      <modifiedWord>2台LNG加气机</modifiedWord>
      <trackRevisions>false</trackRevisions>
    </reviewItem>
    <reviewItem>
      <errorID>513d7f60-5165-499b-9656-8fafdbc7f850</errorID>
      <errorWord>建设1座专用400kVA箱变站1座</errorWord>
      <group>L1_Other</group>
      <groupName>其他问题</groupName>
      <ability>L2_Consistency</ability>
      <abilityName>一致性检查</abilityName>
      <candidateList>
        <item>建设1座专用400kVA箱变站</item>
      </candidateList>
      <explain>数字一致性：文本中‘建设1座专用400kVA箱变站1座’存在重复表述，导致数字使用不一致，规范后应为‘建设1座专用400kVA箱变站’</explain>
      <paraID>4C2D259A</paraID>
      <start>13</start>
      <end>28</end>
      <status>modified</status>
      <modifiedWord>建设1座专用400kVA箱变站</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efdab-85e8-474d-b02f-21d5887b7793}">
  <ds:schemaRefs/>
</ds:datastoreItem>
</file>

<file path=docProps/app.xml><?xml version="1.0" encoding="utf-8"?>
<Properties xmlns="http://schemas.openxmlformats.org/officeDocument/2006/extended-properties" xmlns:vt="http://schemas.openxmlformats.org/officeDocument/2006/docPropsVTypes">
  <Template>Normal</Template>
  <Pages>60</Pages>
  <Words>15161</Words>
  <Characters>16395</Characters>
  <Lines>476</Lines>
  <Paragraphs>134</Paragraphs>
  <TotalTime>3</TotalTime>
  <ScaleCrop>false</ScaleCrop>
  <LinksUpToDate>false</LinksUpToDate>
  <CharactersWithSpaces>16480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2023-04-24T08:30:00Z</dcterms:created>
  <dc:creator>Administrator</dc:creator>
  <cp:lastModifiedBy>WPS_1562320662</cp:lastModifiedBy>
  <dcterms:modified xsi:type="dcterms:W3CDTF">2026-04-17T11:09:00Z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022D1A845BC2498185B57F63C232745E_13</vt:lpwstr>
  </property>
  <property fmtid="{D5CDD505-2E9C-101B-9397-08002B2CF9AE}" pid="4" name="KSOTemplateDocerSaveRecord">
    <vt:lpwstr>eyJoZGlkIjoiNGRhODgyNjQ5YTE5ZjFmYjE2NDEwOTU4OTE2MjU0N2MiLCJ1c2VySWQiOiI2MDE2NTE5NzkifQ==</vt:lpwstr>
  </property>
</Properties>
</file>