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43E66">
      <w:pPr>
        <w:adjustRightInd w:val="0"/>
        <w:snapToGrid w:val="0"/>
        <w:jc w:val="both"/>
        <w:outlineLvl w:val="9"/>
        <w:rPr>
          <w:rFonts w:hint="default" w:ascii="方正小标宋_GBK" w:eastAsia="方正小标宋_GBK"/>
          <w:bCs/>
          <w:sz w:val="72"/>
          <w:szCs w:val="72"/>
          <w:lang w:val="en-US" w:eastAsia="zh-CN"/>
        </w:rPr>
      </w:pPr>
    </w:p>
    <w:p w14:paraId="5DAF5DB4">
      <w:pPr>
        <w:adjustRightInd w:val="0"/>
        <w:snapToGrid w:val="0"/>
        <w:jc w:val="both"/>
        <w:outlineLvl w:val="9"/>
        <w:rPr>
          <w:rFonts w:hint="eastAsia" w:ascii="方正小标宋_GBK" w:eastAsia="方正小标宋_GBK"/>
          <w:bCs/>
          <w:sz w:val="72"/>
          <w:szCs w:val="72"/>
        </w:rPr>
      </w:pPr>
    </w:p>
    <w:p w14:paraId="672C093F">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5AB9B295">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5FB995E9">
      <w:pPr>
        <w:adjustRightInd w:val="0"/>
        <w:snapToGrid w:val="0"/>
        <w:spacing w:before="192" w:beforeLines="80"/>
        <w:jc w:val="both"/>
        <w:rPr>
          <w:rFonts w:hint="eastAsia" w:ascii="楷体_GB2312" w:eastAsia="楷体_GB2312"/>
          <w:bCs/>
          <w:sz w:val="48"/>
          <w:szCs w:val="48"/>
          <w:lang w:eastAsia="zh-CN"/>
        </w:rPr>
      </w:pPr>
    </w:p>
    <w:p w14:paraId="084BCB3D">
      <w:pPr>
        <w:bidi w:val="0"/>
      </w:pPr>
    </w:p>
    <w:p w14:paraId="3F17B8D0">
      <w:pPr>
        <w:rPr>
          <w:rFonts w:eastAsia="仿宋"/>
          <w:sz w:val="44"/>
          <w:szCs w:val="44"/>
        </w:rPr>
      </w:pPr>
    </w:p>
    <w:p w14:paraId="2E7CD54B">
      <w:pPr>
        <w:rPr>
          <w:rFonts w:hint="default" w:ascii="Times New Roman" w:hAnsi="Times New Roman" w:eastAsia="仿宋" w:cs="Times New Roman"/>
          <w:sz w:val="44"/>
          <w:szCs w:val="44"/>
        </w:rPr>
      </w:pPr>
    </w:p>
    <w:p w14:paraId="675BD487">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lang w:val="en-US" w:eastAsia="zh-CN"/>
        </w:rPr>
        <w:t>新疆同芃生物科技有限公司400T/D脱酚棉籽浓缩蛋白及精深加工生产线项目(</w:t>
      </w:r>
      <w:r>
        <w:rPr>
          <w:rFonts w:hint="eastAsia" w:eastAsia="仿宋_GB2312" w:cs="Times New Roman"/>
          <w:sz w:val="36"/>
          <w:szCs w:val="36"/>
          <w:u w:val="single"/>
          <w:lang w:val="en-US" w:eastAsia="zh-CN"/>
        </w:rPr>
        <w:t>重大变动</w:t>
      </w:r>
      <w:r>
        <w:rPr>
          <w:rFonts w:hint="default" w:ascii="Times New Roman" w:hAnsi="Times New Roman" w:eastAsia="仿宋_GB2312" w:cs="Times New Roman"/>
          <w:sz w:val="36"/>
          <w:szCs w:val="36"/>
          <w:u w:val="single"/>
          <w:lang w:val="en-US" w:eastAsia="zh-CN"/>
        </w:rPr>
        <w:t>重新报批)</w:t>
      </w:r>
    </w:p>
    <w:p w14:paraId="1BD47D27">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新疆同芃生物科技有限公司</w:t>
      </w:r>
    </w:p>
    <w:p w14:paraId="5729D2C0">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eastAsia" w:ascii="楷体_GB2312" w:eastAsia="楷体_GB2312"/>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lang w:val="en-US" w:eastAsia="zh-CN"/>
        </w:rPr>
        <w:t>202</w:t>
      </w:r>
      <w:r>
        <w:rPr>
          <w:rFonts w:hint="eastAsia" w:eastAsia="仿宋_GB2312" w:cs="Times New Roman"/>
          <w:sz w:val="36"/>
          <w:szCs w:val="36"/>
          <w:u w:val="single"/>
          <w:lang w:val="en-US" w:eastAsia="zh-CN"/>
        </w:rPr>
        <w:t>6</w:t>
      </w:r>
      <w:r>
        <w:rPr>
          <w:rFonts w:hint="default" w:ascii="Times New Roman" w:hAnsi="Times New Roman" w:eastAsia="仿宋_GB2312" w:cs="Times New Roman"/>
          <w:sz w:val="36"/>
          <w:szCs w:val="36"/>
          <w:u w:val="single"/>
          <w:lang w:val="en-US" w:eastAsia="zh-CN"/>
        </w:rPr>
        <w:t>年</w:t>
      </w:r>
      <w:r>
        <w:rPr>
          <w:rFonts w:hint="eastAsia" w:eastAsia="仿宋_GB2312" w:cs="Times New Roman"/>
          <w:sz w:val="36"/>
          <w:szCs w:val="36"/>
          <w:u w:val="single"/>
          <w:lang w:val="en-US" w:eastAsia="zh-CN"/>
        </w:rPr>
        <w:t>4</w:t>
      </w:r>
      <w:r>
        <w:rPr>
          <w:rFonts w:hint="default" w:ascii="Times New Roman" w:hAnsi="Times New Roman" w:eastAsia="仿宋_GB2312" w:cs="Times New Roman"/>
          <w:sz w:val="36"/>
          <w:szCs w:val="36"/>
          <w:u w:val="single"/>
          <w:lang w:val="en-US" w:eastAsia="zh-CN"/>
        </w:rPr>
        <w:t>月</w:t>
      </w:r>
    </w:p>
    <w:p w14:paraId="45A16F2A">
      <w:pPr>
        <w:jc w:val="both"/>
        <w:rPr>
          <w:rFonts w:hint="eastAsia" w:ascii="楷体_GB2312" w:eastAsia="楷体_GB2312"/>
          <w:sz w:val="36"/>
          <w:szCs w:val="36"/>
        </w:rPr>
      </w:pPr>
    </w:p>
    <w:p w14:paraId="2750887E">
      <w:pPr>
        <w:jc w:val="both"/>
        <w:rPr>
          <w:rFonts w:hint="default" w:ascii="楷体_GB2312" w:eastAsia="楷体_GB2312"/>
          <w:sz w:val="36"/>
          <w:szCs w:val="36"/>
          <w:lang w:val="en-US" w:eastAsia="zh-CN"/>
        </w:rPr>
      </w:pPr>
    </w:p>
    <w:p w14:paraId="4726FF51">
      <w:pPr>
        <w:jc w:val="both"/>
        <w:rPr>
          <w:rFonts w:hint="eastAsia" w:ascii="楷体_GB2312" w:eastAsia="楷体_GB2312"/>
          <w:sz w:val="36"/>
          <w:szCs w:val="36"/>
        </w:rPr>
      </w:pPr>
    </w:p>
    <w:p w14:paraId="5F9E51DA">
      <w:pPr>
        <w:rPr>
          <w:rFonts w:hint="eastAsia"/>
        </w:rPr>
      </w:pPr>
    </w:p>
    <w:p w14:paraId="4CA0BE92">
      <w:pPr>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6D6529E0">
      <w:pPr>
        <w:pStyle w:val="19"/>
        <w:jc w:val="center"/>
        <w:outlineLvl w:val="0"/>
        <w:rPr>
          <w:rFonts w:hint="eastAsia" w:ascii="黑体" w:hAnsi="黑体" w:eastAsia="黑体"/>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8F9E2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1"/>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915"/>
        <w:gridCol w:w="1943"/>
        <w:gridCol w:w="1826"/>
        <w:gridCol w:w="3186"/>
      </w:tblGrid>
      <w:tr w14:paraId="3FD94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5" w:type="dxa"/>
            <w:tcBorders>
              <w:tl2br w:val="nil"/>
              <w:tr2bl w:val="nil"/>
            </w:tcBorders>
            <w:noWrap w:val="0"/>
            <w:tcMar>
              <w:top w:w="16" w:type="dxa"/>
              <w:left w:w="16" w:type="dxa"/>
              <w:right w:w="16" w:type="dxa"/>
            </w:tcMar>
            <w:vAlign w:val="center"/>
          </w:tcPr>
          <w:p w14:paraId="20F1F668">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建设项目名称</w:t>
            </w:r>
          </w:p>
        </w:tc>
        <w:tc>
          <w:tcPr>
            <w:tcW w:w="6955" w:type="dxa"/>
            <w:gridSpan w:val="3"/>
            <w:tcBorders>
              <w:tl2br w:val="nil"/>
              <w:tr2bl w:val="nil"/>
            </w:tcBorders>
            <w:noWrap w:val="0"/>
            <w:vAlign w:val="center"/>
          </w:tcPr>
          <w:p w14:paraId="67D411B1">
            <w:pPr>
              <w:adjustRightInd w:val="0"/>
              <w:snapToGrid w:val="0"/>
              <w:jc w:val="center"/>
              <w:rPr>
                <w:rFonts w:ascii="宋体" w:hAnsi="宋体" w:cs="宋体"/>
                <w:sz w:val="24"/>
                <w:szCs w:val="24"/>
              </w:rPr>
            </w:pPr>
            <w:r>
              <w:rPr>
                <w:rFonts w:hint="default" w:ascii="Times New Roman" w:hAnsi="Times New Roman" w:cs="Times New Roman"/>
                <w:sz w:val="24"/>
                <w:szCs w:val="24"/>
                <w:lang w:val="en-US" w:eastAsia="zh-CN"/>
              </w:rPr>
              <w:t>新疆同芃生物科技有限公司400T/D脱酚棉籽浓缩蛋白及精深加工生产线项目(</w:t>
            </w:r>
            <w:r>
              <w:rPr>
                <w:rFonts w:hint="eastAsia" w:cs="Times New Roman"/>
                <w:sz w:val="24"/>
                <w:szCs w:val="24"/>
                <w:lang w:val="en-US" w:eastAsia="zh-CN"/>
              </w:rPr>
              <w:t>重大变动</w:t>
            </w:r>
            <w:r>
              <w:rPr>
                <w:rFonts w:hint="default" w:ascii="Times New Roman" w:hAnsi="Times New Roman" w:cs="Times New Roman"/>
                <w:sz w:val="24"/>
                <w:szCs w:val="24"/>
                <w:lang w:val="en-US" w:eastAsia="zh-CN"/>
              </w:rPr>
              <w:t>重新报批)</w:t>
            </w:r>
          </w:p>
        </w:tc>
      </w:tr>
      <w:tr w14:paraId="438A6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5" w:type="dxa"/>
            <w:tcBorders>
              <w:tl2br w:val="nil"/>
              <w:tr2bl w:val="nil"/>
            </w:tcBorders>
            <w:noWrap w:val="0"/>
            <w:tcMar>
              <w:top w:w="16" w:type="dxa"/>
              <w:left w:w="16" w:type="dxa"/>
              <w:right w:w="16" w:type="dxa"/>
            </w:tcMar>
            <w:vAlign w:val="center"/>
          </w:tcPr>
          <w:p w14:paraId="208A2EDE">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项目代码</w:t>
            </w:r>
          </w:p>
        </w:tc>
        <w:tc>
          <w:tcPr>
            <w:tcW w:w="6955" w:type="dxa"/>
            <w:gridSpan w:val="3"/>
            <w:tcBorders>
              <w:tl2br w:val="nil"/>
              <w:tr2bl w:val="nil"/>
            </w:tcBorders>
            <w:noWrap w:val="0"/>
            <w:vAlign w:val="center"/>
          </w:tcPr>
          <w:p w14:paraId="75926E88">
            <w:pPr>
              <w:adjustRightInd w:val="0"/>
              <w:snapToGrid w:val="0"/>
              <w:jc w:val="center"/>
              <w:rPr>
                <w:rFonts w:hint="default" w:ascii="宋体" w:hAnsi="宋体" w:eastAsia="宋体" w:cs="宋体"/>
                <w:sz w:val="24"/>
                <w:szCs w:val="24"/>
                <w:lang w:val="en-US" w:eastAsia="zh-CN"/>
              </w:rPr>
            </w:pPr>
          </w:p>
        </w:tc>
      </w:tr>
      <w:tr w14:paraId="7E823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915" w:type="dxa"/>
            <w:tcBorders>
              <w:tl2br w:val="nil"/>
              <w:tr2bl w:val="nil"/>
            </w:tcBorders>
            <w:noWrap w:val="0"/>
            <w:tcMar>
              <w:top w:w="16" w:type="dxa"/>
              <w:left w:w="16" w:type="dxa"/>
              <w:right w:w="16" w:type="dxa"/>
            </w:tcMar>
            <w:vAlign w:val="center"/>
          </w:tcPr>
          <w:p w14:paraId="15278CF5">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建设单位联系人</w:t>
            </w:r>
          </w:p>
        </w:tc>
        <w:tc>
          <w:tcPr>
            <w:tcW w:w="1943" w:type="dxa"/>
            <w:tcBorders>
              <w:tl2br w:val="nil"/>
              <w:tr2bl w:val="nil"/>
            </w:tcBorders>
            <w:noWrap w:val="0"/>
            <w:vAlign w:val="center"/>
          </w:tcPr>
          <w:p w14:paraId="6186150E">
            <w:pPr>
              <w:adjustRightInd w:val="0"/>
              <w:snapToGrid w:val="0"/>
              <w:jc w:val="center"/>
              <w:rPr>
                <w:rFonts w:hint="default" w:ascii="宋体" w:hAnsi="宋体" w:cs="宋体"/>
                <w:sz w:val="24"/>
                <w:szCs w:val="24"/>
                <w:lang w:val="en-US"/>
              </w:rPr>
            </w:pPr>
          </w:p>
        </w:tc>
        <w:tc>
          <w:tcPr>
            <w:tcW w:w="1826" w:type="dxa"/>
            <w:tcBorders>
              <w:tl2br w:val="nil"/>
              <w:tr2bl w:val="nil"/>
            </w:tcBorders>
            <w:noWrap w:val="0"/>
            <w:vAlign w:val="center"/>
          </w:tcPr>
          <w:p w14:paraId="5B57B603">
            <w:pPr>
              <w:adjustRightInd w:val="0"/>
              <w:snapToGrid w:val="0"/>
              <w:jc w:val="center"/>
              <w:rPr>
                <w:rFonts w:ascii="宋体" w:hAnsi="宋体" w:cs="宋体"/>
                <w:sz w:val="24"/>
                <w:szCs w:val="24"/>
              </w:rPr>
            </w:pPr>
          </w:p>
        </w:tc>
        <w:tc>
          <w:tcPr>
            <w:tcW w:w="3186" w:type="dxa"/>
            <w:tcBorders>
              <w:tl2br w:val="nil"/>
              <w:tr2bl w:val="nil"/>
            </w:tcBorders>
            <w:noWrap w:val="0"/>
            <w:vAlign w:val="center"/>
          </w:tcPr>
          <w:p w14:paraId="0CF32A4F">
            <w:pPr>
              <w:adjustRightInd w:val="0"/>
              <w:snapToGrid w:val="0"/>
              <w:jc w:val="center"/>
              <w:rPr>
                <w:rFonts w:hint="default" w:ascii="宋体" w:hAnsi="宋体" w:cs="宋体"/>
                <w:sz w:val="24"/>
                <w:szCs w:val="24"/>
                <w:lang w:val="en-US"/>
              </w:rPr>
            </w:pPr>
          </w:p>
        </w:tc>
      </w:tr>
      <w:tr w14:paraId="3C883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15" w:type="dxa"/>
            <w:tcBorders>
              <w:tl2br w:val="nil"/>
              <w:tr2bl w:val="nil"/>
            </w:tcBorders>
            <w:noWrap w:val="0"/>
            <w:tcMar>
              <w:top w:w="16" w:type="dxa"/>
              <w:left w:w="16" w:type="dxa"/>
              <w:right w:w="16" w:type="dxa"/>
            </w:tcMar>
            <w:vAlign w:val="center"/>
          </w:tcPr>
          <w:p w14:paraId="7E78F2CF">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建设地点</w:t>
            </w:r>
          </w:p>
        </w:tc>
        <w:tc>
          <w:tcPr>
            <w:tcW w:w="6955" w:type="dxa"/>
            <w:gridSpan w:val="3"/>
            <w:tcBorders>
              <w:tl2br w:val="nil"/>
              <w:tr2bl w:val="nil"/>
            </w:tcBorders>
            <w:noWrap w:val="0"/>
            <w:vAlign w:val="center"/>
          </w:tcPr>
          <w:p w14:paraId="44D9F42E">
            <w:pPr>
              <w:pStyle w:val="8"/>
              <w:jc w:val="center"/>
              <w:rPr>
                <w:rFonts w:ascii="宋体" w:hAnsi="宋体" w:cs="宋体"/>
                <w:sz w:val="24"/>
                <w:szCs w:val="24"/>
              </w:rPr>
            </w:pPr>
          </w:p>
        </w:tc>
      </w:tr>
      <w:tr w14:paraId="43DBB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5" w:type="dxa"/>
            <w:tcBorders>
              <w:tl2br w:val="nil"/>
              <w:tr2bl w:val="nil"/>
            </w:tcBorders>
            <w:noWrap w:val="0"/>
            <w:tcMar>
              <w:top w:w="16" w:type="dxa"/>
              <w:left w:w="16" w:type="dxa"/>
              <w:right w:w="16" w:type="dxa"/>
            </w:tcMar>
            <w:vAlign w:val="center"/>
          </w:tcPr>
          <w:p w14:paraId="535127CA">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地理坐标</w:t>
            </w:r>
          </w:p>
        </w:tc>
        <w:tc>
          <w:tcPr>
            <w:tcW w:w="6955" w:type="dxa"/>
            <w:gridSpan w:val="3"/>
            <w:tcBorders>
              <w:tl2br w:val="nil"/>
              <w:tr2bl w:val="nil"/>
            </w:tcBorders>
            <w:noWrap w:val="0"/>
            <w:vAlign w:val="center"/>
          </w:tcPr>
          <w:p w14:paraId="4A70DD37">
            <w:pPr>
              <w:jc w:val="center"/>
              <w:rPr>
                <w:rFonts w:hint="eastAsia" w:ascii="宋体" w:hAnsi="宋体" w:cs="宋体"/>
                <w:sz w:val="24"/>
                <w:szCs w:val="24"/>
              </w:rPr>
            </w:pPr>
          </w:p>
        </w:tc>
      </w:tr>
      <w:tr w14:paraId="4B108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15" w:type="dxa"/>
            <w:tcBorders>
              <w:tl2br w:val="nil"/>
              <w:tr2bl w:val="nil"/>
            </w:tcBorders>
            <w:noWrap w:val="0"/>
            <w:tcMar>
              <w:top w:w="16" w:type="dxa"/>
              <w:left w:w="16" w:type="dxa"/>
              <w:right w:w="16" w:type="dxa"/>
            </w:tcMar>
            <w:vAlign w:val="center"/>
          </w:tcPr>
          <w:p w14:paraId="54FDD075">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国民经济</w:t>
            </w:r>
          </w:p>
          <w:p w14:paraId="007D5B7E">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行业类别</w:t>
            </w:r>
          </w:p>
        </w:tc>
        <w:tc>
          <w:tcPr>
            <w:tcW w:w="1943" w:type="dxa"/>
            <w:tcBorders>
              <w:tl2br w:val="nil"/>
              <w:tr2bl w:val="nil"/>
            </w:tcBorders>
            <w:noWrap w:val="0"/>
            <w:vAlign w:val="center"/>
          </w:tcPr>
          <w:p w14:paraId="59A552E5">
            <w:pPr>
              <w:adjustRightInd w:val="0"/>
              <w:snapToGrid w:val="0"/>
              <w:jc w:val="center"/>
              <w:rPr>
                <w:rFonts w:hint="default" w:ascii="宋体" w:hAnsi="宋体" w:cs="宋体"/>
                <w:sz w:val="24"/>
                <w:szCs w:val="24"/>
                <w:lang w:val="en-US"/>
              </w:rPr>
            </w:pPr>
            <w:r>
              <w:rPr>
                <w:rFonts w:hint="default" w:ascii="Times New Roman" w:hAnsi="Times New Roman" w:cs="Times New Roman"/>
                <w:sz w:val="24"/>
                <w:szCs w:val="24"/>
                <w:lang w:val="en-US" w:eastAsia="zh-CN"/>
              </w:rPr>
              <w:t>C1331食用植物油加工</w:t>
            </w:r>
            <w:r>
              <w:rPr>
                <w:rFonts w:hint="eastAsia" w:cs="Times New Roman"/>
                <w:sz w:val="24"/>
                <w:szCs w:val="24"/>
                <w:lang w:val="en-US" w:eastAsia="zh-CN"/>
              </w:rPr>
              <w:t>、C1339其他未列明的食品加工、D4430 热力生产和供应、D4620 污水处理及其再利用</w:t>
            </w:r>
          </w:p>
        </w:tc>
        <w:tc>
          <w:tcPr>
            <w:tcW w:w="1826" w:type="dxa"/>
            <w:tcBorders>
              <w:tl2br w:val="nil"/>
              <w:tr2bl w:val="nil"/>
            </w:tcBorders>
            <w:noWrap w:val="0"/>
            <w:vAlign w:val="center"/>
          </w:tcPr>
          <w:p w14:paraId="03089F13">
            <w:pPr>
              <w:adjustRightInd w:val="0"/>
              <w:snapToGrid w:val="0"/>
              <w:jc w:val="center"/>
              <w:rPr>
                <w:rFonts w:ascii="宋体" w:hAnsi="宋体" w:cs="宋体"/>
                <w:b w:val="0"/>
                <w:bCs w:val="0"/>
                <w:sz w:val="24"/>
                <w:szCs w:val="24"/>
              </w:rPr>
            </w:pPr>
            <w:bookmarkStart w:id="0" w:name="_Hlk49843745"/>
            <w:r>
              <w:rPr>
                <w:rFonts w:hint="eastAsia" w:ascii="宋体" w:hAnsi="宋体" w:cs="宋体"/>
                <w:b w:val="0"/>
                <w:bCs w:val="0"/>
                <w:sz w:val="24"/>
                <w:szCs w:val="24"/>
              </w:rPr>
              <w:t>建设项目</w:t>
            </w:r>
          </w:p>
          <w:p w14:paraId="6526E512">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行业类别</w:t>
            </w:r>
            <w:bookmarkEnd w:id="0"/>
          </w:p>
        </w:tc>
        <w:tc>
          <w:tcPr>
            <w:tcW w:w="3186" w:type="dxa"/>
            <w:tcBorders>
              <w:tl2br w:val="nil"/>
              <w:tr2bl w:val="nil"/>
            </w:tcBorders>
            <w:noWrap w:val="0"/>
            <w:vAlign w:val="center"/>
          </w:tcPr>
          <w:p w14:paraId="0B537035">
            <w:pPr>
              <w:numPr>
                <w:ilvl w:val="0"/>
                <w:numId w:val="0"/>
              </w:numPr>
              <w:adjustRightInd w:val="0"/>
              <w:snapToGrid w:val="0"/>
              <w:rPr>
                <w:rFonts w:hint="default" w:ascii="Times New Roman" w:hAnsi="Times New Roman" w:cs="Times New Roman"/>
                <w:sz w:val="24"/>
                <w:szCs w:val="24"/>
                <w:lang w:val="en-US" w:eastAsia="zh-CN"/>
              </w:rPr>
            </w:pPr>
            <w:r>
              <w:rPr>
                <w:rFonts w:hint="eastAsia" w:ascii="Times New Roman" w:hAnsi="Times New Roman" w:eastAsia="宋体" w:cs="Times New Roman"/>
                <w:kern w:val="2"/>
                <w:sz w:val="24"/>
                <w:szCs w:val="24"/>
                <w:lang w:val="en-US" w:eastAsia="zh-CN" w:bidi="ar-SA"/>
              </w:rPr>
              <w:t>十、</w:t>
            </w:r>
            <w:r>
              <w:rPr>
                <w:rFonts w:hint="default" w:ascii="Times New Roman" w:hAnsi="Times New Roman" w:cs="Times New Roman"/>
                <w:sz w:val="24"/>
                <w:szCs w:val="24"/>
                <w:lang w:val="en-US" w:eastAsia="zh-CN"/>
              </w:rPr>
              <w:t>16</w:t>
            </w:r>
            <w:r>
              <w:rPr>
                <w:rFonts w:hint="eastAsia" w:cs="Times New Roman"/>
                <w:kern w:val="2"/>
                <w:sz w:val="24"/>
                <w:szCs w:val="24"/>
                <w:lang w:val="en-US" w:eastAsia="zh-CN" w:bidi="ar-SA"/>
              </w:rPr>
              <w:t>“</w:t>
            </w:r>
            <w:r>
              <w:rPr>
                <w:rFonts w:hint="default" w:ascii="Times New Roman" w:hAnsi="Times New Roman" w:cs="Times New Roman"/>
                <w:sz w:val="24"/>
                <w:szCs w:val="24"/>
                <w:lang w:val="en-US" w:eastAsia="zh-CN"/>
              </w:rPr>
              <w:t>农副食品加工业</w:t>
            </w:r>
            <w:r>
              <w:rPr>
                <w:rFonts w:hint="eastAsia" w:cs="Times New Roman"/>
                <w:kern w:val="2"/>
                <w:sz w:val="24"/>
                <w:szCs w:val="24"/>
                <w:lang w:val="en-US" w:eastAsia="zh-CN" w:bidi="ar-SA"/>
              </w:rPr>
              <w:t>”</w:t>
            </w:r>
            <w:r>
              <w:rPr>
                <w:rFonts w:hint="default" w:ascii="Times New Roman" w:hAnsi="Times New Roman" w:cs="Times New Roman"/>
                <w:sz w:val="24"/>
                <w:szCs w:val="24"/>
                <w:lang w:val="en-US" w:eastAsia="zh-CN"/>
              </w:rPr>
              <w:t>类，“植物油加工”中“除单纯分装和调和外的”</w:t>
            </w:r>
          </w:p>
          <w:p w14:paraId="1A239E80">
            <w:pPr>
              <w:pStyle w:val="26"/>
              <w:numPr>
                <w:ilvl w:val="0"/>
                <w:numId w:val="0"/>
              </w:num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十、</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其他食品制造</w:t>
            </w:r>
            <w:r>
              <w:rPr>
                <w:rFonts w:hint="eastAsia" w:ascii="Times New Roman" w:hAnsi="Times New Roman" w:eastAsia="宋体" w:cs="Times New Roman"/>
                <w:sz w:val="24"/>
                <w:szCs w:val="24"/>
                <w:lang w:val="en-US" w:eastAsia="zh-CN"/>
              </w:rPr>
              <w:t>类”</w:t>
            </w:r>
            <w:r>
              <w:rPr>
                <w:rFonts w:hint="default" w:ascii="Times New Roman" w:hAnsi="Times New Roman" w:eastAsia="宋体" w:cs="Times New Roman"/>
                <w:sz w:val="24"/>
                <w:szCs w:val="24"/>
                <w:lang w:val="en-US" w:eastAsia="zh-CN"/>
              </w:rPr>
              <w:t>，中“其他未列明的食品制造”</w:t>
            </w:r>
          </w:p>
          <w:p w14:paraId="10C50856">
            <w:pPr>
              <w:numPr>
                <w:ilvl w:val="0"/>
                <w:numId w:val="0"/>
              </w:numPr>
              <w:adjustRightInd w:val="0"/>
              <w:snapToGrid w:val="0"/>
              <w:rPr>
                <w:rFonts w:hint="default"/>
                <w:sz w:val="24"/>
                <w:szCs w:val="24"/>
                <w:lang w:val="en-US" w:eastAsia="zh-CN"/>
              </w:rPr>
            </w:pPr>
            <w:r>
              <w:rPr>
                <w:rFonts w:hint="default"/>
                <w:sz w:val="24"/>
                <w:szCs w:val="24"/>
                <w:lang w:val="en-US" w:eastAsia="zh-CN"/>
              </w:rPr>
              <w:t>四十一 91热力生产和供应工程（包括建设单位自建自用的供</w:t>
            </w:r>
            <w:r>
              <w:rPr>
                <w:rFonts w:hint="default" w:ascii="Times New Roman" w:hAnsi="Times New Roman" w:eastAsia="宋体" w:cs="Times New Roman"/>
                <w:sz w:val="24"/>
                <w:szCs w:val="24"/>
                <w:lang w:val="en-US" w:eastAsia="zh-CN"/>
              </w:rPr>
              <w:t>热工程）</w:t>
            </w:r>
          </w:p>
        </w:tc>
      </w:tr>
      <w:tr w14:paraId="06FF0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15" w:type="dxa"/>
            <w:tcBorders>
              <w:tl2br w:val="nil"/>
              <w:tr2bl w:val="nil"/>
            </w:tcBorders>
            <w:noWrap w:val="0"/>
            <w:tcMar>
              <w:top w:w="16" w:type="dxa"/>
              <w:left w:w="16" w:type="dxa"/>
              <w:right w:w="16" w:type="dxa"/>
            </w:tcMar>
            <w:vAlign w:val="center"/>
          </w:tcPr>
          <w:p w14:paraId="5E193EFA">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建设性质</w:t>
            </w:r>
          </w:p>
        </w:tc>
        <w:tc>
          <w:tcPr>
            <w:tcW w:w="1943" w:type="dxa"/>
            <w:tcBorders>
              <w:tl2br w:val="nil"/>
              <w:tr2bl w:val="nil"/>
            </w:tcBorders>
            <w:noWrap w:val="0"/>
            <w:vAlign w:val="center"/>
          </w:tcPr>
          <w:p w14:paraId="49959436">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新建（迁建）</w:t>
            </w:r>
          </w:p>
          <w:p w14:paraId="2699B24B">
            <w:pPr>
              <w:jc w:val="left"/>
              <w:rPr>
                <w:rFonts w:hint="eastAsia" w:ascii="宋体" w:hAnsi="宋体" w:cs="宋体"/>
                <w:sz w:val="24"/>
                <w:szCs w:val="24"/>
              </w:rPr>
            </w:pPr>
            <w:r>
              <w:rPr>
                <w:rFonts w:hint="eastAsia" w:ascii="宋体" w:hAnsi="宋体" w:cs="宋体"/>
                <w:sz w:val="24"/>
                <w:szCs w:val="24"/>
              </w:rPr>
              <w:t>□改建</w:t>
            </w:r>
          </w:p>
          <w:p w14:paraId="026EBC9D">
            <w:pPr>
              <w:jc w:val="left"/>
              <w:rPr>
                <w:rFonts w:hint="eastAsia" w:ascii="宋体" w:hAnsi="宋体" w:cs="宋体"/>
                <w:sz w:val="24"/>
                <w:szCs w:val="24"/>
              </w:rPr>
            </w:pPr>
            <w:r>
              <w:rPr>
                <w:rFonts w:hint="eastAsia" w:ascii="宋体" w:hAnsi="宋体" w:cs="宋体"/>
                <w:sz w:val="24"/>
                <w:szCs w:val="24"/>
              </w:rPr>
              <w:t>□扩建</w:t>
            </w:r>
          </w:p>
          <w:p w14:paraId="7AC36FE5">
            <w:pPr>
              <w:jc w:val="left"/>
              <w:rPr>
                <w:rFonts w:ascii="宋体" w:hAnsi="宋体" w:cs="宋体"/>
                <w:szCs w:val="21"/>
              </w:rPr>
            </w:pPr>
            <w:r>
              <w:rPr>
                <w:rFonts w:hint="eastAsia" w:ascii="宋体" w:hAnsi="宋体" w:cs="宋体"/>
                <w:sz w:val="24"/>
                <w:szCs w:val="24"/>
              </w:rPr>
              <w:t>□技术改造</w:t>
            </w:r>
          </w:p>
        </w:tc>
        <w:tc>
          <w:tcPr>
            <w:tcW w:w="1826" w:type="dxa"/>
            <w:tcBorders>
              <w:tl2br w:val="nil"/>
              <w:tr2bl w:val="nil"/>
            </w:tcBorders>
            <w:noWrap w:val="0"/>
            <w:vAlign w:val="center"/>
          </w:tcPr>
          <w:p w14:paraId="35BAFB5F">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建设项目</w:t>
            </w:r>
          </w:p>
          <w:p w14:paraId="4C4EED9C">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申报情形</w:t>
            </w:r>
          </w:p>
        </w:tc>
        <w:tc>
          <w:tcPr>
            <w:tcW w:w="3186" w:type="dxa"/>
            <w:tcBorders>
              <w:tl2br w:val="nil"/>
              <w:tr2bl w:val="nil"/>
            </w:tcBorders>
            <w:noWrap w:val="0"/>
            <w:vAlign w:val="center"/>
          </w:tcPr>
          <w:p w14:paraId="203F0A19">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首次申报项目</w:t>
            </w:r>
          </w:p>
          <w:p w14:paraId="109AD1B3">
            <w:pPr>
              <w:jc w:val="left"/>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不予批准后再次申报项目</w:t>
            </w:r>
          </w:p>
          <w:p w14:paraId="1D97A378">
            <w:pPr>
              <w:jc w:val="left"/>
              <w:rPr>
                <w:rFonts w:ascii="宋体" w:hAnsi="宋体" w:cs="宋体"/>
                <w:sz w:val="24"/>
                <w:szCs w:val="24"/>
              </w:rPr>
            </w:pPr>
            <w:r>
              <w:rPr>
                <w:rFonts w:hint="eastAsia" w:ascii="宋体" w:hAnsi="宋体" w:cs="宋体"/>
                <w:sz w:val="24"/>
                <w:szCs w:val="24"/>
              </w:rPr>
              <w:t>□超五年重新审核项目</w:t>
            </w:r>
          </w:p>
          <w:p w14:paraId="2BDCD315">
            <w:pPr>
              <w:jc w:val="left"/>
              <w:rPr>
                <w:rFonts w:ascii="宋体" w:hAnsi="宋体" w:cs="宋体"/>
                <w:szCs w:val="21"/>
              </w:rPr>
            </w:pPr>
            <w:r>
              <w:rPr>
                <w:rFonts w:hint="eastAsia" w:ascii="宋体" w:hAnsi="宋体" w:cs="宋体"/>
                <w:sz w:val="24"/>
                <w:szCs w:val="24"/>
                <w:lang w:eastAsia="zh-CN"/>
              </w:rPr>
              <w:t>☑</w:t>
            </w:r>
            <w:r>
              <w:rPr>
                <w:rFonts w:hint="eastAsia" w:ascii="宋体" w:hAnsi="宋体" w:cs="宋体"/>
                <w:sz w:val="24"/>
                <w:szCs w:val="24"/>
              </w:rPr>
              <w:t>重大变动重新报批项目</w:t>
            </w:r>
          </w:p>
        </w:tc>
      </w:tr>
      <w:tr w14:paraId="3756D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915" w:type="dxa"/>
            <w:tcBorders>
              <w:tl2br w:val="nil"/>
              <w:tr2bl w:val="nil"/>
            </w:tcBorders>
            <w:noWrap w:val="0"/>
            <w:tcMar>
              <w:top w:w="16" w:type="dxa"/>
              <w:left w:w="16" w:type="dxa"/>
              <w:right w:w="16" w:type="dxa"/>
            </w:tcMar>
            <w:vAlign w:val="center"/>
          </w:tcPr>
          <w:p w14:paraId="4FDE8C62">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项目审批（核准</w:t>
            </w:r>
            <w:r>
              <w:rPr>
                <w:rFonts w:ascii="宋体" w:hAnsi="宋体" w:cs="宋体"/>
                <w:b w:val="0"/>
                <w:bCs w:val="0"/>
                <w:sz w:val="24"/>
                <w:szCs w:val="24"/>
              </w:rPr>
              <w:t>/</w:t>
            </w:r>
          </w:p>
          <w:p w14:paraId="71F47585">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备案）部门（选填）</w:t>
            </w:r>
          </w:p>
        </w:tc>
        <w:tc>
          <w:tcPr>
            <w:tcW w:w="1943" w:type="dxa"/>
            <w:tcBorders>
              <w:tl2br w:val="nil"/>
              <w:tr2bl w:val="nil"/>
            </w:tcBorders>
            <w:noWrap w:val="0"/>
            <w:vAlign w:val="center"/>
          </w:tcPr>
          <w:p w14:paraId="3A622D31">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c>
          <w:tcPr>
            <w:tcW w:w="1826" w:type="dxa"/>
            <w:tcBorders>
              <w:tl2br w:val="nil"/>
              <w:tr2bl w:val="nil"/>
            </w:tcBorders>
            <w:noWrap w:val="0"/>
            <w:vAlign w:val="center"/>
          </w:tcPr>
          <w:p w14:paraId="2B2841BA">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项目审批（核准</w:t>
            </w:r>
            <w:r>
              <w:rPr>
                <w:rFonts w:ascii="宋体" w:hAnsi="宋体" w:cs="宋体"/>
                <w:b w:val="0"/>
                <w:bCs w:val="0"/>
                <w:sz w:val="24"/>
                <w:szCs w:val="24"/>
              </w:rPr>
              <w:t>/</w:t>
            </w:r>
          </w:p>
          <w:p w14:paraId="0F0E6069">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备案）文号（选填）</w:t>
            </w:r>
          </w:p>
        </w:tc>
        <w:tc>
          <w:tcPr>
            <w:tcW w:w="3186" w:type="dxa"/>
            <w:tcBorders>
              <w:tl2br w:val="nil"/>
              <w:tr2bl w:val="nil"/>
            </w:tcBorders>
            <w:noWrap w:val="0"/>
            <w:vAlign w:val="center"/>
          </w:tcPr>
          <w:p w14:paraId="6C006138">
            <w:pPr>
              <w:adjustRightInd w:val="0"/>
              <w:snapToGrid w:val="0"/>
              <w:jc w:val="center"/>
              <w:rPr>
                <w:rFonts w:hint="eastAsia" w:ascii="宋体" w:hAnsi="宋体" w:eastAsia="宋体" w:cs="宋体"/>
                <w:sz w:val="24"/>
                <w:szCs w:val="24"/>
                <w:lang w:val="en-US" w:eastAsia="zh-CN"/>
              </w:rPr>
            </w:pPr>
            <w:r>
              <w:rPr>
                <w:rFonts w:hint="eastAsia"/>
                <w:sz w:val="24"/>
                <w:szCs w:val="24"/>
                <w:lang w:val="en-US" w:eastAsia="zh-CN"/>
              </w:rPr>
              <w:t>/</w:t>
            </w:r>
          </w:p>
        </w:tc>
      </w:tr>
      <w:tr w14:paraId="6993C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915" w:type="dxa"/>
            <w:tcBorders>
              <w:tl2br w:val="nil"/>
              <w:tr2bl w:val="nil"/>
            </w:tcBorders>
            <w:noWrap w:val="0"/>
            <w:tcMar>
              <w:top w:w="16" w:type="dxa"/>
              <w:left w:w="16" w:type="dxa"/>
              <w:right w:w="16" w:type="dxa"/>
            </w:tcMar>
            <w:vAlign w:val="center"/>
          </w:tcPr>
          <w:p w14:paraId="596F215C">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总投资（万元）</w:t>
            </w:r>
          </w:p>
        </w:tc>
        <w:tc>
          <w:tcPr>
            <w:tcW w:w="1943" w:type="dxa"/>
            <w:tcBorders>
              <w:tl2br w:val="nil"/>
              <w:tr2bl w:val="nil"/>
            </w:tcBorders>
            <w:noWrap w:val="0"/>
            <w:vAlign w:val="center"/>
          </w:tcPr>
          <w:p w14:paraId="7197793B">
            <w:pPr>
              <w:adjustRightInd w:val="0"/>
              <w:snapToGrid w:val="0"/>
              <w:jc w:val="center"/>
              <w:rPr>
                <w:rFonts w:hint="default" w:ascii="宋体" w:hAnsi="宋体" w:cs="宋体"/>
                <w:sz w:val="24"/>
                <w:szCs w:val="24"/>
                <w:lang w:val="en-US"/>
              </w:rPr>
            </w:pPr>
            <w:r>
              <w:rPr>
                <w:rFonts w:hint="eastAsia" w:cs="Times New Roman"/>
                <w:color w:val="auto"/>
                <w:sz w:val="24"/>
                <w:szCs w:val="24"/>
                <w:highlight w:val="none"/>
                <w:lang w:val="en-US" w:eastAsia="zh-CN"/>
              </w:rPr>
              <w:t>3000</w:t>
            </w:r>
          </w:p>
        </w:tc>
        <w:tc>
          <w:tcPr>
            <w:tcW w:w="1826" w:type="dxa"/>
            <w:tcBorders>
              <w:tl2br w:val="nil"/>
              <w:tr2bl w:val="nil"/>
            </w:tcBorders>
            <w:noWrap w:val="0"/>
            <w:tcMar>
              <w:top w:w="16" w:type="dxa"/>
              <w:left w:w="16" w:type="dxa"/>
              <w:right w:w="16" w:type="dxa"/>
            </w:tcMar>
            <w:vAlign w:val="center"/>
          </w:tcPr>
          <w:p w14:paraId="237A1654">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环保投资（万元）</w:t>
            </w:r>
          </w:p>
        </w:tc>
        <w:tc>
          <w:tcPr>
            <w:tcW w:w="3186" w:type="dxa"/>
            <w:tcBorders>
              <w:tl2br w:val="nil"/>
              <w:tr2bl w:val="nil"/>
            </w:tcBorders>
            <w:noWrap w:val="0"/>
            <w:vAlign w:val="center"/>
          </w:tcPr>
          <w:p w14:paraId="0206DE97">
            <w:pPr>
              <w:adjustRightInd w:val="0"/>
              <w:snapToGrid w:val="0"/>
              <w:jc w:val="center"/>
              <w:rPr>
                <w:rFonts w:hint="default" w:ascii="宋体" w:hAnsi="宋体" w:cs="宋体"/>
                <w:sz w:val="24"/>
                <w:szCs w:val="24"/>
                <w:lang w:val="en-US"/>
              </w:rPr>
            </w:pPr>
            <w:r>
              <w:rPr>
                <w:rFonts w:hint="eastAsia" w:cs="Times New Roman"/>
                <w:color w:val="auto"/>
                <w:spacing w:val="-2"/>
                <w:sz w:val="24"/>
                <w:szCs w:val="24"/>
                <w:highlight w:val="none"/>
                <w:lang w:val="en-US" w:eastAsia="zh-CN"/>
              </w:rPr>
              <w:t>156</w:t>
            </w:r>
          </w:p>
        </w:tc>
      </w:tr>
      <w:tr w14:paraId="40AA6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5" w:type="dxa"/>
            <w:tcBorders>
              <w:tl2br w:val="nil"/>
              <w:tr2bl w:val="nil"/>
            </w:tcBorders>
            <w:noWrap w:val="0"/>
            <w:tcMar>
              <w:top w:w="16" w:type="dxa"/>
              <w:left w:w="16" w:type="dxa"/>
              <w:right w:w="16" w:type="dxa"/>
            </w:tcMar>
            <w:vAlign w:val="center"/>
          </w:tcPr>
          <w:p w14:paraId="2870BAEB">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环保投资占比（</w:t>
            </w:r>
            <w:r>
              <w:rPr>
                <w:rFonts w:ascii="宋体" w:hAnsi="宋体" w:cs="宋体"/>
                <w:b w:val="0"/>
                <w:bCs w:val="0"/>
                <w:sz w:val="24"/>
                <w:szCs w:val="24"/>
              </w:rPr>
              <w:t>%</w:t>
            </w:r>
            <w:r>
              <w:rPr>
                <w:rFonts w:hint="eastAsia" w:ascii="宋体" w:hAnsi="宋体" w:cs="宋体"/>
                <w:b w:val="0"/>
                <w:bCs w:val="0"/>
                <w:sz w:val="24"/>
                <w:szCs w:val="24"/>
              </w:rPr>
              <w:t>）</w:t>
            </w:r>
          </w:p>
        </w:tc>
        <w:tc>
          <w:tcPr>
            <w:tcW w:w="1943" w:type="dxa"/>
            <w:tcBorders>
              <w:tl2br w:val="nil"/>
              <w:tr2bl w:val="nil"/>
            </w:tcBorders>
            <w:noWrap w:val="0"/>
            <w:vAlign w:val="center"/>
          </w:tcPr>
          <w:p w14:paraId="6BC0C4E6">
            <w:pPr>
              <w:adjustRightInd w:val="0"/>
              <w:snapToGrid w:val="0"/>
              <w:jc w:val="center"/>
              <w:rPr>
                <w:rFonts w:hint="default" w:ascii="宋体" w:hAnsi="宋体" w:eastAsia="宋体" w:cs="宋体"/>
                <w:sz w:val="24"/>
                <w:szCs w:val="24"/>
                <w:lang w:val="en-US" w:eastAsia="zh-CN"/>
              </w:rPr>
            </w:pPr>
            <w:r>
              <w:rPr>
                <w:rFonts w:hint="eastAsia" w:cs="Times New Roman"/>
                <w:sz w:val="24"/>
                <w:szCs w:val="24"/>
                <w:lang w:val="en-US" w:eastAsia="zh-CN"/>
              </w:rPr>
              <w:t>5.2</w:t>
            </w:r>
            <w:r>
              <w:rPr>
                <w:rFonts w:hint="default" w:ascii="Times New Roman" w:hAnsi="Times New Roman" w:cs="Times New Roman"/>
                <w:sz w:val="24"/>
                <w:szCs w:val="24"/>
                <w:lang w:val="en-US" w:eastAsia="zh-CN"/>
              </w:rPr>
              <w:t>%</w:t>
            </w:r>
          </w:p>
        </w:tc>
        <w:tc>
          <w:tcPr>
            <w:tcW w:w="1826" w:type="dxa"/>
            <w:tcBorders>
              <w:tl2br w:val="nil"/>
              <w:tr2bl w:val="nil"/>
            </w:tcBorders>
            <w:noWrap w:val="0"/>
            <w:tcMar>
              <w:top w:w="16" w:type="dxa"/>
              <w:left w:w="16" w:type="dxa"/>
              <w:right w:w="16" w:type="dxa"/>
            </w:tcMar>
            <w:vAlign w:val="center"/>
          </w:tcPr>
          <w:p w14:paraId="3D5005B4">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施工工期</w:t>
            </w:r>
          </w:p>
        </w:tc>
        <w:tc>
          <w:tcPr>
            <w:tcW w:w="3186" w:type="dxa"/>
            <w:tcBorders>
              <w:tl2br w:val="nil"/>
              <w:tr2bl w:val="nil"/>
            </w:tcBorders>
            <w:noWrap w:val="0"/>
            <w:vAlign w:val="center"/>
          </w:tcPr>
          <w:p w14:paraId="0E4F2417">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r>
      <w:tr w14:paraId="20DED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5" w:type="dxa"/>
            <w:tcBorders>
              <w:tl2br w:val="nil"/>
              <w:tr2bl w:val="nil"/>
            </w:tcBorders>
            <w:noWrap w:val="0"/>
            <w:tcMar>
              <w:top w:w="16" w:type="dxa"/>
              <w:left w:w="16" w:type="dxa"/>
              <w:right w:w="16" w:type="dxa"/>
            </w:tcMar>
            <w:vAlign w:val="center"/>
          </w:tcPr>
          <w:p w14:paraId="5364A074">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是否开工建设</w:t>
            </w:r>
          </w:p>
        </w:tc>
        <w:tc>
          <w:tcPr>
            <w:tcW w:w="1943" w:type="dxa"/>
            <w:tcBorders>
              <w:tl2br w:val="nil"/>
              <w:tr2bl w:val="nil"/>
            </w:tcBorders>
            <w:noWrap w:val="0"/>
            <w:vAlign w:val="center"/>
          </w:tcPr>
          <w:p w14:paraId="56B1910C">
            <w:pPr>
              <w:adjustRightInd w:val="0"/>
              <w:snapToGrid w:val="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否</w:t>
            </w:r>
          </w:p>
          <w:p w14:paraId="36B57393">
            <w:pPr>
              <w:adjustRightInd w:val="0"/>
              <w:snapToGrid w:val="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是：</w:t>
            </w:r>
            <w:r>
              <w:rPr>
                <w:rFonts w:hint="eastAsia" w:ascii="Times New Roman" w:eastAsia="宋体"/>
                <w:color w:val="auto"/>
                <w:sz w:val="24"/>
                <w:szCs w:val="24"/>
                <w:highlight w:val="none"/>
                <w:u w:val="single"/>
                <w:lang w:val="en-US" w:eastAsia="zh-CN"/>
              </w:rPr>
              <w:t>项目已基本建成，建设内容发生重大变动，重新报批环评</w:t>
            </w:r>
          </w:p>
        </w:tc>
        <w:tc>
          <w:tcPr>
            <w:tcW w:w="1826" w:type="dxa"/>
            <w:tcBorders>
              <w:tl2br w:val="nil"/>
              <w:tr2bl w:val="nil"/>
            </w:tcBorders>
            <w:noWrap w:val="0"/>
            <w:tcMar>
              <w:top w:w="16" w:type="dxa"/>
              <w:left w:w="16" w:type="dxa"/>
              <w:right w:w="16" w:type="dxa"/>
            </w:tcMar>
            <w:vAlign w:val="center"/>
          </w:tcPr>
          <w:p w14:paraId="47A65746">
            <w:pPr>
              <w:adjustRightInd w:val="0"/>
              <w:snapToGrid w:val="0"/>
              <w:jc w:val="center"/>
              <w:rPr>
                <w:rFonts w:ascii="宋体" w:hAnsi="宋体" w:cs="宋体"/>
                <w:b w:val="0"/>
                <w:bCs w:val="0"/>
                <w:spacing w:val="-6"/>
                <w:sz w:val="24"/>
                <w:szCs w:val="24"/>
              </w:rPr>
            </w:pPr>
            <w:r>
              <w:rPr>
                <w:rFonts w:hint="eastAsia" w:ascii="宋体" w:hAnsi="宋体" w:cs="宋体"/>
                <w:b w:val="0"/>
                <w:bCs w:val="0"/>
                <w:spacing w:val="-6"/>
                <w:sz w:val="24"/>
                <w:szCs w:val="24"/>
              </w:rPr>
              <w:t>用地（用海）</w:t>
            </w:r>
          </w:p>
          <w:p w14:paraId="1743964B">
            <w:pPr>
              <w:adjustRightInd w:val="0"/>
              <w:snapToGrid w:val="0"/>
              <w:jc w:val="center"/>
              <w:rPr>
                <w:rFonts w:hint="eastAsia" w:ascii="宋体" w:hAnsi="宋体" w:cs="宋体"/>
                <w:b w:val="0"/>
                <w:bCs w:val="0"/>
                <w:sz w:val="24"/>
                <w:szCs w:val="24"/>
              </w:rPr>
            </w:pPr>
            <w:r>
              <w:rPr>
                <w:rFonts w:hint="eastAsia" w:ascii="宋体" w:hAnsi="宋体" w:cs="宋体"/>
                <w:b w:val="0"/>
                <w:bCs w:val="0"/>
                <w:spacing w:val="-6"/>
                <w:sz w:val="24"/>
                <w:szCs w:val="24"/>
              </w:rPr>
              <w:t>面积（</w:t>
            </w:r>
            <w:r>
              <w:rPr>
                <w:rFonts w:ascii="宋体" w:hAnsi="宋体" w:cs="宋体"/>
                <w:b w:val="0"/>
                <w:bCs w:val="0"/>
                <w:spacing w:val="-6"/>
                <w:sz w:val="24"/>
                <w:szCs w:val="24"/>
              </w:rPr>
              <w:t>m</w:t>
            </w:r>
            <w:r>
              <w:rPr>
                <w:rFonts w:ascii="宋体" w:hAnsi="宋体" w:cs="宋体"/>
                <w:b w:val="0"/>
                <w:bCs w:val="0"/>
                <w:spacing w:val="-6"/>
                <w:sz w:val="24"/>
                <w:szCs w:val="24"/>
                <w:vertAlign w:val="superscript"/>
              </w:rPr>
              <w:t>2</w:t>
            </w:r>
            <w:r>
              <w:rPr>
                <w:rFonts w:hint="eastAsia" w:ascii="宋体" w:hAnsi="宋体" w:cs="宋体"/>
                <w:b w:val="0"/>
                <w:bCs w:val="0"/>
                <w:spacing w:val="-6"/>
                <w:sz w:val="24"/>
                <w:szCs w:val="24"/>
              </w:rPr>
              <w:t>）</w:t>
            </w:r>
          </w:p>
        </w:tc>
        <w:tc>
          <w:tcPr>
            <w:tcW w:w="3186" w:type="dxa"/>
            <w:tcBorders>
              <w:tl2br w:val="nil"/>
              <w:tr2bl w:val="nil"/>
            </w:tcBorders>
            <w:noWrap w:val="0"/>
            <w:vAlign w:val="center"/>
          </w:tcPr>
          <w:p w14:paraId="108BDDB1">
            <w:pPr>
              <w:numPr>
                <w:ilvl w:val="0"/>
                <w:numId w:val="0"/>
              </w:numPr>
              <w:adjustRightInd w:val="0"/>
              <w:snapToGrid w:val="0"/>
              <w:jc w:val="center"/>
              <w:rPr>
                <w:rFonts w:hint="eastAsia" w:ascii="宋体" w:hAnsi="宋体" w:cs="宋体"/>
                <w:sz w:val="24"/>
                <w:szCs w:val="24"/>
              </w:rPr>
            </w:pPr>
            <w:r>
              <w:rPr>
                <w:rFonts w:hint="eastAsia"/>
                <w:sz w:val="24"/>
                <w:szCs w:val="24"/>
                <w:lang w:val="en-US" w:eastAsia="zh-CN"/>
              </w:rPr>
              <w:t>总占地面积</w:t>
            </w:r>
            <w:bookmarkStart w:id="5" w:name="_GoBack"/>
            <w:r>
              <w:rPr>
                <w:rFonts w:hint="eastAsia"/>
                <w:sz w:val="24"/>
                <w:szCs w:val="24"/>
                <w:lang w:val="en-US" w:eastAsia="zh-CN"/>
              </w:rPr>
              <w:t>73183.1319</w:t>
            </w:r>
            <w:r>
              <w:rPr>
                <w:rFonts w:hint="default"/>
                <w:sz w:val="24"/>
                <w:szCs w:val="24"/>
                <w:lang w:val="en-US" w:eastAsia="zh-CN"/>
              </w:rPr>
              <w:t>m</w:t>
            </w:r>
            <w:r>
              <w:rPr>
                <w:rFonts w:hint="default"/>
                <w:sz w:val="24"/>
                <w:szCs w:val="24"/>
                <w:vertAlign w:val="superscript"/>
                <w:lang w:val="en-US" w:eastAsia="zh-CN"/>
              </w:rPr>
              <w:t>2</w:t>
            </w:r>
            <w:bookmarkEnd w:id="5"/>
          </w:p>
        </w:tc>
      </w:tr>
      <w:tr w14:paraId="14B48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15" w:type="dxa"/>
            <w:tcBorders>
              <w:tl2br w:val="nil"/>
              <w:tr2bl w:val="nil"/>
            </w:tcBorders>
            <w:noWrap w:val="0"/>
            <w:vAlign w:val="center"/>
          </w:tcPr>
          <w:p w14:paraId="49E0E60A">
            <w:pPr>
              <w:autoSpaceDE w:val="0"/>
              <w:autoSpaceDN w:val="0"/>
              <w:adjustRightInd w:val="0"/>
              <w:snapToGrid w:val="0"/>
              <w:jc w:val="center"/>
              <w:rPr>
                <w:rFonts w:ascii="宋体" w:hAnsi="宋体" w:cs="宋体"/>
                <w:b w:val="0"/>
                <w:bCs w:val="0"/>
                <w:kern w:val="0"/>
                <w:sz w:val="24"/>
                <w:szCs w:val="24"/>
              </w:rPr>
            </w:pPr>
            <w:r>
              <w:rPr>
                <w:rFonts w:hint="eastAsia" w:ascii="宋体" w:hAnsi="宋体" w:cs="宋体"/>
                <w:b w:val="0"/>
                <w:bCs w:val="0"/>
                <w:kern w:val="0"/>
                <w:sz w:val="24"/>
                <w:szCs w:val="24"/>
              </w:rPr>
              <w:t>专项评价设置情况</w:t>
            </w:r>
          </w:p>
        </w:tc>
        <w:tc>
          <w:tcPr>
            <w:tcW w:w="6955" w:type="dxa"/>
            <w:gridSpan w:val="3"/>
            <w:tcBorders>
              <w:tl2br w:val="nil"/>
              <w:tr2bl w:val="nil"/>
            </w:tcBorders>
            <w:noWrap w:val="0"/>
            <w:vAlign w:val="center"/>
          </w:tcPr>
          <w:p w14:paraId="599BA530">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无</w:t>
            </w:r>
          </w:p>
        </w:tc>
      </w:tr>
      <w:tr w14:paraId="599A0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915" w:type="dxa"/>
            <w:tcBorders>
              <w:tl2br w:val="nil"/>
              <w:tr2bl w:val="nil"/>
            </w:tcBorders>
            <w:noWrap w:val="0"/>
            <w:vAlign w:val="center"/>
          </w:tcPr>
          <w:p w14:paraId="15EB397A">
            <w:pPr>
              <w:autoSpaceDE w:val="0"/>
              <w:autoSpaceDN w:val="0"/>
              <w:adjustRightInd w:val="0"/>
              <w:snapToGrid w:val="0"/>
              <w:jc w:val="center"/>
              <w:rPr>
                <w:rFonts w:hint="eastAsia" w:ascii="宋体" w:hAnsi="宋体" w:cs="宋体"/>
                <w:b w:val="0"/>
                <w:bCs w:val="0"/>
                <w:kern w:val="0"/>
                <w:sz w:val="24"/>
                <w:szCs w:val="24"/>
              </w:rPr>
            </w:pPr>
            <w:r>
              <w:rPr>
                <w:rFonts w:hint="eastAsia" w:ascii="宋体" w:hAnsi="宋体" w:cs="宋体"/>
                <w:b w:val="0"/>
                <w:bCs w:val="0"/>
                <w:sz w:val="24"/>
                <w:szCs w:val="24"/>
              </w:rPr>
              <w:t>规划情况</w:t>
            </w:r>
          </w:p>
        </w:tc>
        <w:tc>
          <w:tcPr>
            <w:tcW w:w="6955" w:type="dxa"/>
            <w:gridSpan w:val="3"/>
            <w:tcBorders>
              <w:tl2br w:val="nil"/>
              <w:tr2bl w:val="nil"/>
            </w:tcBorders>
            <w:noWrap w:val="0"/>
            <w:vAlign w:val="center"/>
          </w:tcPr>
          <w:p w14:paraId="52CC2E8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规划名称:《轮台工业园区国土空间专项规划(2024-2035年)》“审批机关:轮台县人民政府</w:t>
            </w:r>
            <w:r>
              <w:rPr>
                <w:rFonts w:hint="eastAsia"/>
                <w:sz w:val="24"/>
                <w:szCs w:val="24"/>
                <w:lang w:val="en-US" w:eastAsia="zh-CN"/>
              </w:rPr>
              <w:t>。</w:t>
            </w:r>
          </w:p>
          <w:p w14:paraId="6344086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审批文件名称:《关于轮台工业园区国土空间专项规划(2024-2035年)的批复》</w:t>
            </w:r>
            <w:r>
              <w:rPr>
                <w:rFonts w:hint="eastAsia"/>
                <w:sz w:val="24"/>
                <w:szCs w:val="24"/>
                <w:lang w:val="en-US" w:eastAsia="zh-CN"/>
              </w:rPr>
              <w:t>。</w:t>
            </w:r>
          </w:p>
          <w:p w14:paraId="3941E88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highlight w:val="yellow"/>
                <w:lang w:val="en-US" w:eastAsia="zh-CN"/>
              </w:rPr>
            </w:pPr>
            <w:r>
              <w:rPr>
                <w:rFonts w:hint="default"/>
                <w:sz w:val="24"/>
                <w:szCs w:val="24"/>
                <w:lang w:val="en-US" w:eastAsia="zh-CN"/>
              </w:rPr>
              <w:t>文号</w:t>
            </w:r>
            <w:r>
              <w:rPr>
                <w:rFonts w:hint="eastAsia"/>
                <w:sz w:val="24"/>
                <w:szCs w:val="24"/>
                <w:lang w:val="en-US" w:eastAsia="zh-CN"/>
              </w:rPr>
              <w:t>：</w:t>
            </w:r>
            <w:r>
              <w:rPr>
                <w:rFonts w:hint="default"/>
                <w:sz w:val="24"/>
                <w:szCs w:val="24"/>
                <w:lang w:val="en-US" w:eastAsia="zh-CN"/>
              </w:rPr>
              <w:t>无</w:t>
            </w:r>
            <w:r>
              <w:rPr>
                <w:rFonts w:hint="eastAsia"/>
                <w:sz w:val="24"/>
                <w:szCs w:val="24"/>
                <w:lang w:val="en-US" w:eastAsia="zh-CN"/>
              </w:rPr>
              <w:t>。</w:t>
            </w:r>
          </w:p>
        </w:tc>
      </w:tr>
      <w:tr w14:paraId="2940A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915" w:type="dxa"/>
            <w:tcBorders>
              <w:tl2br w:val="nil"/>
              <w:tr2bl w:val="nil"/>
            </w:tcBorders>
            <w:noWrap w:val="0"/>
            <w:vAlign w:val="center"/>
          </w:tcPr>
          <w:p w14:paraId="60A66F88">
            <w:pPr>
              <w:adjustRightInd w:val="0"/>
              <w:snapToGrid w:val="0"/>
              <w:jc w:val="center"/>
              <w:rPr>
                <w:rFonts w:ascii="宋体" w:hAnsi="宋体" w:cs="宋体"/>
                <w:b w:val="0"/>
                <w:bCs w:val="0"/>
                <w:sz w:val="24"/>
                <w:szCs w:val="24"/>
              </w:rPr>
            </w:pPr>
            <w:r>
              <w:rPr>
                <w:rFonts w:hint="eastAsia" w:ascii="宋体" w:hAnsi="宋体" w:cs="宋体"/>
                <w:b w:val="0"/>
                <w:bCs w:val="0"/>
                <w:sz w:val="24"/>
                <w:szCs w:val="24"/>
              </w:rPr>
              <w:t>规划环境影响</w:t>
            </w:r>
          </w:p>
          <w:p w14:paraId="4D7888F4">
            <w:pPr>
              <w:adjustRightInd w:val="0"/>
              <w:snapToGrid w:val="0"/>
              <w:jc w:val="center"/>
              <w:rPr>
                <w:rFonts w:hint="eastAsia" w:ascii="宋体" w:hAnsi="宋体" w:cs="宋体"/>
                <w:b w:val="0"/>
                <w:bCs w:val="0"/>
                <w:kern w:val="0"/>
                <w:sz w:val="24"/>
                <w:szCs w:val="24"/>
              </w:rPr>
            </w:pPr>
            <w:r>
              <w:rPr>
                <w:rFonts w:hint="eastAsia" w:ascii="宋体" w:hAnsi="宋体" w:cs="宋体"/>
                <w:b w:val="0"/>
                <w:bCs w:val="0"/>
                <w:sz w:val="24"/>
                <w:szCs w:val="24"/>
              </w:rPr>
              <w:t>评价情况</w:t>
            </w:r>
          </w:p>
        </w:tc>
        <w:tc>
          <w:tcPr>
            <w:tcW w:w="6955" w:type="dxa"/>
            <w:gridSpan w:val="3"/>
            <w:tcBorders>
              <w:tl2br w:val="nil"/>
              <w:tr2bl w:val="nil"/>
            </w:tcBorders>
            <w:noWrap w:val="0"/>
            <w:vAlign w:val="center"/>
          </w:tcPr>
          <w:p w14:paraId="29F5C1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规划环评名称:《轮台工业园区国土空间专项规划(2024-2035年)环境影响报告书》。</w:t>
            </w:r>
          </w:p>
          <w:p w14:paraId="7C05FC3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规划环境影响评价情况。</w:t>
            </w:r>
          </w:p>
          <w:p w14:paraId="4794DB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审查机关:新疆维吾尔自治区生态环境厅。</w:t>
            </w:r>
          </w:p>
          <w:p w14:paraId="54F4D4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eastAsia="宋体"/>
                <w:highlight w:val="yellow"/>
                <w:lang w:val="en-US" w:eastAsia="zh-CN"/>
              </w:rPr>
            </w:pPr>
            <w:r>
              <w:rPr>
                <w:rFonts w:hint="eastAsia"/>
                <w:sz w:val="24"/>
                <w:szCs w:val="24"/>
                <w:highlight w:val="none"/>
                <w:lang w:val="en-US" w:eastAsia="zh-CN"/>
              </w:rPr>
              <w:t>审查文件名称及文号：关于对《轮台工业园区国土空间专项规划(2024-2035年)环境影响报告书》的批复文号：新环审</w:t>
            </w:r>
            <w:r>
              <w:rPr>
                <w:spacing w:val="6"/>
                <w:sz w:val="24"/>
                <w:szCs w:val="24"/>
              </w:rPr>
              <w:t>〔20</w:t>
            </w:r>
            <w:r>
              <w:rPr>
                <w:rFonts w:hint="eastAsia"/>
                <w:spacing w:val="6"/>
                <w:sz w:val="24"/>
                <w:szCs w:val="24"/>
                <w:lang w:val="en-US" w:eastAsia="zh-CN"/>
              </w:rPr>
              <w:t>25</w:t>
            </w:r>
            <w:r>
              <w:rPr>
                <w:spacing w:val="6"/>
                <w:sz w:val="24"/>
                <w:szCs w:val="24"/>
              </w:rPr>
              <w:t>〕</w:t>
            </w:r>
            <w:r>
              <w:rPr>
                <w:rFonts w:hint="eastAsia"/>
                <w:sz w:val="24"/>
                <w:szCs w:val="24"/>
                <w:highlight w:val="none"/>
                <w:lang w:val="en-US" w:eastAsia="zh-CN"/>
              </w:rPr>
              <w:t>135号。</w:t>
            </w:r>
          </w:p>
        </w:tc>
      </w:tr>
      <w:tr w14:paraId="11EE1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15" w:type="dxa"/>
            <w:tcBorders>
              <w:tl2br w:val="nil"/>
              <w:tr2bl w:val="nil"/>
            </w:tcBorders>
            <w:noWrap w:val="0"/>
            <w:vAlign w:val="center"/>
          </w:tcPr>
          <w:p w14:paraId="45AFD224">
            <w:pPr>
              <w:adjustRightInd w:val="0"/>
              <w:snapToGrid w:val="0"/>
              <w:jc w:val="center"/>
              <w:rPr>
                <w:rFonts w:hint="eastAsia" w:ascii="宋体" w:hAnsi="宋体" w:cs="宋体"/>
                <w:b w:val="0"/>
                <w:bCs w:val="0"/>
                <w:sz w:val="24"/>
                <w:szCs w:val="24"/>
              </w:rPr>
            </w:pPr>
            <w:r>
              <w:rPr>
                <w:rFonts w:hint="eastAsia" w:ascii="宋体" w:hAnsi="宋体" w:cs="宋体"/>
                <w:b w:val="0"/>
                <w:bCs w:val="0"/>
                <w:sz w:val="24"/>
                <w:szCs w:val="24"/>
              </w:rPr>
              <w:t>规划及规划环境</w:t>
            </w:r>
          </w:p>
          <w:p w14:paraId="46E29F5C">
            <w:pPr>
              <w:adjustRightInd w:val="0"/>
              <w:snapToGrid w:val="0"/>
              <w:jc w:val="center"/>
              <w:rPr>
                <w:rFonts w:ascii="宋体" w:hAnsi="宋体" w:cs="宋体"/>
                <w:b w:val="0"/>
                <w:bCs w:val="0"/>
                <w:kern w:val="0"/>
                <w:sz w:val="24"/>
                <w:szCs w:val="24"/>
              </w:rPr>
            </w:pPr>
            <w:r>
              <w:rPr>
                <w:rFonts w:hint="eastAsia" w:ascii="宋体" w:hAnsi="宋体" w:cs="宋体"/>
                <w:b w:val="0"/>
                <w:bCs w:val="0"/>
                <w:sz w:val="24"/>
                <w:szCs w:val="24"/>
              </w:rPr>
              <w:t>影响评价符合性分析</w:t>
            </w:r>
          </w:p>
        </w:tc>
        <w:tc>
          <w:tcPr>
            <w:tcW w:w="6955" w:type="dxa"/>
            <w:gridSpan w:val="3"/>
            <w:tcBorders>
              <w:tl2br w:val="nil"/>
              <w:tr2bl w:val="nil"/>
            </w:tcBorders>
            <w:noWrap w:val="0"/>
            <w:vAlign w:val="center"/>
          </w:tcPr>
          <w:p w14:paraId="19E053F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w:t>
            </w:r>
            <w:r>
              <w:rPr>
                <w:rFonts w:hint="eastAsia" w:ascii="Times New Roman" w:hAnsi="Times New Roman" w:eastAsia="宋体"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与轮台工业园区总体规划的符合性</w:t>
            </w:r>
          </w:p>
          <w:p w14:paraId="5FED7E19">
            <w:pPr>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轮台工业园区形成了</w:t>
            </w:r>
            <w:r>
              <w:rPr>
                <w:rFonts w:hint="eastAsia" w:cs="Times New Roman"/>
                <w:color w:val="auto"/>
                <w:kern w:val="0"/>
                <w:sz w:val="24"/>
                <w:szCs w:val="24"/>
                <w:highlight w:val="none"/>
                <w:lang w:val="en-US" w:eastAsia="zh-CN" w:bidi="ar-SA"/>
              </w:rPr>
              <w:t>“两</w:t>
            </w:r>
            <w:r>
              <w:rPr>
                <w:rFonts w:hint="default" w:ascii="Times New Roman" w:hAnsi="Times New Roman" w:eastAsia="宋体" w:cs="Times New Roman"/>
                <w:color w:val="auto"/>
                <w:kern w:val="0"/>
                <w:sz w:val="24"/>
                <w:szCs w:val="24"/>
                <w:highlight w:val="none"/>
                <w:lang w:val="en-US" w:eastAsia="zh-CN" w:bidi="ar-SA"/>
              </w:rPr>
              <w:t>大产业集聚区、三大产业板块、六大产业体系</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的发展格局，即红桥石油服务区、拉依苏工业园产业聚集效应凸显，精细化工、油气服务、现代能源三大板块三足鼎立，石油天然气化工、石油装备制造和技术服务、煤化工、现代能源、纺织产业、农产品精深加工六大产业体系基本形成。红桥石油服务区重点发展油气探、钻、采、输设备生产、维修和技术服务业，着力打造以油气服务产业为支撑的科创基地、油气装备制造基地。</w:t>
            </w:r>
          </w:p>
          <w:p w14:paraId="283EC2D6">
            <w:pPr>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本项目为</w:t>
            </w:r>
            <w:r>
              <w:rPr>
                <w:rFonts w:hint="eastAsia" w:ascii="Times New Roman" w:hAnsi="Times New Roman" w:eastAsia="宋体" w:cs="Times New Roman"/>
                <w:color w:val="auto"/>
                <w:kern w:val="0"/>
                <w:sz w:val="24"/>
                <w:szCs w:val="24"/>
                <w:highlight w:val="none"/>
                <w:lang w:val="en-US" w:eastAsia="zh-CN" w:bidi="ar-SA"/>
              </w:rPr>
              <w:t>农副产品</w:t>
            </w:r>
            <w:r>
              <w:rPr>
                <w:rFonts w:hint="eastAsia" w:cs="Times New Roman"/>
                <w:color w:val="auto"/>
                <w:kern w:val="0"/>
                <w:sz w:val="24"/>
                <w:szCs w:val="24"/>
                <w:highlight w:val="none"/>
                <w:lang w:val="en-US" w:eastAsia="zh-CN" w:bidi="ar-SA"/>
              </w:rPr>
              <w:t>加工制造业</w:t>
            </w:r>
            <w:r>
              <w:rPr>
                <w:rFonts w:hint="default" w:ascii="Times New Roman" w:hAnsi="Times New Roman" w:eastAsia="宋体" w:cs="Times New Roman"/>
                <w:color w:val="auto"/>
                <w:kern w:val="0"/>
                <w:sz w:val="24"/>
                <w:szCs w:val="24"/>
                <w:highlight w:val="none"/>
                <w:lang w:val="en-US" w:eastAsia="zh-CN" w:bidi="ar-SA"/>
              </w:rPr>
              <w:t>，产品为</w:t>
            </w:r>
            <w:r>
              <w:rPr>
                <w:rFonts w:hint="eastAsia" w:ascii="Times New Roman" w:hAnsi="Times New Roman" w:eastAsia="宋体" w:cs="Times New Roman"/>
                <w:color w:val="auto"/>
                <w:kern w:val="0"/>
                <w:sz w:val="24"/>
                <w:szCs w:val="24"/>
                <w:highlight w:val="none"/>
                <w:lang w:val="en-US" w:eastAsia="zh-CN" w:bidi="ar-SA"/>
              </w:rPr>
              <w:t>棉籽油、短壳、绒等</w:t>
            </w:r>
            <w:r>
              <w:rPr>
                <w:rFonts w:hint="default" w:ascii="Times New Roman" w:hAnsi="Times New Roman" w:eastAsia="宋体" w:cs="Times New Roman"/>
                <w:color w:val="auto"/>
                <w:kern w:val="0"/>
                <w:sz w:val="24"/>
                <w:szCs w:val="24"/>
                <w:highlight w:val="none"/>
                <w:lang w:val="en-US" w:eastAsia="zh-CN" w:bidi="ar-SA"/>
              </w:rPr>
              <w:t>主</w:t>
            </w:r>
            <w:r>
              <w:rPr>
                <w:rFonts w:hint="eastAsia" w:cs="Times New Roman"/>
                <w:color w:val="auto"/>
                <w:kern w:val="0"/>
                <w:sz w:val="24"/>
                <w:szCs w:val="24"/>
                <w:highlight w:val="none"/>
                <w:lang w:val="en-US" w:eastAsia="zh-CN" w:bidi="ar-SA"/>
              </w:rPr>
              <w:t>根据园区产业功能分区规划图，本项目所在区域属于</w:t>
            </w:r>
            <w:r>
              <w:rPr>
                <w:rFonts w:hint="default" w:ascii="Times New Roman" w:hAnsi="Times New Roman" w:eastAsia="宋体" w:cs="Times New Roman"/>
                <w:color w:val="auto"/>
                <w:kern w:val="0"/>
                <w:sz w:val="24"/>
                <w:szCs w:val="24"/>
                <w:highlight w:val="none"/>
                <w:lang w:val="en-US" w:eastAsia="zh-CN" w:bidi="ar-SA"/>
              </w:rPr>
              <w:t>红桥石油服务区</w:t>
            </w:r>
            <w:r>
              <w:rPr>
                <w:rFonts w:hint="eastAsia" w:cs="Times New Roman"/>
                <w:color w:val="auto"/>
                <w:kern w:val="0"/>
                <w:sz w:val="24"/>
                <w:szCs w:val="24"/>
                <w:highlight w:val="none"/>
                <w:lang w:val="en-US" w:eastAsia="zh-CN" w:bidi="ar-SA"/>
              </w:rPr>
              <w:t>中的农副产品加工区。根据轮台工业园区国土空间专项规划（2024-2035年）环境影响报告书中</w:t>
            </w:r>
            <w:r>
              <w:rPr>
                <w:rFonts w:hint="eastAsia" w:ascii="宋体" w:hAnsi="宋体" w:eastAsia="宋体" w:cs="宋体"/>
                <w:color w:val="auto"/>
                <w:sz w:val="24"/>
                <w:szCs w:val="24"/>
                <w:lang w:val="en-US" w:eastAsia="zh-CN"/>
              </w:rPr>
              <w:t>红桥石油服务区发展定位是形成以石油装备制造及技术服务产业和农副产品加工为主导，以建材为重点，以纺织和皮毛为延伸，以现代物流业和非金属矿物质制品业为补充的现代产业</w:t>
            </w:r>
            <w:r>
              <w:rPr>
                <w:rFonts w:hint="eastAsia" w:ascii="宋体" w:hAnsi="宋体" w:eastAsia="宋体" w:cs="宋体"/>
                <w:color w:val="auto"/>
                <w:sz w:val="24"/>
                <w:szCs w:val="24"/>
                <w:highlight w:val="none"/>
                <w:lang w:val="en-US" w:eastAsia="zh-CN"/>
              </w:rPr>
              <w:t>体系</w:t>
            </w:r>
            <w:r>
              <w:rPr>
                <w:rFonts w:ascii="宋体" w:hAnsi="宋体" w:eastAsia="宋体" w:cs="宋体"/>
                <w:color w:val="auto"/>
                <w:sz w:val="24"/>
                <w:szCs w:val="24"/>
                <w:highlight w:val="none"/>
              </w:rPr>
              <w:t>。</w:t>
            </w:r>
            <w:r>
              <w:rPr>
                <w:rFonts w:hint="eastAsia" w:cs="Times New Roman"/>
                <w:color w:val="auto"/>
                <w:kern w:val="0"/>
                <w:sz w:val="24"/>
                <w:szCs w:val="24"/>
                <w:highlight w:val="none"/>
                <w:lang w:val="en-US" w:eastAsia="zh-CN" w:bidi="ar-SA"/>
              </w:rPr>
              <w:t>因此，本项目</w:t>
            </w:r>
            <w:r>
              <w:rPr>
                <w:rFonts w:hint="default" w:ascii="Times New Roman" w:hAnsi="Times New Roman" w:cs="Times New Roman"/>
                <w:color w:val="auto"/>
                <w:kern w:val="0"/>
                <w:sz w:val="24"/>
                <w:szCs w:val="24"/>
                <w:highlight w:val="none"/>
                <w:lang w:val="en-US" w:eastAsia="zh-CN" w:bidi="ar-SA"/>
              </w:rPr>
              <w:t>符合红桥石油服务区定位的以</w:t>
            </w:r>
            <w:r>
              <w:rPr>
                <w:rFonts w:hint="eastAsia" w:ascii="宋体" w:hAnsi="宋体" w:eastAsia="宋体" w:cs="宋体"/>
                <w:color w:val="auto"/>
                <w:sz w:val="24"/>
                <w:szCs w:val="24"/>
                <w:highlight w:val="none"/>
                <w:lang w:val="en-US" w:eastAsia="zh-CN"/>
              </w:rPr>
              <w:t>农副产品加工为主导</w:t>
            </w:r>
            <w:r>
              <w:rPr>
                <w:rFonts w:hint="default" w:ascii="Times New Roman" w:hAnsi="Times New Roman" w:eastAsia="宋体" w:cs="Times New Roman"/>
                <w:color w:val="auto"/>
                <w:kern w:val="0"/>
                <w:sz w:val="24"/>
                <w:szCs w:val="24"/>
                <w:highlight w:val="none"/>
                <w:lang w:val="en-US" w:eastAsia="zh-CN" w:bidi="ar-SA"/>
              </w:rPr>
              <w:t>，项目区周边无自然保护区、饮用水源地保护区等生态保护目标。本项目为</w:t>
            </w:r>
            <w:r>
              <w:rPr>
                <w:rFonts w:hint="eastAsia" w:cs="Times New Roman"/>
                <w:color w:val="auto"/>
                <w:kern w:val="0"/>
                <w:sz w:val="24"/>
                <w:szCs w:val="24"/>
                <w:highlight w:val="none"/>
                <w:lang w:val="en-US" w:eastAsia="zh-CN" w:bidi="ar-SA"/>
              </w:rPr>
              <w:t>农副产品加工业</w:t>
            </w:r>
            <w:r>
              <w:rPr>
                <w:rFonts w:hint="default" w:ascii="Times New Roman" w:hAnsi="Times New Roman" w:eastAsia="宋体" w:cs="Times New Roman"/>
                <w:color w:val="auto"/>
                <w:kern w:val="0"/>
                <w:sz w:val="24"/>
                <w:szCs w:val="24"/>
                <w:highlight w:val="none"/>
                <w:lang w:val="en-US" w:eastAsia="zh-CN" w:bidi="ar-SA"/>
              </w:rPr>
              <w:t>，因此，本项目的建设符合所在园区的产业发展定位。本项目</w:t>
            </w:r>
            <w:r>
              <w:rPr>
                <w:rFonts w:hint="eastAsia" w:cs="Times New Roman"/>
                <w:color w:val="auto"/>
                <w:kern w:val="0"/>
                <w:sz w:val="24"/>
                <w:szCs w:val="24"/>
                <w:highlight w:val="none"/>
                <w:lang w:val="en-US" w:eastAsia="zh-CN" w:bidi="ar-SA"/>
              </w:rPr>
              <w:t>园区位置见</w:t>
            </w:r>
            <w:r>
              <w:rPr>
                <w:rFonts w:hint="default" w:ascii="Times New Roman" w:hAnsi="Times New Roman" w:eastAsia="宋体" w:cs="Times New Roman"/>
                <w:color w:val="auto"/>
                <w:kern w:val="0"/>
                <w:sz w:val="24"/>
                <w:szCs w:val="24"/>
                <w:highlight w:val="none"/>
                <w:lang w:val="en-US" w:eastAsia="zh-CN" w:bidi="ar-SA"/>
              </w:rPr>
              <w:t>附图1本项目园区规划位置图</w:t>
            </w:r>
            <w:r>
              <w:rPr>
                <w:rFonts w:hint="eastAsia" w:cs="Times New Roman"/>
                <w:color w:val="auto"/>
                <w:kern w:val="0"/>
                <w:sz w:val="24"/>
                <w:szCs w:val="24"/>
                <w:highlight w:val="none"/>
                <w:lang w:val="en-US" w:eastAsia="zh-CN" w:bidi="ar-SA"/>
              </w:rPr>
              <w:t>。</w:t>
            </w:r>
          </w:p>
          <w:p w14:paraId="59FD94A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2</w:t>
            </w:r>
            <w:r>
              <w:rPr>
                <w:rFonts w:hint="eastAsia"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与轮台工业园区总体规划环评的符合性</w:t>
            </w:r>
          </w:p>
          <w:p w14:paraId="1FD07FA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eastAsia" w:ascii="黑体" w:hAnsi="黑体" w:eastAsia="黑体" w:cs="黑体"/>
                <w:b w:val="0"/>
                <w:bCs w:val="0"/>
                <w:color w:val="auto"/>
                <w:spacing w:val="0"/>
                <w:sz w:val="21"/>
                <w:szCs w:val="21"/>
                <w:highlight w:val="none"/>
                <w:lang w:val="en-US" w:eastAsia="zh-CN"/>
              </w:rPr>
              <w:t>表1-1  项目与轮台工业园区总体规划环评符合性分析一览表</w:t>
            </w:r>
          </w:p>
          <w:tbl>
            <w:tblPr>
              <w:tblStyle w:val="22"/>
              <w:tblW w:w="66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6"/>
              <w:gridCol w:w="3307"/>
            </w:tblGrid>
            <w:tr w14:paraId="6ED0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trPr>
              <w:tc>
                <w:tcPr>
                  <w:tcW w:w="2503" w:type="pct"/>
                  <w:shd w:val="clear" w:color="auto" w:fill="auto"/>
                  <w:vAlign w:val="center"/>
                </w:tcPr>
                <w:p w14:paraId="49DC1F5B">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园区规划环评要求</w:t>
                  </w:r>
                </w:p>
              </w:tc>
              <w:tc>
                <w:tcPr>
                  <w:tcW w:w="2496" w:type="pct"/>
                  <w:shd w:val="clear" w:color="auto" w:fill="auto"/>
                  <w:vAlign w:val="center"/>
                </w:tcPr>
                <w:p w14:paraId="7545E554">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本项目情况</w:t>
                  </w:r>
                </w:p>
              </w:tc>
            </w:tr>
            <w:tr w14:paraId="696A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503" w:type="pct"/>
                  <w:shd w:val="clear" w:color="auto" w:fill="auto"/>
                  <w:vAlign w:val="center"/>
                </w:tcPr>
                <w:p w14:paraId="1460D6C9">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lang w:val="en-US" w:eastAsia="zh-CN"/>
                    </w:rPr>
                  </w:pPr>
                  <w:r>
                    <w:rPr>
                      <w:rFonts w:hint="eastAsia"/>
                      <w:lang w:val="en-US" w:eastAsia="zh-CN"/>
                    </w:rPr>
                    <w:t>坚持实行入园企业环保准入审核制度，与产业定位方向不符的项目一律不得入园，对于入园的建设项目必须开展建设项目环境影响评价，并严格执行建设项目“三同时”环境管理制度。</w:t>
                  </w:r>
                </w:p>
              </w:tc>
              <w:tc>
                <w:tcPr>
                  <w:tcW w:w="2496" w:type="pct"/>
                  <w:shd w:val="clear" w:color="auto" w:fill="auto"/>
                  <w:vAlign w:val="center"/>
                </w:tcPr>
                <w:p w14:paraId="12698C22">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lang w:val="en-US" w:eastAsia="zh-CN"/>
                    </w:rPr>
                  </w:pPr>
                  <w:r>
                    <w:rPr>
                      <w:rFonts w:hint="eastAsia"/>
                      <w:lang w:val="en-US" w:eastAsia="zh-CN"/>
                    </w:rPr>
                    <w:t>本项目为农副产品加工制造业，产品为棉籽油、短壳、绒，产品外售轮台周边。轮台工业园区总体规划（2024～2035）环境影响报告书中提及</w:t>
                  </w:r>
                  <w:r>
                    <w:rPr>
                      <w:rFonts w:hint="default"/>
                      <w:lang w:val="en-US" w:eastAsia="zh-CN"/>
                    </w:rPr>
                    <w:t>红桥石油服务区布局石油装备制造及技术服务产业产业链、农副产品加工产业链、纺织产业链、现代物流产业链、建材产业链和非金属矿物质制品业产业链。</w:t>
                  </w:r>
                  <w:r>
                    <w:rPr>
                      <w:rFonts w:hint="eastAsia"/>
                      <w:lang w:val="en-US" w:eastAsia="zh-CN"/>
                    </w:rPr>
                    <w:t>本项目建成后将严格执行建设项目“三同时”环境管理制度。</w:t>
                  </w:r>
                </w:p>
              </w:tc>
            </w:tr>
            <w:tr w14:paraId="32FB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shd w:val="clear" w:color="auto" w:fill="auto"/>
                  <w:vAlign w:val="center"/>
                </w:tcPr>
                <w:p w14:paraId="1E42E7A3">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园区范围内企业，应办理合法的环保手续，不符合园区规划布局、产业定位的企业应予以搬迁。</w:t>
                  </w:r>
                </w:p>
              </w:tc>
              <w:tc>
                <w:tcPr>
                  <w:tcW w:w="2496" w:type="pct"/>
                  <w:shd w:val="clear" w:color="auto" w:fill="auto"/>
                  <w:vAlign w:val="center"/>
                </w:tcPr>
                <w:p w14:paraId="2415B2A6">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default"/>
                      <w:lang w:val="en-US" w:eastAsia="zh-CN"/>
                    </w:rPr>
                    <w:t>轮台工业园区总体规划（2024～2035）环境影响报告书中提及红桥石油服务区布局石油装备制造及技术服务产业产业链、农副产品加工产业链、纺织产业链、现代物流产业链、建材产业链和非金属矿物质制品业产业链</w:t>
                  </w:r>
                  <w:r>
                    <w:rPr>
                      <w:rFonts w:hint="eastAsia"/>
                      <w:lang w:val="en-US" w:eastAsia="zh-CN"/>
                    </w:rPr>
                    <w:t>。本项目符合园区产业定位，目前正在办理环评手续。</w:t>
                  </w:r>
                </w:p>
              </w:tc>
            </w:tr>
            <w:tr w14:paraId="7414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shd w:val="clear" w:color="auto" w:fill="auto"/>
                  <w:vAlign w:val="center"/>
                </w:tcPr>
                <w:p w14:paraId="26C6E74A">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lang w:val="en-US" w:eastAsia="zh-CN"/>
                    </w:rPr>
                  </w:pPr>
                  <w:r>
                    <w:rPr>
                      <w:rFonts w:hint="eastAsia"/>
                      <w:lang w:val="en-US" w:eastAsia="zh-CN"/>
                    </w:rPr>
                    <w:t>加快基础设施建设，优先建设集中供热、污水处理和固体废弃物处置设施；企业生活、生产废水须经处理达到相应标准后，方可排入园区污水处理厂。</w:t>
                  </w:r>
                </w:p>
              </w:tc>
              <w:tc>
                <w:tcPr>
                  <w:tcW w:w="2496" w:type="pct"/>
                  <w:shd w:val="clear" w:color="auto" w:fill="auto"/>
                  <w:vAlign w:val="center"/>
                </w:tcPr>
                <w:p w14:paraId="36B0C5F7">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default"/>
                      <w:lang w:val="en-US" w:eastAsia="zh-CN"/>
                    </w:rPr>
                  </w:pPr>
                  <w:r>
                    <w:rPr>
                      <w:rFonts w:hint="eastAsia"/>
                      <w:lang w:val="en-US" w:eastAsia="zh-CN"/>
                    </w:rPr>
                    <w:t>本项目生产区无需供热，生活区供热依托电采暖；生活污水通过园区污水管网排入轮台县新城区生活污水处理厂统一处置；水帘柜产生的废水经水帘柜自带水槽收集沉淀后循环利用不外排。</w:t>
                  </w:r>
                </w:p>
              </w:tc>
            </w:tr>
            <w:tr w14:paraId="57CF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shd w:val="clear" w:color="auto" w:fill="auto"/>
                  <w:vAlign w:val="center"/>
                </w:tcPr>
                <w:p w14:paraId="756C897A">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严格设置园区企业的环境准入标准，积极开展清洁生产审核，入园企业的清洁生产水平必须达到国内先进水平，与园区产业类型不相符和达不到环境准入条件的建设项目禁入园区。</w:t>
                  </w:r>
                </w:p>
              </w:tc>
              <w:tc>
                <w:tcPr>
                  <w:tcW w:w="2496" w:type="pct"/>
                  <w:shd w:val="clear" w:color="auto" w:fill="auto"/>
                  <w:vAlign w:val="center"/>
                </w:tcPr>
                <w:p w14:paraId="67E66EE0">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本项目不属于禁止类、限制类项目，符合园区产业定位。</w:t>
                  </w:r>
                </w:p>
              </w:tc>
            </w:tr>
            <w:tr w14:paraId="4D98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shd w:val="clear" w:color="auto" w:fill="auto"/>
                  <w:vAlign w:val="center"/>
                </w:tcPr>
                <w:p w14:paraId="52845007">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大力发展园区循环经济，制定切实可行的一般固体废物\生产废水综合利用方案，提高资源利用率。严格按照国家有关规定进行危险废物贮存、处理和处置。严格落实污染物总量控制要求，提出污染物减排具体方案及保障措施。</w:t>
                  </w:r>
                </w:p>
              </w:tc>
              <w:tc>
                <w:tcPr>
                  <w:tcW w:w="2496" w:type="pct"/>
                  <w:shd w:val="clear" w:color="auto" w:fill="auto"/>
                  <w:vAlign w:val="center"/>
                </w:tcPr>
                <w:p w14:paraId="32DFC3E0">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 xml:space="preserve">本项目生产过程中产生的固体废物合理处置，产生的危险废物暂存于危险废物贮存库，定期委托有资质的单位处置，危险废物贮存库做重点防渗处理。 </w:t>
                  </w:r>
                </w:p>
              </w:tc>
            </w:tr>
            <w:tr w14:paraId="4BCD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shd w:val="clear" w:color="auto" w:fill="auto"/>
                  <w:vAlign w:val="center"/>
                </w:tcPr>
                <w:p w14:paraId="040A213D">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建立健全环境管理机构，完善各种环境管理制度、环境风险防控体系、污染防治制度和环境监控体系，确保环境安全。在园区基础设施和企业建设项目运营管理中须制定并落实事故风险防范措施和应急预案，配套完善的运行管理设施，防止污染事故的发生。</w:t>
                  </w:r>
                </w:p>
              </w:tc>
              <w:tc>
                <w:tcPr>
                  <w:tcW w:w="2496" w:type="pct"/>
                  <w:shd w:val="clear" w:color="auto" w:fill="auto"/>
                  <w:vAlign w:val="center"/>
                </w:tcPr>
                <w:p w14:paraId="318CAA3A">
                  <w:pPr>
                    <w:keepNext w:val="0"/>
                    <w:keepLines w:val="0"/>
                    <w:pageBreakBefore w:val="0"/>
                    <w:widowControl/>
                    <w:kinsoku/>
                    <w:wordWrap/>
                    <w:overflowPunct/>
                    <w:topLinePunct w:val="0"/>
                    <w:autoSpaceDE/>
                    <w:autoSpaceDN/>
                    <w:bidi w:val="0"/>
                    <w:adjustRightInd w:val="0"/>
                    <w:snapToGrid w:val="0"/>
                    <w:spacing w:line="0" w:lineRule="atLeast"/>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企业加强风险管理，按规范强化地下水分区防渗等措施。本次扩建环评批复后，按相关规范及时修编突发环境事件应急预案，建立完善突发环境事件应急响应机制。</w:t>
                  </w:r>
                </w:p>
              </w:tc>
            </w:tr>
          </w:tbl>
          <w:p w14:paraId="40374CF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宋体" w:hAnsi="宋体" w:eastAsia="宋体" w:cs="宋体"/>
                <w:kern w:val="0"/>
                <w:szCs w:val="21"/>
                <w:highlight w:val="yellow"/>
                <w:lang w:val="en-US" w:eastAsia="zh-CN"/>
              </w:rPr>
            </w:pPr>
          </w:p>
        </w:tc>
      </w:tr>
      <w:tr w14:paraId="09553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76" w:hRule="atLeast"/>
          <w:jc w:val="center"/>
        </w:trPr>
        <w:tc>
          <w:tcPr>
            <w:tcW w:w="1915" w:type="dxa"/>
            <w:tcBorders>
              <w:tl2br w:val="nil"/>
              <w:tr2bl w:val="nil"/>
            </w:tcBorders>
            <w:noWrap w:val="0"/>
            <w:vAlign w:val="center"/>
          </w:tcPr>
          <w:p w14:paraId="6FFB6372">
            <w:pPr>
              <w:autoSpaceDE w:val="0"/>
              <w:autoSpaceDN w:val="0"/>
              <w:adjustRightInd w:val="0"/>
              <w:snapToGrid w:val="0"/>
              <w:jc w:val="center"/>
              <w:rPr>
                <w:rFonts w:hint="eastAsia" w:ascii="宋体" w:hAnsi="宋体" w:cs="宋体"/>
                <w:b w:val="0"/>
                <w:bCs w:val="0"/>
                <w:kern w:val="0"/>
                <w:sz w:val="24"/>
                <w:szCs w:val="24"/>
              </w:rPr>
            </w:pPr>
            <w:r>
              <w:rPr>
                <w:rFonts w:hint="eastAsia" w:ascii="宋体" w:hAnsi="宋体" w:cs="宋体"/>
                <w:b w:val="0"/>
                <w:bCs w:val="0"/>
                <w:kern w:val="0"/>
                <w:sz w:val="24"/>
                <w:szCs w:val="24"/>
              </w:rPr>
              <w:t>其他符合性分析</w:t>
            </w:r>
          </w:p>
        </w:tc>
        <w:tc>
          <w:tcPr>
            <w:tcW w:w="6955" w:type="dxa"/>
            <w:gridSpan w:val="3"/>
            <w:tcBorders>
              <w:tl2br w:val="nil"/>
              <w:tr2bl w:val="nil"/>
            </w:tcBorders>
            <w:noWrap w:val="0"/>
            <w:vAlign w:val="center"/>
          </w:tcPr>
          <w:p w14:paraId="3FE6EC14">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outlineLvl w:val="9"/>
              <w:rPr>
                <w:rFonts w:hint="default" w:ascii="Times New Roman" w:hAnsi="Times New Roman" w:eastAsia="宋体" w:cs="Times New Roman"/>
                <w:b/>
                <w:bCs/>
                <w:color w:val="auto"/>
                <w:kern w:val="21"/>
                <w:sz w:val="24"/>
                <w:szCs w:val="24"/>
                <w:lang w:val="en-US" w:eastAsia="zh-CN" w:bidi="ar-SA"/>
              </w:rPr>
            </w:pPr>
            <w:r>
              <w:rPr>
                <w:rFonts w:hint="default" w:ascii="Times New Roman" w:hAnsi="Times New Roman" w:eastAsia="宋体" w:cs="Times New Roman"/>
                <w:b/>
                <w:bCs/>
                <w:color w:val="auto"/>
                <w:kern w:val="21"/>
                <w:sz w:val="24"/>
                <w:szCs w:val="24"/>
                <w:lang w:val="en-US" w:eastAsia="zh-CN" w:bidi="ar-SA"/>
              </w:rPr>
              <w:t>1</w:t>
            </w:r>
            <w:r>
              <w:rPr>
                <w:rFonts w:hint="eastAsia" w:ascii="Times New Roman" w:hAnsi="Times New Roman" w:eastAsia="宋体" w:cs="Times New Roman"/>
                <w:b/>
                <w:bCs/>
                <w:color w:val="auto"/>
                <w:kern w:val="21"/>
                <w:sz w:val="24"/>
                <w:szCs w:val="24"/>
                <w:lang w:val="en-US" w:eastAsia="zh-CN" w:bidi="ar-SA"/>
              </w:rPr>
              <w:t xml:space="preserve"> </w:t>
            </w:r>
            <w:r>
              <w:rPr>
                <w:rFonts w:hint="default" w:ascii="Times New Roman" w:hAnsi="Times New Roman" w:eastAsia="宋体" w:cs="Times New Roman"/>
                <w:b/>
                <w:bCs/>
                <w:color w:val="auto"/>
                <w:kern w:val="21"/>
                <w:sz w:val="24"/>
                <w:szCs w:val="24"/>
                <w:lang w:val="en-US" w:eastAsia="zh-CN" w:bidi="ar-SA"/>
              </w:rPr>
              <w:t>产业政策符合性分析</w:t>
            </w:r>
          </w:p>
          <w:p w14:paraId="5BE7A4B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color w:val="auto"/>
                <w:kern w:val="21"/>
                <w:sz w:val="24"/>
                <w:szCs w:val="24"/>
                <w:lang w:val="en-US" w:eastAsia="zh-CN" w:bidi="ar-SA"/>
              </w:rPr>
              <w:t>本项目为</w:t>
            </w:r>
            <w:r>
              <w:rPr>
                <w:rFonts w:hint="eastAsia" w:cs="Times New Roman"/>
                <w:color w:val="auto"/>
                <w:kern w:val="21"/>
                <w:sz w:val="24"/>
                <w:szCs w:val="24"/>
                <w:lang w:val="en-US" w:eastAsia="zh-CN" w:bidi="ar-SA"/>
              </w:rPr>
              <w:t>植物油加工</w:t>
            </w:r>
            <w:r>
              <w:rPr>
                <w:rFonts w:hint="default" w:ascii="Times New Roman" w:hAnsi="Times New Roman" w:eastAsia="宋体" w:cs="Times New Roman"/>
                <w:color w:val="auto"/>
                <w:kern w:val="21"/>
                <w:sz w:val="24"/>
                <w:szCs w:val="24"/>
                <w:lang w:val="en-US" w:eastAsia="zh-CN" w:bidi="ar-SA"/>
              </w:rPr>
              <w:t>项目</w:t>
            </w:r>
            <w:r>
              <w:rPr>
                <w:rFonts w:hint="eastAsia" w:ascii="Times New Roman" w:hAnsi="Times New Roman" w:eastAsia="宋体" w:cs="Times New Roman"/>
                <w:color w:val="auto"/>
                <w:kern w:val="21"/>
                <w:sz w:val="24"/>
                <w:szCs w:val="24"/>
                <w:lang w:val="en-US" w:eastAsia="zh-CN" w:bidi="ar-SA"/>
              </w:rPr>
              <w:t>，</w:t>
            </w:r>
            <w:r>
              <w:rPr>
                <w:rFonts w:hint="default" w:ascii="Times New Roman" w:hAnsi="Times New Roman" w:eastAsia="宋体" w:cs="Times New Roman"/>
                <w:color w:val="auto"/>
                <w:kern w:val="2"/>
                <w:sz w:val="24"/>
                <w:szCs w:val="24"/>
                <w:lang w:val="en-US" w:eastAsia="zh-CN" w:bidi="ar"/>
              </w:rPr>
              <w:t>根据</w:t>
            </w:r>
            <w:r>
              <w:rPr>
                <w:rFonts w:hint="default" w:ascii="Times New Roman" w:hAnsi="Times New Roman" w:eastAsia="宋体" w:cs="Times New Roman"/>
                <w:color w:val="auto"/>
                <w:kern w:val="2"/>
                <w:sz w:val="24"/>
                <w:szCs w:val="24"/>
                <w:lang w:val="en-US" w:eastAsia="zh-CN" w:bidi="ar-SA"/>
              </w:rPr>
              <w:t>中华人民共和国国家发展改革委令第7号令</w:t>
            </w:r>
            <w:r>
              <w:rPr>
                <w:rFonts w:hint="eastAsia" w:cs="Times New Roman"/>
                <w:color w:val="auto"/>
                <w:kern w:val="2"/>
                <w:sz w:val="24"/>
                <w:szCs w:val="24"/>
                <w:lang w:val="en-US" w:eastAsia="zh-CN" w:bidi="ar-SA"/>
              </w:rPr>
              <w:t>《产业结构调整指导目录（2024年本）》</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b w:val="0"/>
                <w:bCs/>
                <w:color w:val="auto"/>
                <w:sz w:val="24"/>
                <w:szCs w:val="24"/>
                <w:highlight w:val="none"/>
                <w:lang w:val="en-US" w:eastAsia="zh-CN"/>
              </w:rPr>
              <w:t>可知，</w:t>
            </w:r>
            <w:r>
              <w:rPr>
                <w:rFonts w:hint="eastAsia" w:ascii="Times New Roman" w:hAnsi="Times New Roman" w:eastAsia="宋体" w:cs="Times New Roman"/>
                <w:b w:val="0"/>
                <w:bCs/>
                <w:color w:val="auto"/>
                <w:sz w:val="24"/>
                <w:szCs w:val="24"/>
                <w:highlight w:val="none"/>
                <w:lang w:val="en-US" w:eastAsia="zh-CN"/>
              </w:rPr>
              <w:t>本项目属于</w:t>
            </w:r>
            <w:r>
              <w:rPr>
                <w:rFonts w:hint="default" w:ascii="Times New Roman" w:hAnsi="Times New Roman" w:eastAsia="宋体" w:cs="Times New Roman"/>
                <w:b w:val="0"/>
                <w:bCs/>
                <w:color w:val="auto"/>
                <w:sz w:val="24"/>
                <w:szCs w:val="24"/>
                <w:highlight w:val="none"/>
                <w:lang w:val="en-US" w:eastAsia="zh-CN"/>
              </w:rPr>
              <w:t>“十九、轻工”的棉籽产区日处理棉籽30</w:t>
            </w:r>
            <w:r>
              <w:rPr>
                <w:rFonts w:hint="eastAsia" w:cs="Times New Roman"/>
                <w:b w:val="0"/>
                <w:bCs/>
                <w:color w:val="auto"/>
                <w:sz w:val="24"/>
                <w:szCs w:val="24"/>
                <w:highlight w:val="none"/>
                <w:lang w:val="en-US" w:eastAsia="zh-CN"/>
              </w:rPr>
              <w:t>0</w:t>
            </w:r>
            <w:r>
              <w:rPr>
                <w:rFonts w:hint="default" w:ascii="Times New Roman" w:hAnsi="Times New Roman" w:eastAsia="宋体" w:cs="Times New Roman"/>
                <w:b w:val="0"/>
                <w:bCs/>
                <w:color w:val="auto"/>
                <w:sz w:val="24"/>
                <w:szCs w:val="24"/>
                <w:highlight w:val="none"/>
                <w:lang w:val="en-US" w:eastAsia="zh-CN"/>
              </w:rPr>
              <w:t>吨及以上、吨料溶剂消耗2公斤以下，属于</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鼓励类</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项目。因此，其建设符合国家产业政策要求。</w:t>
            </w:r>
          </w:p>
          <w:p w14:paraId="5F31D633">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outlineLvl w:val="9"/>
              <w:rPr>
                <w:rFonts w:ascii="Times New Roman" w:hAnsi="Times New Roman" w:eastAsia="宋体" w:cs="Times New Roman"/>
                <w:b/>
                <w:bCs/>
                <w:kern w:val="2"/>
                <w:sz w:val="24"/>
                <w:szCs w:val="32"/>
                <w:lang w:val="en-US" w:eastAsia="zh-CN" w:bidi="ar-SA"/>
              </w:rPr>
            </w:pPr>
            <w:r>
              <w:rPr>
                <w:rFonts w:ascii="Times New Roman" w:hAnsi="Times New Roman" w:eastAsia="宋体" w:cs="Times New Roman"/>
                <w:b/>
                <w:bCs/>
                <w:kern w:val="2"/>
                <w:sz w:val="24"/>
                <w:szCs w:val="32"/>
                <w:lang w:val="en-US" w:eastAsia="zh-CN" w:bidi="ar-SA"/>
              </w:rPr>
              <w:t>2</w:t>
            </w:r>
            <w:r>
              <w:rPr>
                <w:rFonts w:hint="eastAsia" w:ascii="Times New Roman" w:hAnsi="Times New Roman" w:eastAsia="宋体" w:cs="Times New Roman"/>
                <w:b/>
                <w:bCs/>
                <w:kern w:val="2"/>
                <w:sz w:val="24"/>
                <w:szCs w:val="32"/>
                <w:lang w:val="en-US" w:eastAsia="zh-CN" w:bidi="ar-SA"/>
              </w:rPr>
              <w:t xml:space="preserve"> 生态环境分区管控相符性分析</w:t>
            </w:r>
          </w:p>
          <w:p w14:paraId="584BFCF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ascii="Times New Roman" w:hAnsi="Times New Roman" w:eastAsia="宋体" w:cs="Times New Roman"/>
                <w:sz w:val="24"/>
              </w:rPr>
            </w:pPr>
            <w:r>
              <w:rPr>
                <w:rFonts w:hint="eastAsia" w:ascii="Times New Roman" w:hAnsi="Times New Roman" w:eastAsia="宋体" w:cs="Times New Roman"/>
                <w:sz w:val="24"/>
              </w:rPr>
              <w:t>根据</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关于印发《新疆维吾尔自治区生态环境分区管控动态更新成果》的通知</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（新环环评发〔2024〕157号），将本项目与空间布局约束、污染物排放管控、环境风险防控和资源利用相关要求对比分析。</w:t>
            </w:r>
          </w:p>
          <w:p w14:paraId="308ABD1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outlineLvl w:val="9"/>
              <w:rPr>
                <w:rFonts w:ascii="Times New Roman" w:hAnsi="Times New Roman" w:eastAsia="宋体" w:cs="Times New Roman"/>
                <w:b/>
                <w:kern w:val="0"/>
                <w:sz w:val="24"/>
                <w:szCs w:val="24"/>
              </w:rPr>
            </w:pPr>
            <w:r>
              <w:rPr>
                <w:rFonts w:hint="eastAsia" w:ascii="黑体" w:hAnsi="黑体" w:eastAsia="黑体" w:cs="黑体"/>
                <w:b w:val="0"/>
                <w:bCs w:val="0"/>
                <w:sz w:val="21"/>
                <w:szCs w:val="21"/>
              </w:rPr>
              <w:t>表1-</w:t>
            </w:r>
            <w:r>
              <w:rPr>
                <w:rFonts w:hint="eastAsia" w:ascii="黑体" w:hAnsi="黑体" w:eastAsia="黑体" w:cs="黑体"/>
                <w:b w:val="0"/>
                <w:bCs w:val="0"/>
                <w:sz w:val="21"/>
                <w:szCs w:val="21"/>
                <w:lang w:val="en-US" w:eastAsia="zh-CN"/>
              </w:rPr>
              <w:t>1</w:t>
            </w:r>
            <w:r>
              <w:rPr>
                <w:rFonts w:hint="eastAsia" w:ascii="黑体" w:hAnsi="黑体" w:eastAsia="黑体" w:cs="黑体"/>
                <w:b w:val="0"/>
                <w:bCs w:val="0"/>
                <w:sz w:val="21"/>
                <w:szCs w:val="21"/>
              </w:rPr>
              <w:t xml:space="preserve"> </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 xml:space="preserve"> 本项目与新疆维吾尔自治区生态环境分区管控符合性分析一览</w:t>
            </w:r>
            <w:r>
              <w:rPr>
                <w:rFonts w:hint="eastAsia" w:ascii="黑体" w:hAnsi="黑体" w:eastAsia="黑体" w:cs="黑体"/>
                <w:b w:val="0"/>
                <w:bCs w:val="0"/>
                <w:kern w:val="0"/>
                <w:sz w:val="21"/>
                <w:szCs w:val="21"/>
              </w:rPr>
              <w:t>表</w:t>
            </w:r>
          </w:p>
          <w:tbl>
            <w:tblPr>
              <w:tblStyle w:val="21"/>
              <w:tblW w:w="671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90"/>
              <w:gridCol w:w="415"/>
              <w:gridCol w:w="513"/>
              <w:gridCol w:w="2107"/>
              <w:gridCol w:w="2409"/>
              <w:gridCol w:w="777"/>
            </w:tblGrid>
            <w:tr w14:paraId="22F0A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65" w:type="pct"/>
                  <w:tcBorders>
                    <w:tl2br w:val="nil"/>
                    <w:tr2bl w:val="nil"/>
                  </w:tcBorders>
                  <w:noWrap w:val="0"/>
                  <w:vAlign w:val="center"/>
                </w:tcPr>
                <w:p w14:paraId="205A73E6">
                  <w:pPr>
                    <w:spacing w:line="240" w:lineRule="auto"/>
                    <w:ind w:firstLine="0" w:firstLineChars="0"/>
                    <w:contextualSpacing/>
                    <w:jc w:val="center"/>
                    <w:outlineLvl w:val="9"/>
                    <w:rPr>
                      <w:rFonts w:ascii="Times New Roman" w:hAnsi="Times New Roman" w:eastAsia="宋体" w:cs="Times New Roman"/>
                      <w:b w:val="0"/>
                      <w:bCs w:val="0"/>
                      <w:sz w:val="21"/>
                    </w:rPr>
                  </w:pPr>
                  <w:r>
                    <w:rPr>
                      <w:rFonts w:hint="eastAsia" w:ascii="Times New Roman" w:hAnsi="Times New Roman" w:eastAsia="宋体" w:cs="Times New Roman"/>
                      <w:b w:val="0"/>
                      <w:bCs w:val="0"/>
                      <w:sz w:val="21"/>
                    </w:rPr>
                    <w:t>名称</w:t>
                  </w:r>
                </w:p>
              </w:tc>
              <w:tc>
                <w:tcPr>
                  <w:tcW w:w="2260" w:type="pct"/>
                  <w:gridSpan w:val="3"/>
                  <w:tcBorders>
                    <w:tl2br w:val="nil"/>
                    <w:tr2bl w:val="nil"/>
                  </w:tcBorders>
                  <w:noWrap w:val="0"/>
                  <w:vAlign w:val="center"/>
                </w:tcPr>
                <w:p w14:paraId="6BF1399F">
                  <w:pPr>
                    <w:spacing w:line="240" w:lineRule="auto"/>
                    <w:ind w:firstLine="0" w:firstLineChars="0"/>
                    <w:contextualSpacing/>
                    <w:jc w:val="center"/>
                    <w:outlineLvl w:val="9"/>
                    <w:rPr>
                      <w:rFonts w:ascii="Times New Roman" w:hAnsi="Times New Roman" w:eastAsia="宋体" w:cs="Times New Roman"/>
                      <w:b w:val="0"/>
                      <w:bCs w:val="0"/>
                      <w:sz w:val="21"/>
                    </w:rPr>
                  </w:pPr>
                  <w:r>
                    <w:rPr>
                      <w:rFonts w:hint="eastAsia" w:ascii="Times New Roman" w:hAnsi="Times New Roman" w:eastAsia="宋体" w:cs="Times New Roman"/>
                      <w:b w:val="0"/>
                      <w:bCs w:val="0"/>
                      <w:sz w:val="21"/>
                    </w:rPr>
                    <w:t>文件要求</w:t>
                  </w:r>
                </w:p>
              </w:tc>
              <w:tc>
                <w:tcPr>
                  <w:tcW w:w="1794" w:type="pct"/>
                  <w:tcBorders>
                    <w:tl2br w:val="nil"/>
                    <w:tr2bl w:val="nil"/>
                  </w:tcBorders>
                  <w:noWrap w:val="0"/>
                  <w:vAlign w:val="center"/>
                </w:tcPr>
                <w:p w14:paraId="2FC09F39">
                  <w:pPr>
                    <w:spacing w:line="240" w:lineRule="auto"/>
                    <w:ind w:firstLine="0" w:firstLineChars="0"/>
                    <w:contextualSpacing/>
                    <w:jc w:val="center"/>
                    <w:outlineLvl w:val="9"/>
                    <w:rPr>
                      <w:rFonts w:ascii="Times New Roman" w:hAnsi="Times New Roman" w:eastAsia="宋体" w:cs="Times New Roman"/>
                      <w:b w:val="0"/>
                      <w:bCs w:val="0"/>
                      <w:sz w:val="21"/>
                    </w:rPr>
                  </w:pPr>
                  <w:r>
                    <w:rPr>
                      <w:rFonts w:hint="eastAsia" w:ascii="Times New Roman" w:hAnsi="Times New Roman" w:eastAsia="宋体" w:cs="Times New Roman"/>
                      <w:b w:val="0"/>
                      <w:bCs w:val="0"/>
                      <w:sz w:val="21"/>
                    </w:rPr>
                    <w:t>本项目</w:t>
                  </w:r>
                </w:p>
              </w:tc>
              <w:tc>
                <w:tcPr>
                  <w:tcW w:w="579" w:type="pct"/>
                  <w:tcBorders>
                    <w:tl2br w:val="nil"/>
                    <w:tr2bl w:val="nil"/>
                  </w:tcBorders>
                  <w:noWrap w:val="0"/>
                  <w:vAlign w:val="center"/>
                </w:tcPr>
                <w:p w14:paraId="6B532D89">
                  <w:pPr>
                    <w:spacing w:line="240" w:lineRule="auto"/>
                    <w:ind w:firstLine="0" w:firstLineChars="0"/>
                    <w:contextualSpacing/>
                    <w:jc w:val="center"/>
                    <w:outlineLvl w:val="9"/>
                    <w:rPr>
                      <w:rFonts w:ascii="Times New Roman" w:hAnsi="Times New Roman" w:eastAsia="宋体" w:cs="Times New Roman"/>
                      <w:b w:val="0"/>
                      <w:bCs w:val="0"/>
                      <w:sz w:val="21"/>
                    </w:rPr>
                  </w:pPr>
                  <w:r>
                    <w:rPr>
                      <w:rFonts w:hint="eastAsia" w:ascii="Times New Roman" w:hAnsi="Times New Roman" w:eastAsia="宋体" w:cs="Times New Roman"/>
                      <w:b w:val="0"/>
                      <w:bCs w:val="0"/>
                      <w:sz w:val="21"/>
                    </w:rPr>
                    <w:t>符合性</w:t>
                  </w:r>
                </w:p>
              </w:tc>
            </w:tr>
            <w:tr w14:paraId="09D4E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65" w:type="pct"/>
                  <w:vMerge w:val="restart"/>
                  <w:tcBorders>
                    <w:tl2br w:val="nil"/>
                    <w:tr2bl w:val="nil"/>
                  </w:tcBorders>
                  <w:noWrap w:val="0"/>
                  <w:vAlign w:val="center"/>
                </w:tcPr>
                <w:p w14:paraId="5DD653CE">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《新疆维吾尔自治区生态环境分区管控动态更新成果》</w:t>
                  </w:r>
                </w:p>
              </w:tc>
              <w:tc>
                <w:tcPr>
                  <w:tcW w:w="309" w:type="pct"/>
                  <w:tcBorders>
                    <w:tl2br w:val="nil"/>
                    <w:tr2bl w:val="nil"/>
                  </w:tcBorders>
                  <w:noWrap w:val="0"/>
                  <w:vAlign w:val="center"/>
                </w:tcPr>
                <w:p w14:paraId="24FEEBA5">
                  <w:pPr>
                    <w:spacing w:line="240" w:lineRule="auto"/>
                    <w:ind w:firstLine="0" w:firstLineChars="0"/>
                    <w:contextualSpacing/>
                    <w:jc w:val="center"/>
                    <w:outlineLvl w:val="9"/>
                    <w:rPr>
                      <w:rFonts w:ascii="Times New Roman" w:hAnsi="Times New Roman" w:eastAsia="宋体" w:cs="Times New Roman"/>
                      <w:sz w:val="21"/>
                      <w:highlight w:val="none"/>
                    </w:rPr>
                  </w:pPr>
                  <w:r>
                    <w:rPr>
                      <w:rFonts w:hint="eastAsia" w:ascii="Times New Roman" w:hAnsi="Times New Roman" w:eastAsia="宋体" w:cs="Times New Roman"/>
                      <w:sz w:val="21"/>
                      <w:highlight w:val="none"/>
                    </w:rPr>
                    <w:t>生态保护红线</w:t>
                  </w:r>
                </w:p>
              </w:tc>
              <w:tc>
                <w:tcPr>
                  <w:tcW w:w="1951" w:type="pct"/>
                  <w:gridSpan w:val="2"/>
                  <w:tcBorders>
                    <w:tl2br w:val="nil"/>
                    <w:tr2bl w:val="nil"/>
                  </w:tcBorders>
                  <w:noWrap w:val="0"/>
                  <w:vAlign w:val="center"/>
                </w:tcPr>
                <w:p w14:paraId="3F43CA16">
                  <w:pPr>
                    <w:spacing w:line="240" w:lineRule="auto"/>
                    <w:ind w:firstLine="0" w:firstLineChars="0"/>
                    <w:contextualSpacing/>
                    <w:jc w:val="center"/>
                    <w:outlineLvl w:val="9"/>
                    <w:rPr>
                      <w:rFonts w:ascii="Times New Roman" w:hAnsi="Times New Roman" w:eastAsia="宋体" w:cs="Times New Roman"/>
                      <w:sz w:val="21"/>
                      <w:highlight w:val="none"/>
                    </w:rPr>
                  </w:pPr>
                  <w:r>
                    <w:rPr>
                      <w:rFonts w:hint="eastAsia" w:ascii="Times New Roman" w:hAnsi="Times New Roman" w:eastAsia="宋体" w:cs="Times New Roman"/>
                      <w:sz w:val="21"/>
                      <w:highlight w:val="none"/>
                    </w:rPr>
                    <w:t>按照</w:t>
                  </w:r>
                  <w:r>
                    <w:rPr>
                      <w:rFonts w:hint="eastAsia" w:ascii="Times New Roman" w:hAnsi="Times New Roman" w:eastAsia="宋体" w:cs="Times New Roman"/>
                      <w:sz w:val="21"/>
                      <w:highlight w:val="none"/>
                      <w:lang w:eastAsia="zh-CN"/>
                    </w:rPr>
                    <w:t>“</w:t>
                  </w:r>
                  <w:r>
                    <w:rPr>
                      <w:rFonts w:hint="eastAsia" w:ascii="Times New Roman" w:hAnsi="Times New Roman" w:eastAsia="宋体" w:cs="Times New Roman"/>
                      <w:sz w:val="21"/>
                      <w:highlight w:val="none"/>
                    </w:rPr>
                    <w:t>生态功能不降低、面积不减少、性质不改变</w:t>
                  </w:r>
                  <w:r>
                    <w:rPr>
                      <w:rFonts w:hint="eastAsia" w:ascii="Times New Roman" w:hAnsi="Times New Roman" w:eastAsia="宋体" w:cs="Times New Roman"/>
                      <w:sz w:val="21"/>
                      <w:highlight w:val="none"/>
                      <w:lang w:eastAsia="zh-CN"/>
                    </w:rPr>
                    <w:t>”</w:t>
                  </w:r>
                  <w:r>
                    <w:rPr>
                      <w:rFonts w:hint="eastAsia" w:ascii="Times New Roman" w:hAnsi="Times New Roman" w:eastAsia="宋体" w:cs="Times New Roman"/>
                      <w:sz w:val="21"/>
                      <w:highlight w:val="none"/>
                    </w:rPr>
                    <w:t>的基本要求，对划定的生态保护红线实施严格管控，保障和维护国家生态安全的底线和生命线</w:t>
                  </w:r>
                </w:p>
              </w:tc>
              <w:tc>
                <w:tcPr>
                  <w:tcW w:w="1794" w:type="pct"/>
                  <w:tcBorders>
                    <w:tl2br w:val="nil"/>
                    <w:tr2bl w:val="nil"/>
                  </w:tcBorders>
                  <w:noWrap w:val="0"/>
                  <w:vAlign w:val="center"/>
                </w:tcPr>
                <w:p w14:paraId="1C653DDB">
                  <w:pPr>
                    <w:spacing w:line="240" w:lineRule="auto"/>
                    <w:ind w:firstLine="0" w:firstLineChars="0"/>
                    <w:contextualSpacing/>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本项目不在生态保护红线范围内</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并且位于园区内符合园区规划</w:t>
                  </w:r>
                </w:p>
              </w:tc>
              <w:tc>
                <w:tcPr>
                  <w:tcW w:w="579" w:type="pct"/>
                  <w:tcBorders>
                    <w:tl2br w:val="nil"/>
                    <w:tr2bl w:val="nil"/>
                  </w:tcBorders>
                  <w:noWrap w:val="0"/>
                  <w:vAlign w:val="center"/>
                </w:tcPr>
                <w:p w14:paraId="7FA5B6B2">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符合</w:t>
                  </w:r>
                </w:p>
              </w:tc>
            </w:tr>
            <w:tr w14:paraId="16290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65" w:type="pct"/>
                  <w:vMerge w:val="continue"/>
                  <w:tcBorders>
                    <w:tl2br w:val="nil"/>
                    <w:tr2bl w:val="nil"/>
                  </w:tcBorders>
                  <w:noWrap w:val="0"/>
                  <w:vAlign w:val="center"/>
                </w:tcPr>
                <w:p w14:paraId="1944B7FC">
                  <w:pPr>
                    <w:spacing w:line="240" w:lineRule="auto"/>
                    <w:ind w:firstLine="0" w:firstLineChars="0"/>
                    <w:contextualSpacing/>
                    <w:jc w:val="center"/>
                    <w:outlineLvl w:val="9"/>
                    <w:rPr>
                      <w:rFonts w:ascii="Times New Roman" w:hAnsi="Times New Roman" w:eastAsia="宋体" w:cs="Times New Roman"/>
                      <w:sz w:val="21"/>
                    </w:rPr>
                  </w:pPr>
                </w:p>
              </w:tc>
              <w:tc>
                <w:tcPr>
                  <w:tcW w:w="309" w:type="pct"/>
                  <w:tcBorders>
                    <w:tl2br w:val="nil"/>
                    <w:tr2bl w:val="nil"/>
                  </w:tcBorders>
                  <w:noWrap w:val="0"/>
                  <w:vAlign w:val="center"/>
                </w:tcPr>
                <w:p w14:paraId="1C37C62D">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环境质量底线</w:t>
                  </w:r>
                </w:p>
              </w:tc>
              <w:tc>
                <w:tcPr>
                  <w:tcW w:w="1951" w:type="pct"/>
                  <w:gridSpan w:val="2"/>
                  <w:tcBorders>
                    <w:tl2br w:val="nil"/>
                    <w:tr2bl w:val="nil"/>
                  </w:tcBorders>
                  <w:noWrap w:val="0"/>
                  <w:vAlign w:val="center"/>
                </w:tcPr>
                <w:p w14:paraId="190E7376">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全区水环境质量持续改善，受污染地表水体得到优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794" w:type="pct"/>
                  <w:tcBorders>
                    <w:tl2br w:val="nil"/>
                    <w:tr2bl w:val="nil"/>
                  </w:tcBorders>
                  <w:noWrap w:val="0"/>
                  <w:vAlign w:val="center"/>
                </w:tcPr>
                <w:p w14:paraId="0A53C563">
                  <w:pPr>
                    <w:spacing w:line="240" w:lineRule="auto"/>
                    <w:ind w:firstLine="0" w:firstLineChars="0"/>
                    <w:contextualSpacing/>
                    <w:outlineLvl w:val="9"/>
                    <w:rPr>
                      <w:rFonts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本项目用水取自</w:t>
                  </w:r>
                  <w:r>
                    <w:rPr>
                      <w:rFonts w:hint="eastAsia" w:cs="Times New Roman"/>
                      <w:sz w:val="21"/>
                      <w:szCs w:val="21"/>
                      <w:lang w:val="en-US" w:eastAsia="zh-CN"/>
                    </w:rPr>
                    <w:t>依托园区</w:t>
                  </w:r>
                  <w:r>
                    <w:rPr>
                      <w:rFonts w:hint="default" w:ascii="Times New Roman" w:hAnsi="Times New Roman" w:eastAsia="宋体" w:cs="Times New Roman"/>
                      <w:sz w:val="21"/>
                      <w:szCs w:val="21"/>
                      <w:lang w:eastAsia="zh-CN"/>
                    </w:rPr>
                    <w:t>供水系统</w:t>
                  </w:r>
                  <w:r>
                    <w:rPr>
                      <w:rFonts w:hint="eastAsia" w:cs="Times New Roman"/>
                      <w:sz w:val="21"/>
                      <w:szCs w:val="21"/>
                      <w:lang w:eastAsia="zh-CN"/>
                    </w:rPr>
                    <w:t>；</w:t>
                  </w:r>
                  <w:r>
                    <w:rPr>
                      <w:rFonts w:hint="default" w:ascii="Times New Roman" w:hAnsi="Times New Roman" w:eastAsia="宋体" w:cs="Times New Roman"/>
                      <w:sz w:val="21"/>
                      <w:szCs w:val="21"/>
                      <w:lang w:eastAsia="zh-CN"/>
                    </w:rPr>
                    <w:t>项目废水、废气、噪声经环保措施处理后能够实现达标排放，项目固废妥善处置</w:t>
                  </w:r>
                  <w:r>
                    <w:rPr>
                      <w:rFonts w:hint="eastAsia" w:cs="Times New Roman"/>
                      <w:sz w:val="21"/>
                      <w:szCs w:val="21"/>
                      <w:lang w:eastAsia="zh-CN"/>
                    </w:rPr>
                    <w:t>；</w:t>
                  </w:r>
                  <w:r>
                    <w:rPr>
                      <w:rFonts w:hint="eastAsia" w:cs="Times New Roman"/>
                      <w:sz w:val="21"/>
                      <w:szCs w:val="21"/>
                      <w:lang w:val="en-US" w:eastAsia="zh-CN"/>
                    </w:rPr>
                    <w:t>项目位于园区内，厂区用地均已硬化不会对土壤、地下水造成</w:t>
                  </w:r>
                  <w:r>
                    <w:rPr>
                      <w:rFonts w:hint="default" w:ascii="Times New Roman" w:hAnsi="Times New Roman" w:eastAsia="宋体" w:cs="Times New Roman"/>
                      <w:sz w:val="21"/>
                      <w:szCs w:val="21"/>
                      <w:lang w:eastAsia="zh-CN"/>
                    </w:rPr>
                    <w:t>破坏。</w:t>
                  </w:r>
                </w:p>
              </w:tc>
              <w:tc>
                <w:tcPr>
                  <w:tcW w:w="579" w:type="pct"/>
                  <w:tcBorders>
                    <w:tl2br w:val="nil"/>
                    <w:tr2bl w:val="nil"/>
                  </w:tcBorders>
                  <w:noWrap w:val="0"/>
                  <w:vAlign w:val="center"/>
                </w:tcPr>
                <w:p w14:paraId="01665D76">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符合</w:t>
                  </w:r>
                </w:p>
              </w:tc>
            </w:tr>
            <w:tr w14:paraId="407B9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5" w:hRule="atLeast"/>
                <w:jc w:val="center"/>
              </w:trPr>
              <w:tc>
                <w:tcPr>
                  <w:tcW w:w="365" w:type="pct"/>
                  <w:vMerge w:val="continue"/>
                  <w:tcBorders>
                    <w:tl2br w:val="nil"/>
                    <w:tr2bl w:val="nil"/>
                  </w:tcBorders>
                  <w:noWrap w:val="0"/>
                  <w:vAlign w:val="center"/>
                </w:tcPr>
                <w:p w14:paraId="484C70DC">
                  <w:pPr>
                    <w:spacing w:line="240" w:lineRule="auto"/>
                    <w:ind w:firstLine="0" w:firstLineChars="0"/>
                    <w:contextualSpacing/>
                    <w:jc w:val="center"/>
                    <w:outlineLvl w:val="9"/>
                    <w:rPr>
                      <w:rFonts w:ascii="Times New Roman" w:hAnsi="Times New Roman" w:eastAsia="宋体" w:cs="Times New Roman"/>
                      <w:sz w:val="21"/>
                    </w:rPr>
                  </w:pPr>
                </w:p>
              </w:tc>
              <w:tc>
                <w:tcPr>
                  <w:tcW w:w="309" w:type="pct"/>
                  <w:tcBorders>
                    <w:tl2br w:val="nil"/>
                    <w:tr2bl w:val="nil"/>
                  </w:tcBorders>
                  <w:noWrap w:val="0"/>
                  <w:vAlign w:val="center"/>
                </w:tcPr>
                <w:p w14:paraId="43B0F623">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资源利用上线</w:t>
                  </w:r>
                </w:p>
              </w:tc>
              <w:tc>
                <w:tcPr>
                  <w:tcW w:w="1951" w:type="pct"/>
                  <w:gridSpan w:val="2"/>
                  <w:tcBorders>
                    <w:tl2br w:val="nil"/>
                    <w:tr2bl w:val="nil"/>
                  </w:tcBorders>
                  <w:noWrap w:val="0"/>
                  <w:vAlign w:val="center"/>
                </w:tcPr>
                <w:p w14:paraId="68F3CBE6">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强化节约集约利用，持续提升资源能源利用效率，水资源、土地资源、能源消耗等达到国家、自治区下达的总量和强度控制目标</w:t>
                  </w:r>
                </w:p>
              </w:tc>
              <w:tc>
                <w:tcPr>
                  <w:tcW w:w="1794" w:type="pct"/>
                  <w:tcBorders>
                    <w:tl2br w:val="nil"/>
                    <w:tr2bl w:val="nil"/>
                  </w:tcBorders>
                  <w:noWrap w:val="0"/>
                  <w:vAlign w:val="center"/>
                </w:tcPr>
                <w:p w14:paraId="48CA362F">
                  <w:pPr>
                    <w:spacing w:line="240" w:lineRule="auto"/>
                    <w:ind w:firstLine="0" w:firstLineChars="0"/>
                    <w:contextualSpacing/>
                    <w:jc w:val="center"/>
                    <w:outlineLvl w:val="9"/>
                    <w:rPr>
                      <w:rFonts w:ascii="Times New Roman" w:hAnsi="Times New Roman" w:eastAsia="宋体" w:cs="Times New Roman"/>
                      <w:sz w:val="21"/>
                      <w:szCs w:val="21"/>
                    </w:rPr>
                  </w:pPr>
                  <w:r>
                    <w:rPr>
                      <w:rFonts w:hint="default" w:ascii="Times New Roman" w:hAnsi="Times New Roman" w:eastAsia="宋体" w:cs="Times New Roman"/>
                      <w:b w:val="0"/>
                      <w:bCs w:val="0"/>
                      <w:color w:val="auto"/>
                      <w:sz w:val="21"/>
                      <w:szCs w:val="21"/>
                    </w:rPr>
                    <w:t>本项目主要利用资源为生产、生活用水及生产用电，本项目用水量及耗电量较小，占地面积较小，对水资源、土地资源、能源消耗较小，不会超过资源利用</w:t>
                  </w:r>
                  <w:r>
                    <w:rPr>
                      <w:rFonts w:hint="eastAsia" w:ascii="Times New Roman" w:hAnsi="Times New Roman" w:eastAsia="宋体" w:cs="Times New Roman"/>
                      <w:b w:val="0"/>
                      <w:bCs w:val="0"/>
                      <w:color w:val="auto"/>
                      <w:sz w:val="21"/>
                      <w:szCs w:val="21"/>
                      <w:lang w:eastAsia="zh-CN"/>
                    </w:rPr>
                    <w:t>上限</w:t>
                  </w:r>
                  <w:r>
                    <w:rPr>
                      <w:rFonts w:hint="default" w:ascii="Times New Roman" w:hAnsi="Times New Roman" w:eastAsia="宋体" w:cs="Times New Roman"/>
                      <w:b w:val="0"/>
                      <w:bCs w:val="0"/>
                      <w:color w:val="auto"/>
                      <w:sz w:val="21"/>
                      <w:szCs w:val="21"/>
                    </w:rPr>
                    <w:t>。</w:t>
                  </w:r>
                </w:p>
              </w:tc>
              <w:tc>
                <w:tcPr>
                  <w:tcW w:w="579" w:type="pct"/>
                  <w:tcBorders>
                    <w:tl2br w:val="nil"/>
                    <w:tr2bl w:val="nil"/>
                  </w:tcBorders>
                  <w:noWrap w:val="0"/>
                  <w:vAlign w:val="center"/>
                </w:tcPr>
                <w:p w14:paraId="05448D3D">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符合</w:t>
                  </w:r>
                </w:p>
              </w:tc>
            </w:tr>
            <w:tr w14:paraId="60E96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65" w:type="pct"/>
                  <w:vMerge w:val="continue"/>
                  <w:tcBorders>
                    <w:tl2br w:val="nil"/>
                    <w:tr2bl w:val="nil"/>
                  </w:tcBorders>
                  <w:noWrap w:val="0"/>
                  <w:vAlign w:val="center"/>
                </w:tcPr>
                <w:p w14:paraId="7647F51F">
                  <w:pPr>
                    <w:spacing w:line="240" w:lineRule="auto"/>
                    <w:ind w:firstLine="0" w:firstLineChars="0"/>
                    <w:contextualSpacing/>
                    <w:jc w:val="center"/>
                    <w:outlineLvl w:val="9"/>
                    <w:rPr>
                      <w:rFonts w:ascii="Times New Roman" w:hAnsi="Times New Roman" w:eastAsia="宋体" w:cs="Times New Roman"/>
                      <w:sz w:val="21"/>
                    </w:rPr>
                  </w:pPr>
                </w:p>
              </w:tc>
              <w:tc>
                <w:tcPr>
                  <w:tcW w:w="309" w:type="pct"/>
                  <w:tcBorders>
                    <w:tl2br w:val="nil"/>
                    <w:tr2bl w:val="nil"/>
                  </w:tcBorders>
                  <w:noWrap w:val="0"/>
                  <w:vAlign w:val="center"/>
                </w:tcPr>
                <w:p w14:paraId="7A9AFCF0">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环境管控单元</w:t>
                  </w:r>
                </w:p>
              </w:tc>
              <w:tc>
                <w:tcPr>
                  <w:tcW w:w="382" w:type="pct"/>
                  <w:tcBorders>
                    <w:tl2br w:val="nil"/>
                    <w:tr2bl w:val="nil"/>
                  </w:tcBorders>
                  <w:noWrap w:val="0"/>
                  <w:vAlign w:val="center"/>
                </w:tcPr>
                <w:p w14:paraId="6673DAB6">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本项目属于</w:t>
                  </w:r>
                  <w:r>
                    <w:rPr>
                      <w:rFonts w:hint="eastAsia" w:cs="Times New Roman"/>
                      <w:sz w:val="21"/>
                      <w:lang w:val="en-US" w:eastAsia="zh-CN"/>
                    </w:rPr>
                    <w:t>重点</w:t>
                  </w:r>
                  <w:r>
                    <w:rPr>
                      <w:rFonts w:hint="eastAsia" w:ascii="Times New Roman" w:hAnsi="Times New Roman" w:eastAsia="宋体" w:cs="Times New Roman"/>
                      <w:sz w:val="21"/>
                    </w:rPr>
                    <w:t>管控单元</w:t>
                  </w:r>
                </w:p>
              </w:tc>
              <w:tc>
                <w:tcPr>
                  <w:tcW w:w="1569" w:type="pct"/>
                  <w:tcBorders>
                    <w:tl2br w:val="nil"/>
                    <w:tr2bl w:val="nil"/>
                  </w:tcBorders>
                  <w:noWrap w:val="0"/>
                  <w:vAlign w:val="center"/>
                </w:tcPr>
                <w:p w14:paraId="6F11A69E">
                  <w:pPr>
                    <w:spacing w:line="240" w:lineRule="auto"/>
                    <w:ind w:firstLine="0" w:firstLineChars="0"/>
                    <w:contextualSpacing/>
                    <w:outlineLvl w:val="9"/>
                    <w:rPr>
                      <w:rFonts w:ascii="Times New Roman" w:hAnsi="Times New Roman" w:eastAsia="宋体" w:cs="Times New Roman"/>
                      <w:sz w:val="21"/>
                    </w:rPr>
                  </w:pPr>
                  <w:r>
                    <w:rPr>
                      <w:rFonts w:hint="eastAsia" w:ascii="Times New Roman" w:hAnsi="Times New Roman" w:eastAsia="宋体" w:cs="Times New Roman"/>
                      <w:sz w:val="21"/>
                    </w:rPr>
                    <w:t>自治区划定环境管控单元，分为优先保护单元、重点管控单元和一般管控单元三类，实施分类管控。一般管控单元中，执行区域生态环境保护的基本要求，重点加强农业、生活等领域污染治理。</w:t>
                  </w:r>
                </w:p>
              </w:tc>
              <w:tc>
                <w:tcPr>
                  <w:tcW w:w="1794" w:type="pct"/>
                  <w:tcBorders>
                    <w:tl2br w:val="nil"/>
                    <w:tr2bl w:val="nil"/>
                  </w:tcBorders>
                  <w:noWrap w:val="0"/>
                  <w:vAlign w:val="center"/>
                </w:tcPr>
                <w:p w14:paraId="0B1CBAA4">
                  <w:pPr>
                    <w:spacing w:line="240" w:lineRule="auto"/>
                    <w:ind w:firstLine="0" w:firstLineChars="0"/>
                    <w:contextualSpacing/>
                    <w:jc w:val="center"/>
                    <w:outlineLvl w:val="9"/>
                    <w:rPr>
                      <w:rFonts w:hint="default" w:ascii="Times New Roman" w:hAnsi="Times New Roman" w:eastAsia="宋体" w:cs="Times New Roman"/>
                      <w:sz w:val="21"/>
                      <w:lang w:val="en-US" w:eastAsia="zh-CN"/>
                    </w:rPr>
                  </w:pPr>
                  <w:r>
                    <w:rPr>
                      <w:rFonts w:hint="eastAsia" w:cs="Times New Roman"/>
                      <w:sz w:val="21"/>
                      <w:lang w:val="en-US" w:eastAsia="zh-CN"/>
                    </w:rPr>
                    <w:t>本项目属于轮台工业园区重点管控单元，废气、废水、噪声均能达标排放</w:t>
                  </w:r>
                </w:p>
              </w:tc>
              <w:tc>
                <w:tcPr>
                  <w:tcW w:w="579" w:type="pct"/>
                  <w:tcBorders>
                    <w:tl2br w:val="nil"/>
                    <w:tr2bl w:val="nil"/>
                  </w:tcBorders>
                  <w:noWrap w:val="0"/>
                  <w:vAlign w:val="center"/>
                </w:tcPr>
                <w:p w14:paraId="0BA3C7BF">
                  <w:pPr>
                    <w:spacing w:line="240" w:lineRule="auto"/>
                    <w:ind w:firstLine="0" w:firstLineChars="0"/>
                    <w:contextualSpacing/>
                    <w:jc w:val="center"/>
                    <w:outlineLvl w:val="9"/>
                    <w:rPr>
                      <w:rFonts w:ascii="Times New Roman" w:hAnsi="Times New Roman" w:eastAsia="宋体" w:cs="Times New Roman"/>
                      <w:sz w:val="21"/>
                    </w:rPr>
                  </w:pPr>
                  <w:r>
                    <w:rPr>
                      <w:rFonts w:hint="eastAsia" w:ascii="Times New Roman" w:hAnsi="Times New Roman" w:eastAsia="宋体" w:cs="Times New Roman"/>
                      <w:sz w:val="21"/>
                    </w:rPr>
                    <w:t>符合</w:t>
                  </w:r>
                </w:p>
              </w:tc>
            </w:tr>
          </w:tbl>
          <w:p w14:paraId="78D927F8">
            <w:pPr>
              <w:widowControl w:val="0"/>
              <w:spacing w:before="120" w:after="120" w:line="240" w:lineRule="auto"/>
              <w:ind w:firstLine="0" w:firstLineChars="0"/>
              <w:jc w:val="both"/>
              <w:outlineLvl w:val="9"/>
              <w:rPr>
                <w:rFonts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bCs/>
                <w:kern w:val="2"/>
                <w:sz w:val="24"/>
                <w:szCs w:val="32"/>
                <w:lang w:val="en-US" w:eastAsia="zh-CN" w:bidi="ar-SA"/>
              </w:rPr>
              <w:t>2</w:t>
            </w:r>
            <w:r>
              <w:rPr>
                <w:rFonts w:ascii="Times New Roman" w:hAnsi="Times New Roman" w:eastAsia="宋体" w:cs="Times New Roman"/>
                <w:b/>
                <w:bCs/>
                <w:kern w:val="2"/>
                <w:sz w:val="24"/>
                <w:szCs w:val="32"/>
                <w:lang w:val="en-US" w:eastAsia="zh-CN" w:bidi="ar-SA"/>
              </w:rPr>
              <w:t>.1</w:t>
            </w:r>
            <w:r>
              <w:rPr>
                <w:rFonts w:hint="eastAsia" w:ascii="Times New Roman" w:hAnsi="Times New Roman" w:eastAsia="宋体" w:cs="Times New Roman"/>
                <w:b/>
                <w:bCs/>
                <w:kern w:val="2"/>
                <w:sz w:val="24"/>
                <w:szCs w:val="32"/>
                <w:lang w:val="en-US" w:eastAsia="zh-CN" w:bidi="ar-SA"/>
              </w:rPr>
              <w:t xml:space="preserve"> 与</w:t>
            </w:r>
            <w:r>
              <w:rPr>
                <w:rFonts w:ascii="Times New Roman" w:hAnsi="Times New Roman" w:eastAsia="宋体" w:cs="Times New Roman"/>
                <w:b/>
                <w:bCs/>
                <w:spacing w:val="-3"/>
                <w:kern w:val="2"/>
                <w:sz w:val="24"/>
                <w:szCs w:val="32"/>
                <w:lang w:val="en-US" w:eastAsia="zh-CN" w:bidi="ar-SA"/>
              </w:rPr>
              <w:t>巴音郭楞蒙古自治州</w:t>
            </w:r>
            <w:r>
              <w:rPr>
                <w:rFonts w:hint="eastAsia" w:ascii="Times New Roman" w:hAnsi="Times New Roman" w:eastAsia="宋体" w:cs="Times New Roman"/>
                <w:b/>
                <w:bCs/>
                <w:kern w:val="2"/>
                <w:sz w:val="24"/>
                <w:szCs w:val="32"/>
                <w:lang w:val="en-US" w:eastAsia="zh-CN" w:bidi="ar-SA"/>
              </w:rPr>
              <w:t>生态环境分区管控符合性分析</w:t>
            </w:r>
          </w:p>
          <w:p w14:paraId="400FAC71">
            <w:pPr>
              <w:keepNext w:val="0"/>
              <w:keepLines w:val="0"/>
              <w:pageBreakBefore w:val="0"/>
              <w:widowControl w:val="0"/>
              <w:kinsoku/>
              <w:wordWrap/>
              <w:overflowPunct/>
              <w:topLinePunct w:val="0"/>
              <w:autoSpaceDE/>
              <w:autoSpaceDN/>
              <w:bidi w:val="0"/>
              <w:adjustRightInd w:val="0"/>
              <w:snapToGrid w:val="0"/>
              <w:spacing w:line="360" w:lineRule="auto"/>
              <w:ind w:firstLine="468" w:firstLineChars="200"/>
              <w:textAlignment w:val="auto"/>
              <w:outlineLvl w:val="9"/>
              <w:rPr>
                <w:rFonts w:ascii="Times New Roman" w:hAnsi="Times New Roman" w:eastAsia="宋体" w:cs="Times New Roman"/>
                <w:sz w:val="24"/>
              </w:rPr>
            </w:pPr>
            <w:r>
              <w:rPr>
                <w:rFonts w:ascii="Times New Roman" w:hAnsi="Times New Roman" w:eastAsia="宋体" w:cs="Times New Roman"/>
                <w:spacing w:val="-3"/>
                <w:sz w:val="24"/>
              </w:rPr>
              <w:t>根据2024年12月9日发布的《关于印发巴音郭楞蒙古自治州</w:t>
            </w:r>
            <w:r>
              <w:rPr>
                <w:rFonts w:hint="eastAsia" w:ascii="Times New Roman" w:hAnsi="Times New Roman" w:eastAsia="宋体" w:cs="Times New Roman"/>
                <w:spacing w:val="-3"/>
                <w:sz w:val="24"/>
                <w:lang w:eastAsia="zh-CN"/>
              </w:rPr>
              <w:t>“</w:t>
            </w:r>
            <w:r>
              <w:rPr>
                <w:rFonts w:ascii="Times New Roman" w:hAnsi="Times New Roman" w:eastAsia="宋体" w:cs="Times New Roman"/>
                <w:spacing w:val="-3"/>
                <w:sz w:val="24"/>
              </w:rPr>
              <w:t>三线一单</w:t>
            </w:r>
            <w:r>
              <w:rPr>
                <w:rFonts w:hint="eastAsia" w:ascii="Times New Roman" w:hAnsi="Times New Roman" w:eastAsia="宋体" w:cs="Times New Roman"/>
                <w:spacing w:val="-3"/>
                <w:sz w:val="24"/>
                <w:lang w:eastAsia="zh-CN"/>
              </w:rPr>
              <w:t>”</w:t>
            </w:r>
            <w:r>
              <w:rPr>
                <w:rFonts w:ascii="Times New Roman" w:hAnsi="Times New Roman" w:eastAsia="宋体" w:cs="Times New Roman"/>
                <w:spacing w:val="-3"/>
                <w:sz w:val="24"/>
              </w:rPr>
              <w:t>生态环境分区管控动态更新成果（2023年）的通知》（巴政办发〔2024〕32号），</w:t>
            </w:r>
            <w:r>
              <w:rPr>
                <w:rFonts w:hint="eastAsia" w:ascii="Times New Roman" w:hAnsi="Times New Roman" w:eastAsia="宋体" w:cs="Times New Roman"/>
                <w:spacing w:val="-3"/>
                <w:sz w:val="24"/>
                <w:lang w:val="en-US" w:eastAsia="zh-CN"/>
              </w:rPr>
              <w:t>本项目位于轮台县工业园重点管控单元</w:t>
            </w:r>
            <w:r>
              <w:rPr>
                <w:rFonts w:hint="eastAsia" w:ascii="Times New Roman" w:hAnsi="Times New Roman" w:eastAsia="宋体" w:cs="Times New Roman"/>
                <w:spacing w:val="-3"/>
                <w:sz w:val="24"/>
              </w:rPr>
              <w:t>ZHZH65282220004</w:t>
            </w:r>
            <w:r>
              <w:rPr>
                <w:rFonts w:hint="eastAsia" w:ascii="Times New Roman" w:hAnsi="Times New Roman" w:eastAsia="宋体" w:cs="Times New Roman"/>
                <w:spacing w:val="-3"/>
                <w:sz w:val="24"/>
                <w:lang w:eastAsia="zh-CN"/>
              </w:rPr>
              <w:t>，</w:t>
            </w:r>
            <w:r>
              <w:rPr>
                <w:rFonts w:hint="eastAsia" w:ascii="Times New Roman" w:hAnsi="Times New Roman" w:eastAsia="宋体" w:cs="Times New Roman"/>
                <w:spacing w:val="-3"/>
                <w:sz w:val="24"/>
              </w:rPr>
              <w:t>本项目与</w:t>
            </w:r>
            <w:r>
              <w:rPr>
                <w:rFonts w:ascii="Times New Roman" w:hAnsi="Times New Roman" w:eastAsia="宋体" w:cs="Times New Roman"/>
                <w:spacing w:val="-3"/>
                <w:sz w:val="24"/>
              </w:rPr>
              <w:t>巴音郭楞蒙古自治州</w:t>
            </w:r>
            <w:r>
              <w:rPr>
                <w:rFonts w:hint="eastAsia" w:ascii="Times New Roman" w:hAnsi="Times New Roman" w:eastAsia="宋体" w:cs="Times New Roman"/>
                <w:spacing w:val="-3"/>
                <w:sz w:val="24"/>
              </w:rPr>
              <w:t>生态环境分区管控的符合性分析见表1-</w:t>
            </w:r>
            <w:r>
              <w:rPr>
                <w:rFonts w:hint="eastAsia" w:ascii="Times New Roman" w:hAnsi="Times New Roman" w:eastAsia="宋体" w:cs="Times New Roman"/>
                <w:spacing w:val="-3"/>
                <w:sz w:val="24"/>
                <w:lang w:val="en-US" w:eastAsia="zh-CN"/>
              </w:rPr>
              <w:t>4</w:t>
            </w:r>
            <w:r>
              <w:rPr>
                <w:rFonts w:hint="eastAsia" w:ascii="Times New Roman" w:hAnsi="Times New Roman" w:eastAsia="宋体" w:cs="Times New Roman"/>
                <w:sz w:val="24"/>
              </w:rPr>
              <w:t>。</w:t>
            </w:r>
          </w:p>
          <w:p w14:paraId="7E7FBD9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表1-4  本项目与《巴音郭楞蒙古自治州生态环境分区管控方案》符合性一览表</w:t>
            </w:r>
          </w:p>
          <w:tbl>
            <w:tblPr>
              <w:tblStyle w:val="21"/>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8"/>
              <w:gridCol w:w="4169"/>
              <w:gridCol w:w="1267"/>
              <w:gridCol w:w="826"/>
            </w:tblGrid>
            <w:tr w14:paraId="7B423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27" w:type="pct"/>
                  <w:tcBorders>
                    <w:tl2br w:val="nil"/>
                    <w:tr2bl w:val="nil"/>
                  </w:tcBorders>
                  <w:noWrap w:val="0"/>
                  <w:vAlign w:val="center"/>
                </w:tcPr>
                <w:p w14:paraId="5019F7C2">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名称</w:t>
                  </w:r>
                </w:p>
              </w:tc>
              <w:tc>
                <w:tcPr>
                  <w:tcW w:w="3110" w:type="pct"/>
                  <w:tcBorders>
                    <w:tl2br w:val="nil"/>
                    <w:tr2bl w:val="nil"/>
                  </w:tcBorders>
                  <w:noWrap w:val="0"/>
                  <w:vAlign w:val="center"/>
                </w:tcPr>
                <w:p w14:paraId="58EA458A">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符合性分析</w:t>
                  </w:r>
                </w:p>
              </w:tc>
              <w:tc>
                <w:tcPr>
                  <w:tcW w:w="945" w:type="pct"/>
                  <w:tcBorders>
                    <w:tl2br w:val="nil"/>
                    <w:tr2bl w:val="nil"/>
                  </w:tcBorders>
                  <w:noWrap w:val="0"/>
                  <w:vAlign w:val="center"/>
                </w:tcPr>
                <w:p w14:paraId="3F782803">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本项目</w:t>
                  </w:r>
                </w:p>
              </w:tc>
              <w:tc>
                <w:tcPr>
                  <w:tcW w:w="616" w:type="pct"/>
                  <w:tcBorders>
                    <w:tl2br w:val="nil"/>
                    <w:tr2bl w:val="nil"/>
                  </w:tcBorders>
                  <w:noWrap w:val="0"/>
                  <w:vAlign w:val="center"/>
                </w:tcPr>
                <w:p w14:paraId="7076D754">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符合性</w:t>
                  </w:r>
                </w:p>
              </w:tc>
            </w:tr>
            <w:tr w14:paraId="026CB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27" w:type="pct"/>
                  <w:tcBorders>
                    <w:tl2br w:val="nil"/>
                    <w:tr2bl w:val="nil"/>
                  </w:tcBorders>
                  <w:noWrap w:val="0"/>
                  <w:vAlign w:val="center"/>
                </w:tcPr>
                <w:p w14:paraId="0474327E">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生态保护红线</w:t>
                  </w:r>
                </w:p>
              </w:tc>
              <w:tc>
                <w:tcPr>
                  <w:tcW w:w="3110" w:type="pct"/>
                  <w:tcBorders>
                    <w:tl2br w:val="nil"/>
                    <w:tr2bl w:val="nil"/>
                  </w:tcBorders>
                  <w:noWrap w:val="0"/>
                  <w:vAlign w:val="center"/>
                </w:tcPr>
                <w:p w14:paraId="73DB8E39">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宋体" w:eastAsia="宋体" w:cs="宋体"/>
                      <w:kern w:val="2"/>
                      <w:sz w:val="21"/>
                      <w:szCs w:val="22"/>
                      <w:lang w:val="en-US" w:eastAsia="zh-CN" w:bidi="ar-SA"/>
                    </w:rPr>
                    <w:t>按照“生态功能不降低、面积不减少、性质不改变”的基本要求，对划定的生态保护红线实施严格管控，保障和维护国家生态安全的底线和生命线</w:t>
                  </w:r>
                </w:p>
              </w:tc>
              <w:tc>
                <w:tcPr>
                  <w:tcW w:w="945" w:type="pct"/>
                  <w:tcBorders>
                    <w:tl2br w:val="nil"/>
                    <w:tr2bl w:val="nil"/>
                  </w:tcBorders>
                  <w:noWrap w:val="0"/>
                  <w:vAlign w:val="center"/>
                </w:tcPr>
                <w:p w14:paraId="61911D67">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宋体" w:eastAsia="宋体" w:cs="宋体"/>
                      <w:kern w:val="2"/>
                      <w:sz w:val="21"/>
                      <w:szCs w:val="22"/>
                      <w:lang w:val="en-US" w:eastAsia="zh-CN" w:bidi="ar-SA"/>
                    </w:rPr>
                    <w:t>本项目不在生态保护红线范围内</w:t>
                  </w:r>
                </w:p>
              </w:tc>
              <w:tc>
                <w:tcPr>
                  <w:tcW w:w="616" w:type="pct"/>
                  <w:tcBorders>
                    <w:tl2br w:val="nil"/>
                    <w:tr2bl w:val="nil"/>
                  </w:tcBorders>
                  <w:noWrap w:val="0"/>
                  <w:vAlign w:val="center"/>
                </w:tcPr>
                <w:p w14:paraId="1056EA8D">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符合</w:t>
                  </w:r>
                </w:p>
              </w:tc>
            </w:tr>
            <w:tr w14:paraId="26534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27" w:type="pct"/>
                  <w:tcBorders>
                    <w:tl2br w:val="nil"/>
                    <w:tr2bl w:val="nil"/>
                  </w:tcBorders>
                  <w:noWrap w:val="0"/>
                  <w:vAlign w:val="center"/>
                </w:tcPr>
                <w:p w14:paraId="22B2524B">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环境质量底</w:t>
                  </w:r>
                  <w:r>
                    <w:rPr>
                      <w:rFonts w:hint="eastAsia" w:ascii="Times New Roman" w:hAnsi="Times New Roman" w:eastAsia="宋体" w:cs="Times New Roman"/>
                      <w:kern w:val="2"/>
                      <w:sz w:val="21"/>
                      <w:szCs w:val="22"/>
                      <w:lang w:val="en-US" w:eastAsia="zh-CN" w:bidi="ar-SA"/>
                    </w:rPr>
                    <w:t xml:space="preserve"> </w:t>
                  </w:r>
                  <w:r>
                    <w:rPr>
                      <w:rFonts w:ascii="Times New Roman" w:hAnsi="Times New Roman" w:eastAsia="宋体" w:cs="Times New Roman"/>
                      <w:kern w:val="2"/>
                      <w:sz w:val="21"/>
                      <w:szCs w:val="22"/>
                      <w:lang w:val="en-US" w:eastAsia="zh-CN" w:bidi="ar-SA"/>
                    </w:rPr>
                    <w:t>线</w:t>
                  </w:r>
                </w:p>
              </w:tc>
              <w:tc>
                <w:tcPr>
                  <w:tcW w:w="3110" w:type="pct"/>
                  <w:tcBorders>
                    <w:tl2br w:val="nil"/>
                    <w:tr2bl w:val="nil"/>
                  </w:tcBorders>
                  <w:noWrap w:val="0"/>
                  <w:vAlign w:val="center"/>
                </w:tcPr>
                <w:p w14:paraId="1929DEB4">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全州</w:t>
                  </w:r>
                  <w:r>
                    <w:rPr>
                      <w:rFonts w:ascii="Times New Roman" w:hAnsi="Times New Roman" w:eastAsia="宋体" w:cs="Times New Roman"/>
                      <w:kern w:val="2"/>
                      <w:sz w:val="21"/>
                      <w:szCs w:val="22"/>
                      <w:lang w:val="en-US" w:eastAsia="zh-CN" w:bidi="ar-SA"/>
                    </w:rPr>
                    <w:t>水环境质量持续改善，开都河、塔里木河、迪那河、车尔臣河、黄水沟5条河流13个监测断面稳定达到Ⅱ类水（塔里木河氟化物不参与考核，其他指标均为Ⅱ类），孔雀河4个监测断面达到</w:t>
                  </w:r>
                  <w:r>
                    <w:rPr>
                      <w:rFonts w:hint="eastAsia" w:ascii="Times New Roman" w:hAnsi="Times New Roman" w:eastAsia="宋体" w:cs="Times New Roman"/>
                      <w:kern w:val="2"/>
                      <w:sz w:val="21"/>
                      <w:szCs w:val="22"/>
                      <w:lang w:val="en-US" w:eastAsia="zh-CN" w:bidi="ar-SA"/>
                    </w:rPr>
                    <w:t>Ⅱ类</w:t>
                  </w:r>
                  <w:r>
                    <w:rPr>
                      <w:rFonts w:ascii="Times New Roman" w:hAnsi="Times New Roman" w:eastAsia="宋体" w:cs="Times New Roman"/>
                      <w:kern w:val="2"/>
                      <w:sz w:val="21"/>
                      <w:szCs w:val="22"/>
                      <w:lang w:val="en-US" w:eastAsia="zh-CN" w:bidi="ar-SA"/>
                    </w:rPr>
                    <w:t>水，博斯腾湖17个重点点位中1、7、14监测点均值Ⅲ类，其余监测点均值Ⅳ类；受污染地表水体得到有效治理，饮用水安全保障水平持续提升，地下水超采得到严格控制，地下水水质保持稳定。全州环境空气质量有所提升，SO</w:t>
                  </w:r>
                  <w:r>
                    <w:rPr>
                      <w:rFonts w:ascii="Times New Roman" w:hAnsi="Times New Roman" w:eastAsia="宋体" w:cs="Times New Roman"/>
                      <w:kern w:val="2"/>
                      <w:sz w:val="21"/>
                      <w:szCs w:val="22"/>
                      <w:vertAlign w:val="subscript"/>
                      <w:lang w:val="en-US" w:eastAsia="zh-CN" w:bidi="ar-SA"/>
                    </w:rPr>
                    <w:t>2</w:t>
                  </w:r>
                  <w:r>
                    <w:rPr>
                      <w:rFonts w:ascii="Times New Roman" w:hAnsi="Times New Roman" w:eastAsia="宋体" w:cs="Times New Roman"/>
                      <w:kern w:val="2"/>
                      <w:sz w:val="21"/>
                      <w:szCs w:val="22"/>
                      <w:lang w:val="en-US" w:eastAsia="zh-CN" w:bidi="ar-SA"/>
                    </w:rPr>
                    <w:t>、NO</w:t>
                  </w:r>
                  <w:r>
                    <w:rPr>
                      <w:rFonts w:ascii="Times New Roman" w:hAnsi="Times New Roman" w:eastAsia="宋体" w:cs="Times New Roman"/>
                      <w:kern w:val="2"/>
                      <w:sz w:val="21"/>
                      <w:szCs w:val="22"/>
                      <w:vertAlign w:val="subscript"/>
                      <w:lang w:val="en-US" w:eastAsia="zh-CN" w:bidi="ar-SA"/>
                    </w:rPr>
                    <w:t>2</w:t>
                  </w:r>
                  <w:r>
                    <w:rPr>
                      <w:rFonts w:ascii="Times New Roman" w:hAnsi="Times New Roman" w:eastAsia="宋体" w:cs="Times New Roman"/>
                      <w:kern w:val="2"/>
                      <w:sz w:val="21"/>
                      <w:szCs w:val="22"/>
                      <w:lang w:val="en-US" w:eastAsia="zh-CN" w:bidi="ar-SA"/>
                    </w:rPr>
                    <w:t>浓度长期维持在较低水平，达到环境空气质量一级标准；逐步减少颗粒物排放，PM</w:t>
                  </w:r>
                  <w:r>
                    <w:rPr>
                      <w:rFonts w:ascii="Times New Roman" w:hAnsi="Times New Roman" w:eastAsia="宋体" w:cs="Times New Roman"/>
                      <w:kern w:val="2"/>
                      <w:sz w:val="21"/>
                      <w:szCs w:val="22"/>
                      <w:vertAlign w:val="subscript"/>
                      <w:lang w:val="en-US" w:eastAsia="zh-CN" w:bidi="ar-SA"/>
                    </w:rPr>
                    <w:t>10</w:t>
                  </w:r>
                  <w:r>
                    <w:rPr>
                      <w:rFonts w:ascii="Times New Roman" w:hAnsi="Times New Roman" w:eastAsia="宋体" w:cs="Times New Roman"/>
                      <w:kern w:val="2"/>
                      <w:sz w:val="21"/>
                      <w:szCs w:val="22"/>
                      <w:lang w:val="en-US" w:eastAsia="zh-CN" w:bidi="ar-SA"/>
                    </w:rPr>
                    <w:t>、PM</w:t>
                  </w:r>
                  <w:r>
                    <w:rPr>
                      <w:rFonts w:ascii="Times New Roman" w:hAnsi="Times New Roman" w:eastAsia="宋体" w:cs="Times New Roman"/>
                      <w:kern w:val="2"/>
                      <w:sz w:val="21"/>
                      <w:szCs w:val="22"/>
                      <w:vertAlign w:val="subscript"/>
                      <w:lang w:val="en-US" w:eastAsia="zh-CN" w:bidi="ar-SA"/>
                    </w:rPr>
                    <w:t>2.5</w:t>
                  </w:r>
                  <w:r>
                    <w:rPr>
                      <w:rFonts w:ascii="Times New Roman" w:hAnsi="Times New Roman" w:eastAsia="宋体" w:cs="Times New Roman"/>
                      <w:kern w:val="2"/>
                      <w:sz w:val="21"/>
                      <w:szCs w:val="22"/>
                      <w:lang w:val="en-US" w:eastAsia="zh-CN" w:bidi="ar-SA"/>
                    </w:rPr>
                    <w:t>平均浓度分别低于81μg/m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、31.5μg/m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库尔勒市，扣除沙尘天气影响)，空气优良天数比例大于75.2%(库尔勒市)，重污染天数持续减少，沙尘影响严重地区做好防风固沙、生态环境保护修复等工作；全州土壤环境质量保持稳定，受污染耕地安全利用率达到98%以上，污染地块安全利用率不低于93%，土壤环境风险得到进一步管控</w:t>
                  </w:r>
                </w:p>
              </w:tc>
              <w:tc>
                <w:tcPr>
                  <w:tcW w:w="945" w:type="pct"/>
                  <w:tcBorders>
                    <w:tl2br w:val="nil"/>
                    <w:tr2bl w:val="nil"/>
                  </w:tcBorders>
                  <w:noWrap w:val="0"/>
                  <w:vAlign w:val="center"/>
                </w:tcPr>
                <w:p w14:paraId="52095A6D">
                  <w:pPr>
                    <w:keepNext w:val="0"/>
                    <w:keepLines w:val="0"/>
                    <w:pageBreakBefore w:val="0"/>
                    <w:widowControl w:val="0"/>
                    <w:kinsoku/>
                    <w:wordWrap/>
                    <w:overflowPunct/>
                    <w:topLinePunct w:val="0"/>
                    <w:autoSpaceDE/>
                    <w:autoSpaceDN/>
                    <w:bidi w:val="0"/>
                    <w:adjustRightInd w:val="0"/>
                    <w:snapToGrid w:val="0"/>
                    <w:spacing w:line="240" w:lineRule="auto"/>
                    <w:jc w:val="both"/>
                    <w:outlineLvl w:val="9"/>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lang w:val="en-US" w:eastAsia="zh-CN" w:bidi="ar-SA"/>
                    </w:rPr>
                    <w:t>①</w:t>
                  </w:r>
                  <w:r>
                    <w:rPr>
                      <w:rFonts w:ascii="Times New Roman" w:hAnsi="Times New Roman" w:eastAsia="宋体" w:cs="Times New Roman"/>
                      <w:sz w:val="21"/>
                      <w:lang w:val="en-US" w:eastAsia="zh-CN" w:bidi="ar-SA"/>
                    </w:rPr>
                    <w:t>本项目不进行</w:t>
                  </w:r>
                  <w:r>
                    <w:rPr>
                      <w:rFonts w:ascii="Times New Roman" w:hAnsi="Times New Roman" w:eastAsia="宋体" w:cs="Times New Roman"/>
                      <w:sz w:val="21"/>
                      <w:highlight w:val="none"/>
                      <w:lang w:val="en-US" w:eastAsia="zh-CN" w:bidi="ar-SA"/>
                    </w:rPr>
                    <w:t>地下水开采</w:t>
                  </w:r>
                  <w:r>
                    <w:rPr>
                      <w:rFonts w:hint="eastAsia" w:ascii="Times New Roman" w:hAnsi="Times New Roman" w:eastAsia="宋体" w:cs="Times New Roman"/>
                      <w:sz w:val="21"/>
                      <w:highlight w:val="none"/>
                      <w:lang w:val="en-US" w:eastAsia="zh-CN" w:bidi="ar-SA"/>
                    </w:rPr>
                    <w:t>，</w:t>
                  </w:r>
                  <w:r>
                    <w:rPr>
                      <w:rFonts w:hint="eastAsia" w:cs="Times New Roman"/>
                      <w:sz w:val="21"/>
                      <w:highlight w:val="none"/>
                      <w:lang w:val="en-US" w:eastAsia="zh-CN" w:bidi="ar-SA"/>
                    </w:rPr>
                    <w:t>依托</w:t>
                  </w:r>
                  <w:r>
                    <w:rPr>
                      <w:rFonts w:hint="eastAsia" w:ascii="Times New Roman" w:hAnsi="Times New Roman" w:eastAsia="宋体" w:cs="Times New Roman"/>
                      <w:sz w:val="21"/>
                      <w:highlight w:val="none"/>
                      <w:lang w:val="en-US" w:eastAsia="zh-CN" w:bidi="ar-SA"/>
                    </w:rPr>
                    <w:t>园区供水系统</w:t>
                  </w:r>
                </w:p>
                <w:p w14:paraId="7BD2A6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contextualSpacing/>
                    <w:jc w:val="both"/>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highlight w:val="none"/>
                      <w:lang w:val="en-US" w:eastAsia="zh-CN" w:bidi="ar-SA"/>
                    </w:rPr>
                    <w:t>②污水</w:t>
                  </w:r>
                  <w:r>
                    <w:rPr>
                      <w:rFonts w:hint="eastAsia" w:ascii="Times New Roman" w:hAnsi="Times New Roman" w:eastAsia="宋体" w:cs="Times New Roman"/>
                      <w:sz w:val="21"/>
                      <w:szCs w:val="21"/>
                      <w:highlight w:val="none"/>
                      <w:lang w:val="en-US" w:eastAsia="zh-CN"/>
                    </w:rPr>
                    <w:t>设置污水处理站</w:t>
                  </w:r>
                  <w:r>
                    <w:rPr>
                      <w:rFonts w:hint="eastAsia" w:ascii="Times New Roman" w:hAnsi="Times New Roman" w:eastAsia="宋体" w:cs="Times New Roman"/>
                      <w:sz w:val="21"/>
                      <w:szCs w:val="21"/>
                      <w:lang w:val="en-US" w:eastAsia="zh-CN"/>
                    </w:rPr>
                    <w:t>（处理能力100m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/d）处理后排入园区管网。</w:t>
                  </w:r>
                </w:p>
                <w:p w14:paraId="02FC1D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contextualSpacing/>
                    <w:jc w:val="both"/>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③</w:t>
                  </w:r>
                  <w:r>
                    <w:rPr>
                      <w:rFonts w:ascii="Times New Roman" w:hAnsi="Times New Roman" w:eastAsia="宋体" w:cs="Times New Roman"/>
                      <w:kern w:val="2"/>
                      <w:sz w:val="21"/>
                      <w:szCs w:val="22"/>
                      <w:lang w:val="en-US" w:eastAsia="zh-CN" w:bidi="ar-SA"/>
                    </w:rPr>
                    <w:t>废气严格控制各类污染物达标排放</w:t>
                  </w:r>
                </w:p>
              </w:tc>
              <w:tc>
                <w:tcPr>
                  <w:tcW w:w="616" w:type="pct"/>
                  <w:tcBorders>
                    <w:tl2br w:val="nil"/>
                    <w:tr2bl w:val="nil"/>
                  </w:tcBorders>
                  <w:noWrap w:val="0"/>
                  <w:vAlign w:val="center"/>
                </w:tcPr>
                <w:p w14:paraId="755E17D1">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符合</w:t>
                  </w:r>
                </w:p>
              </w:tc>
            </w:tr>
            <w:tr w14:paraId="26C61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27" w:type="pct"/>
                  <w:tcBorders>
                    <w:tl2br w:val="nil"/>
                    <w:tr2bl w:val="nil"/>
                  </w:tcBorders>
                  <w:noWrap w:val="0"/>
                  <w:vAlign w:val="center"/>
                </w:tcPr>
                <w:p w14:paraId="5588F073">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资源利用上线</w:t>
                  </w:r>
                </w:p>
              </w:tc>
              <w:tc>
                <w:tcPr>
                  <w:tcW w:w="3110" w:type="pct"/>
                  <w:tcBorders>
                    <w:tl2br w:val="nil"/>
                    <w:tr2bl w:val="nil"/>
                  </w:tcBorders>
                  <w:noWrap w:val="0"/>
                  <w:vAlign w:val="center"/>
                </w:tcPr>
                <w:p w14:paraId="2AFA5243">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宋体" w:eastAsia="宋体" w:cs="宋体"/>
                      <w:kern w:val="2"/>
                      <w:sz w:val="21"/>
                      <w:szCs w:val="22"/>
                      <w:lang w:val="en-US" w:eastAsia="zh-CN" w:bidi="ar-SA"/>
                    </w:rPr>
                    <w:t>强化节约集约利用，持续提升资源能源利用效率，水资源、土地资源、能源消耗等达到国家、自治区下达的总量和强度控制目标，</w:t>
                  </w:r>
                  <w:r>
                    <w:rPr>
                      <w:rFonts w:hint="eastAsia" w:ascii="Times New Roman" w:hAnsi="Times New Roman" w:eastAsia="宋体" w:cs="Times New Roman"/>
                      <w:kern w:val="2"/>
                      <w:sz w:val="21"/>
                      <w:szCs w:val="22"/>
                      <w:lang w:val="en-US" w:eastAsia="zh-CN" w:bidi="ar-SA"/>
                    </w:rPr>
                    <w:t>加快低碳发展，提升碳汇能力，做好碳达峰和碳中和工作</w:t>
                  </w:r>
                </w:p>
              </w:tc>
              <w:tc>
                <w:tcPr>
                  <w:tcW w:w="945" w:type="pct"/>
                  <w:tcBorders>
                    <w:tl2br w:val="nil"/>
                    <w:tr2bl w:val="nil"/>
                  </w:tcBorders>
                  <w:noWrap w:val="0"/>
                  <w:vAlign w:val="center"/>
                </w:tcPr>
                <w:p w14:paraId="016DE8D5">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宋体" w:eastAsia="宋体" w:cs="宋体"/>
                      <w:kern w:val="2"/>
                      <w:sz w:val="21"/>
                      <w:szCs w:val="22"/>
                      <w:lang w:val="en-US" w:eastAsia="zh-CN" w:bidi="ar-SA"/>
                    </w:rPr>
                    <w:t>本项目严格执行污染物总量控制指标</w:t>
                  </w:r>
                </w:p>
              </w:tc>
              <w:tc>
                <w:tcPr>
                  <w:tcW w:w="616" w:type="pct"/>
                  <w:tcBorders>
                    <w:tl2br w:val="nil"/>
                    <w:tr2bl w:val="nil"/>
                  </w:tcBorders>
                  <w:noWrap w:val="0"/>
                  <w:vAlign w:val="center"/>
                </w:tcPr>
                <w:p w14:paraId="2137956A">
                  <w:pPr>
                    <w:widowControl w:val="0"/>
                    <w:spacing w:line="240" w:lineRule="auto"/>
                    <w:ind w:left="0" w:firstLine="0" w:firstLineChars="0"/>
                    <w:contextualSpacing/>
                    <w:jc w:val="center"/>
                    <w:textAlignment w:val="center"/>
                    <w:outlineLvl w:val="9"/>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符合</w:t>
                  </w:r>
                </w:p>
              </w:tc>
            </w:tr>
          </w:tbl>
          <w:p w14:paraId="79943EA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表1-5   轮台工业园重点管控单元（ZH65282730001）生态环境管控要求</w:t>
            </w:r>
          </w:p>
          <w:tbl>
            <w:tblPr>
              <w:tblStyle w:val="21"/>
              <w:tblW w:w="4914" w:type="pct"/>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3382"/>
              <w:gridCol w:w="2011"/>
              <w:gridCol w:w="681"/>
            </w:tblGrid>
            <w:tr w14:paraId="7A87E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4" w:type="pct"/>
                  <w:tcBorders>
                    <w:tl2br w:val="nil"/>
                    <w:tr2bl w:val="nil"/>
                  </w:tcBorders>
                  <w:noWrap w:val="0"/>
                  <w:vAlign w:val="center"/>
                </w:tcPr>
                <w:p w14:paraId="4228DF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管控类型</w:t>
                  </w:r>
                </w:p>
              </w:tc>
              <w:tc>
                <w:tcPr>
                  <w:tcW w:w="2558" w:type="pct"/>
                  <w:tcBorders>
                    <w:tl2br w:val="nil"/>
                    <w:tr2bl w:val="nil"/>
                  </w:tcBorders>
                  <w:noWrap w:val="0"/>
                  <w:vAlign w:val="center"/>
                </w:tcPr>
                <w:p w14:paraId="5D7B00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管控要求</w:t>
                  </w:r>
                </w:p>
              </w:tc>
              <w:tc>
                <w:tcPr>
                  <w:tcW w:w="1521" w:type="pct"/>
                  <w:tcBorders>
                    <w:tl2br w:val="nil"/>
                    <w:tr2bl w:val="nil"/>
                  </w:tcBorders>
                  <w:noWrap w:val="0"/>
                  <w:vAlign w:val="center"/>
                </w:tcPr>
                <w:p w14:paraId="122C48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本项目</w:t>
                  </w:r>
                </w:p>
              </w:tc>
              <w:tc>
                <w:tcPr>
                  <w:tcW w:w="515" w:type="pct"/>
                  <w:tcBorders>
                    <w:tl2br w:val="nil"/>
                    <w:tr2bl w:val="nil"/>
                  </w:tcBorders>
                  <w:noWrap w:val="0"/>
                  <w:vAlign w:val="center"/>
                </w:tcPr>
                <w:p w14:paraId="5D897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符合性</w:t>
                  </w:r>
                </w:p>
              </w:tc>
            </w:tr>
            <w:tr w14:paraId="537A9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4" w:type="pct"/>
                  <w:tcBorders>
                    <w:tl2br w:val="nil"/>
                    <w:tr2bl w:val="nil"/>
                  </w:tcBorders>
                  <w:noWrap w:val="0"/>
                  <w:vAlign w:val="center"/>
                </w:tcPr>
                <w:p w14:paraId="7FCA1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空间布局约束</w:t>
                  </w:r>
                </w:p>
              </w:tc>
              <w:tc>
                <w:tcPr>
                  <w:tcW w:w="2558" w:type="pct"/>
                  <w:tcBorders>
                    <w:tl2br w:val="nil"/>
                    <w:tr2bl w:val="nil"/>
                  </w:tcBorders>
                  <w:noWrap w:val="0"/>
                  <w:vAlign w:val="center"/>
                </w:tcPr>
                <w:p w14:paraId="15704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禁止引进能(水)耗不符合相关国家标准中准入值要求，且污染物排放和环境风险防控不符合国家(地方)标准及有关产业准入条件的高污染(排放)、高能(水)耗、高环境风险的工业项目。</w:t>
                  </w:r>
                </w:p>
              </w:tc>
              <w:tc>
                <w:tcPr>
                  <w:tcW w:w="1521" w:type="pct"/>
                  <w:tcBorders>
                    <w:tl2br w:val="nil"/>
                    <w:tr2bl w:val="nil"/>
                  </w:tcBorders>
                  <w:noWrap w:val="0"/>
                  <w:vAlign w:val="center"/>
                </w:tcPr>
                <w:p w14:paraId="683AC5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本项目不涉及</w:t>
                  </w:r>
                  <w:r>
                    <w:rPr>
                      <w:rFonts w:hint="eastAsia" w:ascii="Times New Roman" w:hAnsi="Times New Roman" w:eastAsia="宋体" w:cs="Times New Roman"/>
                      <w:color w:val="000000"/>
                      <w:sz w:val="21"/>
                      <w:szCs w:val="21"/>
                      <w:highlight w:val="none"/>
                      <w:lang w:val="en-US" w:eastAsia="zh-CN"/>
                    </w:rPr>
                    <w:t>两高一资项目</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项目属于植物油加工项目</w:t>
                  </w:r>
                  <w:r>
                    <w:rPr>
                      <w:rFonts w:ascii="Times New Roman" w:hAnsi="Times New Roman" w:eastAsia="宋体" w:cs="Times New Roman"/>
                      <w:color w:val="000000"/>
                      <w:sz w:val="21"/>
                      <w:szCs w:val="21"/>
                      <w:highlight w:val="none"/>
                    </w:rPr>
                    <w:t>，不属于重点排污单位，且各项污染物均可达标排放</w:t>
                  </w:r>
                </w:p>
              </w:tc>
              <w:tc>
                <w:tcPr>
                  <w:tcW w:w="515" w:type="pct"/>
                  <w:tcBorders>
                    <w:tl2br w:val="nil"/>
                    <w:tr2bl w:val="nil"/>
                  </w:tcBorders>
                  <w:noWrap w:val="0"/>
                  <w:vAlign w:val="center"/>
                </w:tcPr>
                <w:p w14:paraId="7CF68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符合</w:t>
                  </w:r>
                </w:p>
              </w:tc>
            </w:tr>
            <w:tr w14:paraId="58013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404" w:type="pct"/>
                  <w:tcBorders>
                    <w:tl2br w:val="nil"/>
                    <w:tr2bl w:val="nil"/>
                  </w:tcBorders>
                  <w:noWrap w:val="0"/>
                  <w:vAlign w:val="center"/>
                </w:tcPr>
                <w:p w14:paraId="5A0EBC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污染物排放管控</w:t>
                  </w:r>
                </w:p>
              </w:tc>
              <w:tc>
                <w:tcPr>
                  <w:tcW w:w="2558" w:type="pct"/>
                  <w:tcBorders>
                    <w:tl2br w:val="nil"/>
                    <w:tr2bl w:val="nil"/>
                  </w:tcBorders>
                  <w:noWrap w:val="0"/>
                  <w:vAlign w:val="center"/>
                </w:tcPr>
                <w:p w14:paraId="5FFB6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1.大气排放污染物的企业事业单位和其他生产经营者应当履行大气污染防治的法定义务，执行大气污染物排放标准，遵守大气污染物排放总量控制要求。</w:t>
                  </w:r>
                </w:p>
                <w:p w14:paraId="052BC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实施挥发性有机物及恶臭治理。加快石化企业脱硫以及动力车间脱硫、脱硝工作，加强罐区油气治理、装卸储运油气回收以及工艺废气挥发性有机物治理、恶臭治理。积极推进陶瓷、玻璃、砖瓦等建材行业二氧化硫、烟粉尘控制。在石化、有机化工、煤化工等重点行业开展挥发性有机物综合治理，在石化行业开展“泄漏检测与修复”技术改造。建立挥发性有机物重点监管企业名录。积极推进加油站、储油库和油罐车开展油气回收，完成所有加油站、储油库和油罐车油气回收治理。</w:t>
                  </w:r>
                </w:p>
                <w:p w14:paraId="767FAA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3.防治地下水污染。石化生产存贮销售企业和工业园区等区域应进行必要的防渗处理。加油站地下油罐全部更新为双层罐或完成防渗池设置</w:t>
                  </w:r>
                </w:p>
              </w:tc>
              <w:tc>
                <w:tcPr>
                  <w:tcW w:w="1521" w:type="pct"/>
                  <w:tcBorders>
                    <w:tl2br w:val="nil"/>
                    <w:tr2bl w:val="nil"/>
                  </w:tcBorders>
                  <w:noWrap w:val="0"/>
                  <w:vAlign w:val="center"/>
                </w:tcPr>
                <w:p w14:paraId="64D426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ascii="Times New Roman" w:hAnsi="Times New Roman" w:eastAsia="宋体" w:cs="Times New Roman"/>
                      <w:color w:val="000000"/>
                      <w:kern w:val="2"/>
                      <w:sz w:val="21"/>
                      <w:szCs w:val="21"/>
                      <w:highlight w:val="none"/>
                      <w:lang w:val="en-US" w:eastAsia="en-US" w:bidi="ar-SA"/>
                    </w:rPr>
                  </w:pPr>
                  <w:r>
                    <w:rPr>
                      <w:rFonts w:hint="eastAsia" w:ascii="Times New Roman" w:hAnsi="Times New Roman" w:eastAsia="宋体" w:cs="Times New Roman"/>
                      <w:b w:val="0"/>
                      <w:bCs w:val="0"/>
                      <w:color w:val="auto"/>
                      <w:kern w:val="2"/>
                      <w:sz w:val="21"/>
                      <w:szCs w:val="21"/>
                      <w:lang w:val="en-US" w:eastAsia="zh-CN" w:bidi="ar-SA"/>
                    </w:rPr>
                    <w:t>本</w:t>
                  </w:r>
                  <w:r>
                    <w:rPr>
                      <w:rFonts w:hint="default" w:ascii="Times New Roman" w:hAnsi="Times New Roman" w:eastAsia="宋体" w:cs="Times New Roman"/>
                      <w:b w:val="0"/>
                      <w:bCs w:val="0"/>
                      <w:color w:val="auto"/>
                      <w:kern w:val="2"/>
                      <w:sz w:val="21"/>
                      <w:szCs w:val="21"/>
                      <w:lang w:val="en-US" w:eastAsia="en-US" w:bidi="ar-SA"/>
                    </w:rPr>
                    <w:t>项目属于</w:t>
                  </w:r>
                  <w:r>
                    <w:rPr>
                      <w:rFonts w:hint="eastAsia" w:ascii="Times New Roman" w:hAnsi="Times New Roman" w:eastAsia="宋体" w:cs="Times New Roman"/>
                      <w:b w:val="0"/>
                      <w:bCs w:val="0"/>
                      <w:color w:val="auto"/>
                      <w:kern w:val="2"/>
                      <w:sz w:val="21"/>
                      <w:szCs w:val="21"/>
                      <w:lang w:val="en-US" w:eastAsia="zh-CN" w:bidi="ar-SA"/>
                    </w:rPr>
                    <w:t>植物油加工</w:t>
                  </w:r>
                  <w:r>
                    <w:rPr>
                      <w:rFonts w:hint="default" w:ascii="Times New Roman" w:hAnsi="Times New Roman" w:eastAsia="宋体" w:cs="Times New Roman"/>
                      <w:b w:val="0"/>
                      <w:bCs w:val="0"/>
                      <w:color w:val="auto"/>
                      <w:kern w:val="2"/>
                      <w:sz w:val="21"/>
                      <w:szCs w:val="21"/>
                      <w:lang w:val="en-US" w:eastAsia="zh-CN" w:bidi="ar-SA"/>
                    </w:rPr>
                    <w:t>项目</w:t>
                  </w:r>
                  <w:r>
                    <w:rPr>
                      <w:rFonts w:hint="default" w:ascii="Times New Roman" w:hAnsi="Times New Roman" w:eastAsia="宋体" w:cs="Times New Roman"/>
                      <w:b w:val="0"/>
                      <w:bCs w:val="0"/>
                      <w:color w:val="auto"/>
                      <w:kern w:val="2"/>
                      <w:sz w:val="21"/>
                      <w:szCs w:val="21"/>
                      <w:lang w:val="en-US" w:eastAsia="en-US" w:bidi="ar-SA"/>
                    </w:rPr>
                    <w:t>，</w:t>
                  </w:r>
                  <w:r>
                    <w:rPr>
                      <w:rFonts w:hint="eastAsia" w:ascii="Times New Roman" w:hAnsi="Times New Roman" w:eastAsia="宋体" w:cs="Times New Roman"/>
                      <w:b w:val="0"/>
                      <w:bCs w:val="0"/>
                      <w:color w:val="auto"/>
                      <w:kern w:val="2"/>
                      <w:sz w:val="21"/>
                      <w:szCs w:val="21"/>
                      <w:lang w:val="en-US" w:eastAsia="zh-CN" w:bidi="ar-SA"/>
                    </w:rPr>
                    <w:t>项目废气、废水、噪声得到了有效处理，各产污环节均能达标排放。</w:t>
                  </w:r>
                </w:p>
              </w:tc>
              <w:tc>
                <w:tcPr>
                  <w:tcW w:w="515" w:type="pct"/>
                  <w:tcBorders>
                    <w:tl2br w:val="nil"/>
                    <w:tr2bl w:val="nil"/>
                  </w:tcBorders>
                  <w:noWrap w:val="0"/>
                  <w:vAlign w:val="center"/>
                </w:tcPr>
                <w:p w14:paraId="2AA49F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yellow"/>
                    </w:rPr>
                  </w:pPr>
                  <w:r>
                    <w:rPr>
                      <w:rFonts w:ascii="Times New Roman" w:hAnsi="Times New Roman" w:eastAsia="宋体" w:cs="Times New Roman"/>
                      <w:color w:val="000000"/>
                      <w:sz w:val="21"/>
                      <w:szCs w:val="21"/>
                      <w:highlight w:val="none"/>
                    </w:rPr>
                    <w:t>符合</w:t>
                  </w:r>
                </w:p>
              </w:tc>
            </w:tr>
            <w:tr w14:paraId="19AE7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4" w:type="pct"/>
                  <w:tcBorders>
                    <w:tl2br w:val="nil"/>
                    <w:tr2bl w:val="nil"/>
                  </w:tcBorders>
                  <w:noWrap w:val="0"/>
                  <w:vAlign w:val="center"/>
                </w:tcPr>
                <w:p w14:paraId="24AE1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环境风险防控</w:t>
                  </w:r>
                </w:p>
              </w:tc>
              <w:tc>
                <w:tcPr>
                  <w:tcW w:w="2558" w:type="pct"/>
                  <w:tcBorders>
                    <w:tl2br w:val="nil"/>
                    <w:tr2bl w:val="nil"/>
                  </w:tcBorders>
                  <w:noWrap w:val="0"/>
                  <w:vAlign w:val="center"/>
                </w:tcPr>
                <w:p w14:paraId="33164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1.定期评估地下水环境安全隐患，检查重点工业企业周边地下水污染状况，并定期公布污染地下水的企业名单。公布环境风险大、严重影响公众健康的地下水污染场地清单，开展修复</w:t>
                  </w:r>
                </w:p>
                <w:p w14:paraId="1BC6D8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试点。</w:t>
                  </w:r>
                </w:p>
                <w:p w14:paraId="6B6E82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2.重点排污单位应当根据所在地重污染天气应急预案，编制本单位重污染天气应急响应方案。</w:t>
                  </w:r>
                </w:p>
                <w:p w14:paraId="03019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3.土壤环境重点监管企业全部纳入监督性环境监测范围，重点监测污染物为</w:t>
                  </w:r>
                  <w:r>
                    <w:rPr>
                      <w:rFonts w:hint="eastAsia" w:cs="Times New Roman"/>
                      <w:color w:val="000000"/>
                      <w:sz w:val="21"/>
                      <w:szCs w:val="21"/>
                      <w:highlight w:val="none"/>
                      <w:lang w:val="en-US" w:eastAsia="zh-CN"/>
                    </w:rPr>
                    <w:t>镉</w:t>
                  </w:r>
                  <w:r>
                    <w:rPr>
                      <w:rFonts w:hint="default" w:ascii="Times New Roman" w:hAnsi="Times New Roman" w:eastAsia="宋体" w:cs="Times New Roman"/>
                      <w:color w:val="000000"/>
                      <w:sz w:val="21"/>
                      <w:szCs w:val="21"/>
                      <w:highlight w:val="none"/>
                      <w:lang w:val="en-US" w:eastAsia="zh-CN"/>
                    </w:rPr>
                    <w:t>、汞、珅、铅、</w:t>
                  </w:r>
                  <w:r>
                    <w:rPr>
                      <w:rFonts w:hint="eastAsia" w:cs="Times New Roman"/>
                      <w:color w:val="000000"/>
                      <w:sz w:val="21"/>
                      <w:szCs w:val="21"/>
                      <w:highlight w:val="none"/>
                      <w:lang w:val="en-US" w:eastAsia="zh-CN"/>
                    </w:rPr>
                    <w:t>铬</w:t>
                  </w:r>
                  <w:r>
                    <w:rPr>
                      <w:rFonts w:hint="default" w:ascii="Times New Roman" w:hAnsi="Times New Roman" w:eastAsia="宋体" w:cs="Times New Roman"/>
                      <w:color w:val="000000"/>
                      <w:sz w:val="21"/>
                      <w:szCs w:val="21"/>
                      <w:highlight w:val="none"/>
                      <w:lang w:val="en-US" w:eastAsia="zh-CN"/>
                    </w:rPr>
                    <w:t>等重金属和多环芳烃、石油类等有机污染物。土壤环境监管重点行业企业拆除生产设施设备、构筑物和污染治理设施，要事先制定残留污染物清理和安全处置方案，并报所在地环境保护、工业和信息化部门备案:要严格按照有关规定实施安全处理处置，防范拆除活动污染土壤</w:t>
                  </w:r>
                </w:p>
              </w:tc>
              <w:tc>
                <w:tcPr>
                  <w:tcW w:w="1521" w:type="pct"/>
                  <w:tcBorders>
                    <w:tl2br w:val="nil"/>
                    <w:tr2bl w:val="nil"/>
                  </w:tcBorders>
                  <w:noWrap w:val="0"/>
                  <w:vAlign w:val="center"/>
                </w:tcPr>
                <w:p w14:paraId="56CF65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本项目采取有效的废气、废水、噪声、固废处置措施和环境风险防控措施，可降低对区域生态环境质量和生态环境风险的影响。</w:t>
                  </w:r>
                </w:p>
              </w:tc>
              <w:tc>
                <w:tcPr>
                  <w:tcW w:w="515" w:type="pct"/>
                  <w:tcBorders>
                    <w:tl2br w:val="nil"/>
                    <w:tr2bl w:val="nil"/>
                  </w:tcBorders>
                  <w:noWrap w:val="0"/>
                  <w:vAlign w:val="center"/>
                </w:tcPr>
                <w:p w14:paraId="5EADF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符合</w:t>
                  </w:r>
                </w:p>
              </w:tc>
            </w:tr>
            <w:tr w14:paraId="5D7DE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04" w:type="pct"/>
                  <w:tcBorders>
                    <w:tl2br w:val="nil"/>
                    <w:tr2bl w:val="nil"/>
                  </w:tcBorders>
                  <w:noWrap w:val="0"/>
                  <w:vAlign w:val="center"/>
                </w:tcPr>
                <w:p w14:paraId="5ACEB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资源利用效率</w:t>
                  </w:r>
                </w:p>
              </w:tc>
              <w:tc>
                <w:tcPr>
                  <w:tcW w:w="2558" w:type="pct"/>
                  <w:tcBorders>
                    <w:tl2br w:val="nil"/>
                    <w:tr2bl w:val="nil"/>
                  </w:tcBorders>
                  <w:noWrap w:val="0"/>
                  <w:vAlign w:val="center"/>
                </w:tcPr>
                <w:p w14:paraId="5243F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1.在集中供热未覆盖的区域，鼓励使用清洁能源替代，推广使用高效节能环保型锅炉。</w:t>
                  </w:r>
                </w:p>
                <w:p w14:paraId="47328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2.制定促进再生水利用的政策，以城市及产业集聚区为重点，实施再生水利用工程，完善再生水利用设施，工业生产、城市绿化、道路清扫、车辆冲洗、建筑施工以及生态景观等用水，要优先使用再生水。</w:t>
                  </w:r>
                </w:p>
              </w:tc>
              <w:tc>
                <w:tcPr>
                  <w:tcW w:w="1521" w:type="pct"/>
                  <w:tcBorders>
                    <w:tl2br w:val="nil"/>
                    <w:tr2bl w:val="nil"/>
                  </w:tcBorders>
                  <w:noWrap w:val="0"/>
                  <w:vAlign w:val="center"/>
                </w:tcPr>
                <w:p w14:paraId="5E0D13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本项目供热采用15t燃气锅炉，燃料为园区供气，并配有低氮燃烧技术+8m高排气筒排放，符合要求；水利用采用循环水池本项目循环水利用率大于70%，污水采用厂区污水处理站处理。</w:t>
                  </w:r>
                </w:p>
              </w:tc>
              <w:tc>
                <w:tcPr>
                  <w:tcW w:w="515" w:type="pct"/>
                  <w:tcBorders>
                    <w:tl2br w:val="nil"/>
                    <w:tr2bl w:val="nil"/>
                  </w:tcBorders>
                  <w:noWrap w:val="0"/>
                  <w:vAlign w:val="center"/>
                </w:tcPr>
                <w:p w14:paraId="71557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color w:val="000000"/>
                      <w:sz w:val="21"/>
                      <w:szCs w:val="21"/>
                      <w:highlight w:val="yellow"/>
                    </w:rPr>
                  </w:pPr>
                  <w:r>
                    <w:rPr>
                      <w:rFonts w:ascii="Times New Roman" w:hAnsi="Times New Roman" w:eastAsia="宋体" w:cs="Times New Roman"/>
                      <w:color w:val="000000"/>
                      <w:sz w:val="21"/>
                      <w:szCs w:val="21"/>
                      <w:highlight w:val="none"/>
                    </w:rPr>
                    <w:t>符合</w:t>
                  </w:r>
                </w:p>
              </w:tc>
            </w:tr>
          </w:tbl>
          <w:p w14:paraId="2F855EEA">
            <w:pPr>
              <w:widowControl w:val="0"/>
              <w:numPr>
                <w:ilvl w:val="0"/>
                <w:numId w:val="0"/>
              </w:numPr>
              <w:spacing w:before="120" w:after="120" w:line="240" w:lineRule="auto"/>
              <w:jc w:val="left"/>
              <w:outlineLvl w:val="9"/>
              <w:rPr>
                <w:rFonts w:hint="eastAsia"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bCs/>
                <w:kern w:val="2"/>
                <w:sz w:val="24"/>
                <w:szCs w:val="32"/>
                <w:lang w:val="en-US" w:eastAsia="zh-CN" w:bidi="ar-SA"/>
              </w:rPr>
              <w:t>3 与其他符合性分析</w:t>
            </w:r>
          </w:p>
          <w:p w14:paraId="3F6C485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表1-6    环境规划符合性分析</w:t>
            </w:r>
          </w:p>
          <w:tbl>
            <w:tblPr>
              <w:tblStyle w:val="21"/>
              <w:tblW w:w="496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94"/>
              <w:gridCol w:w="2874"/>
              <w:gridCol w:w="1642"/>
              <w:gridCol w:w="662"/>
            </w:tblGrid>
            <w:tr w14:paraId="7AD2A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9" w:type="pct"/>
                  <w:tcBorders>
                    <w:tl2br w:val="nil"/>
                    <w:tr2bl w:val="nil"/>
                  </w:tcBorders>
                  <w:noWrap w:val="0"/>
                  <w:vAlign w:val="center"/>
                </w:tcPr>
                <w:p w14:paraId="14EA0FB6">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bookmarkStart w:id="1" w:name="_Hlk97245357"/>
                  <w:r>
                    <w:rPr>
                      <w:rFonts w:hint="eastAsia" w:ascii="Times New Roman" w:hAnsi="Times New Roman" w:eastAsia="宋体" w:cs="Times New Roman"/>
                      <w:sz w:val="21"/>
                      <w:szCs w:val="21"/>
                    </w:rPr>
                    <w:t>规划</w:t>
                  </w:r>
                </w:p>
              </w:tc>
              <w:tc>
                <w:tcPr>
                  <w:tcW w:w="2153" w:type="pct"/>
                  <w:tcBorders>
                    <w:tl2br w:val="nil"/>
                    <w:tr2bl w:val="nil"/>
                  </w:tcBorders>
                  <w:noWrap w:val="0"/>
                  <w:vAlign w:val="center"/>
                </w:tcPr>
                <w:p w14:paraId="69023714">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规划要求</w:t>
                  </w:r>
                </w:p>
              </w:tc>
              <w:tc>
                <w:tcPr>
                  <w:tcW w:w="1230" w:type="pct"/>
                  <w:tcBorders>
                    <w:tl2br w:val="nil"/>
                    <w:tr2bl w:val="nil"/>
                  </w:tcBorders>
                  <w:noWrap w:val="0"/>
                  <w:vAlign w:val="center"/>
                </w:tcPr>
                <w:p w14:paraId="171E490B">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本项目情况</w:t>
                  </w:r>
                </w:p>
              </w:tc>
              <w:tc>
                <w:tcPr>
                  <w:tcW w:w="496" w:type="pct"/>
                  <w:tcBorders>
                    <w:tl2br w:val="nil"/>
                    <w:tr2bl w:val="nil"/>
                  </w:tcBorders>
                  <w:noWrap w:val="0"/>
                  <w:vAlign w:val="center"/>
                </w:tcPr>
                <w:p w14:paraId="48C2A339">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符合性</w:t>
                  </w:r>
                </w:p>
              </w:tc>
            </w:tr>
            <w:tr w14:paraId="4234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9" w:type="pct"/>
                  <w:tcBorders>
                    <w:tl2br w:val="nil"/>
                    <w:tr2bl w:val="nil"/>
                  </w:tcBorders>
                  <w:noWrap w:val="0"/>
                  <w:vAlign w:val="center"/>
                </w:tcPr>
                <w:p w14:paraId="79B209B2">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巴音郭楞蒙古自治州国民经济和社会发展第十四个五年规划和二〇三五年远景目标纲要</w:t>
                  </w:r>
                </w:p>
              </w:tc>
              <w:tc>
                <w:tcPr>
                  <w:tcW w:w="2153" w:type="pct"/>
                  <w:tcBorders>
                    <w:tl2br w:val="nil"/>
                    <w:tr2bl w:val="nil"/>
                  </w:tcBorders>
                  <w:noWrap w:val="0"/>
                  <w:vAlign w:val="center"/>
                </w:tcPr>
                <w:p w14:paraId="47F63EF7">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实行最严格的生态保护制度，严禁“三高”项目进巴州，严格执行能源、矿产资源开发自治区政府“一支笔”审批制度，守住生态保护红线、环境质量底线和自然资源利用上线。实行最严格的水资源管理制度，严守水资源开发利用控制、用水效率控制和水功能区限制纳污“三条红线”。全面实施生态保护补偿制度，探索开展上下游间生态补偿试点。整合行业及兵地监测资源，建立统一的山水林田湖草沙监测网络，加强资源环境承载能力监测预警，开展重点区域资源环境承载能力评估，构建资源环境承载能力监测预警长效机制。实施排污许可管理，建立完善覆盖所有固定污染源的企业排放许可制度。健全领导干部政绩考核制度，实施主要领导干部自然资源资产离任审计与责任追究制度。；</w:t>
                  </w:r>
                </w:p>
              </w:tc>
              <w:tc>
                <w:tcPr>
                  <w:tcW w:w="1230" w:type="pct"/>
                  <w:tcBorders>
                    <w:tl2br w:val="nil"/>
                    <w:tr2bl w:val="nil"/>
                  </w:tcBorders>
                  <w:noWrap w:val="0"/>
                  <w:vAlign w:val="center"/>
                </w:tcPr>
                <w:p w14:paraId="378907E2">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本项目</w:t>
                  </w:r>
                  <w:r>
                    <w:rPr>
                      <w:rFonts w:hint="eastAsia" w:ascii="Times New Roman" w:hAnsi="Times New Roman" w:eastAsia="宋体" w:cs="Times New Roman"/>
                      <w:sz w:val="21"/>
                      <w:szCs w:val="21"/>
                      <w:lang w:val="en-US" w:eastAsia="zh-CN"/>
                    </w:rPr>
                    <w:t>为植物油加工项目</w:t>
                  </w:r>
                  <w:r>
                    <w:rPr>
                      <w:rFonts w:hint="eastAsia" w:ascii="Times New Roman" w:hAnsi="Times New Roman" w:eastAsia="宋体" w:cs="Times New Roman"/>
                      <w:sz w:val="21"/>
                      <w:szCs w:val="21"/>
                    </w:rPr>
                    <w:t>，符合巴音郭楞蒙古自治州国民经济和社会发展第十四个五年规划和二〇三五年远景目标纲要</w:t>
                  </w:r>
                </w:p>
              </w:tc>
              <w:tc>
                <w:tcPr>
                  <w:tcW w:w="496" w:type="pct"/>
                  <w:tcBorders>
                    <w:tl2br w:val="nil"/>
                    <w:tr2bl w:val="nil"/>
                  </w:tcBorders>
                  <w:noWrap w:val="0"/>
                  <w:vAlign w:val="center"/>
                </w:tcPr>
                <w:p w14:paraId="2C40285E">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73702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9" w:type="pct"/>
                  <w:tcBorders>
                    <w:tl2br w:val="nil"/>
                    <w:tr2bl w:val="nil"/>
                  </w:tcBorders>
                  <w:noWrap w:val="0"/>
                  <w:vAlign w:val="center"/>
                </w:tcPr>
                <w:p w14:paraId="49325FEC">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新疆生态环境保护</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十四五</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规划</w:t>
                  </w:r>
                </w:p>
              </w:tc>
              <w:tc>
                <w:tcPr>
                  <w:tcW w:w="2153" w:type="pct"/>
                  <w:tcBorders>
                    <w:tl2br w:val="nil"/>
                    <w:tr2bl w:val="nil"/>
                  </w:tcBorders>
                  <w:noWrap w:val="0"/>
                  <w:vAlign w:val="center"/>
                </w:tcPr>
                <w:p w14:paraId="305BDB5B">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《新疆生态环境保护</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十四五</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规划》第三章坚持创新引领，推动绿色低碳发展第一节完善绿色发展机制提出：健全国土空间开发保护制度。完善国土空间规划体系，划定并严格落实</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三区三线</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明晰生态、农业、城镇三类空间及生态保护红线、永久基本农田、城镇开发边界三条控制线，持续优化城市化地区、农产品产区、生态功能区布局。合理确定新增建设用地规模，严格控制建设项目土地使用标准，提高资源利用效率。强化国土空间用途管制，对国土空间分级分类实施管控，推动形成优势互补、绿色低碳、高质量发展的区域经济布局。严格落实国家绿色产业指导目录标准，依法依规把好土地审批供应关，加强建设用地准入监管。</w:t>
                  </w:r>
                </w:p>
              </w:tc>
              <w:tc>
                <w:tcPr>
                  <w:tcW w:w="1230" w:type="pct"/>
                  <w:tcBorders>
                    <w:tl2br w:val="nil"/>
                    <w:tr2bl w:val="nil"/>
                  </w:tcBorders>
                  <w:noWrap w:val="0"/>
                  <w:vAlign w:val="center"/>
                </w:tcPr>
                <w:p w14:paraId="597B4BF0">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b w:val="0"/>
                      <w:bCs w:val="0"/>
                      <w:color w:val="auto"/>
                      <w:sz w:val="21"/>
                      <w:szCs w:val="21"/>
                      <w:lang w:val="en-US" w:eastAsia="zh-CN"/>
                    </w:rPr>
                    <w:t>本项目位于轮台县红桥工业园中的农副产品加工区内，用地符合要求，</w:t>
                  </w:r>
                  <w:r>
                    <w:rPr>
                      <w:rFonts w:hint="default"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b w:val="0"/>
                      <w:bCs w:val="0"/>
                      <w:color w:val="auto"/>
                      <w:sz w:val="21"/>
                      <w:szCs w:val="21"/>
                      <w:lang w:val="en-US" w:eastAsia="zh-CN"/>
                    </w:rPr>
                    <w:t>采取各项环保措施避免环境污染。</w:t>
                  </w:r>
                </w:p>
              </w:tc>
              <w:tc>
                <w:tcPr>
                  <w:tcW w:w="496" w:type="pct"/>
                  <w:tcBorders>
                    <w:tl2br w:val="nil"/>
                    <w:tr2bl w:val="nil"/>
                  </w:tcBorders>
                  <w:noWrap w:val="0"/>
                  <w:vAlign w:val="center"/>
                </w:tcPr>
                <w:p w14:paraId="0958F89A">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1BB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3" w:hRule="atLeast"/>
                <w:jc w:val="center"/>
              </w:trPr>
              <w:tc>
                <w:tcPr>
                  <w:tcW w:w="1119" w:type="pct"/>
                  <w:tcBorders>
                    <w:tl2br w:val="nil"/>
                    <w:tr2bl w:val="nil"/>
                  </w:tcBorders>
                  <w:noWrap w:val="0"/>
                  <w:vAlign w:val="center"/>
                </w:tcPr>
                <w:p w14:paraId="344C4AF0">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新疆维吾尔自治区环境保护条例</w:t>
                  </w:r>
                </w:p>
              </w:tc>
              <w:tc>
                <w:tcPr>
                  <w:tcW w:w="2153" w:type="pct"/>
                  <w:tcBorders>
                    <w:tl2br w:val="nil"/>
                    <w:tr2bl w:val="nil"/>
                  </w:tcBorders>
                  <w:noWrap w:val="0"/>
                  <w:vAlign w:val="center"/>
                </w:tcPr>
                <w:p w14:paraId="454B527F">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both"/>
                    <w:textAlignment w:val="auto"/>
                    <w:outlineLvl w:val="9"/>
                    <w:rPr>
                      <w:rFonts w:hint="eastAsia"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第二十六条</w:t>
                  </w:r>
                  <w:r>
                    <w:rPr>
                      <w:rFonts w:hint="eastAsia" w:ascii="Times New Roman" w:hAnsi="Times New Roman" w:eastAsia="宋体" w:cs="Times New Roman"/>
                      <w:sz w:val="21"/>
                      <w:szCs w:val="21"/>
                      <w:shd w:val="clear" w:color="auto" w:fill="FFFFFF"/>
                      <w:lang w:val="en-US" w:eastAsia="zh-CN"/>
                    </w:rPr>
                    <w:t xml:space="preserve"> </w:t>
                  </w:r>
                  <w:r>
                    <w:rPr>
                      <w:rFonts w:hint="eastAsia" w:ascii="Times New Roman" w:hAnsi="Times New Roman" w:eastAsia="宋体" w:cs="Times New Roman"/>
                      <w:sz w:val="21"/>
                      <w:szCs w:val="21"/>
                      <w:shd w:val="clear" w:color="auto" w:fill="FFFFFF"/>
                    </w:rPr>
                    <w:t>县级以上人民政府可以根据环境质量的需要，划定并公布高污染燃料禁燃区。在禁燃区内，禁止销售、燃用原煤、粉煤、各种可燃废物等高污染燃料；禁止新建、扩建燃用高污染燃料的设施，已建设成的，应当在规定的期限内改用清洁能源</w:t>
                  </w:r>
                </w:p>
              </w:tc>
              <w:tc>
                <w:tcPr>
                  <w:tcW w:w="1230" w:type="pct"/>
                  <w:tcBorders>
                    <w:tl2br w:val="nil"/>
                    <w:tr2bl w:val="nil"/>
                  </w:tcBorders>
                  <w:noWrap w:val="0"/>
                  <w:vAlign w:val="center"/>
                </w:tcPr>
                <w:p w14:paraId="29E14152">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本项目园区无供热管网，项目新建15t燃气锅炉，采用清洁能源，不属于高污染，高耗能项目</w:t>
                  </w:r>
                </w:p>
              </w:tc>
              <w:tc>
                <w:tcPr>
                  <w:tcW w:w="496" w:type="pct"/>
                  <w:tcBorders>
                    <w:tl2br w:val="nil"/>
                    <w:tr2bl w:val="nil"/>
                  </w:tcBorders>
                  <w:noWrap w:val="0"/>
                  <w:vAlign w:val="center"/>
                </w:tcPr>
                <w:p w14:paraId="6CB92AF9">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6FA46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9" w:type="pct"/>
                  <w:tcBorders>
                    <w:tl2br w:val="nil"/>
                    <w:tr2bl w:val="nil"/>
                  </w:tcBorders>
                  <w:noWrap w:val="0"/>
                  <w:vAlign w:val="center"/>
                </w:tcPr>
                <w:p w14:paraId="67B45E4D">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新疆维吾尔自治区主体功能区规划</w:t>
                  </w:r>
                </w:p>
              </w:tc>
              <w:tc>
                <w:tcPr>
                  <w:tcW w:w="2153" w:type="pct"/>
                  <w:tcBorders>
                    <w:tl2br w:val="nil"/>
                    <w:tr2bl w:val="nil"/>
                  </w:tcBorders>
                  <w:noWrap w:val="0"/>
                  <w:vAlign w:val="center"/>
                </w:tcPr>
                <w:p w14:paraId="5C770705">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根据主体功能区开发的理念，结合新疆独特的自然地理状况和新时期跨越式发展的需要，本规划将新疆国土空间划分为重点开发、限制开发和禁止开发区域；按开发内容，分为城市化地区、农产品主产区和重点生态功能区</w:t>
                  </w:r>
                </w:p>
              </w:tc>
              <w:tc>
                <w:tcPr>
                  <w:tcW w:w="1230" w:type="pct"/>
                  <w:tcBorders>
                    <w:tl2br w:val="nil"/>
                    <w:tr2bl w:val="nil"/>
                  </w:tcBorders>
                  <w:noWrap w:val="0"/>
                  <w:vAlign w:val="center"/>
                </w:tcPr>
                <w:p w14:paraId="7B7EF5CF">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本项目位于</w:t>
                  </w:r>
                  <w:r>
                    <w:rPr>
                      <w:rFonts w:hint="eastAsia" w:ascii="Times New Roman" w:hAnsi="Times New Roman" w:eastAsia="宋体" w:cs="Times New Roman"/>
                      <w:sz w:val="21"/>
                      <w:szCs w:val="21"/>
                      <w:lang w:val="en-US" w:eastAsia="zh-CN"/>
                    </w:rPr>
                    <w:t>轮台县工业园</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项目属于植物油加工项目，项目区应属于重点开发地区，不属于</w:t>
                  </w:r>
                  <w:r>
                    <w:rPr>
                      <w:rFonts w:hint="eastAsia" w:ascii="Times New Roman" w:hAnsi="Times New Roman" w:eastAsia="宋体" w:cs="Times New Roman"/>
                      <w:sz w:val="21"/>
                      <w:szCs w:val="21"/>
                      <w:shd w:val="clear" w:color="auto" w:fill="FFFFFF"/>
                    </w:rPr>
                    <w:t>限制开发和禁止开发区域</w:t>
                  </w:r>
                  <w:r>
                    <w:rPr>
                      <w:rFonts w:hint="eastAsia" w:ascii="Times New Roman" w:hAnsi="Times New Roman" w:eastAsia="宋体" w:cs="Times New Roman"/>
                      <w:sz w:val="21"/>
                      <w:szCs w:val="21"/>
                      <w:shd w:val="clear" w:color="auto" w:fill="FFFFFF"/>
                      <w:lang w:eastAsia="zh-CN"/>
                    </w:rPr>
                    <w:t>，</w:t>
                  </w:r>
                  <w:r>
                    <w:rPr>
                      <w:rFonts w:hint="eastAsia" w:ascii="Times New Roman" w:hAnsi="Times New Roman" w:eastAsia="宋体" w:cs="Times New Roman"/>
                      <w:sz w:val="21"/>
                      <w:szCs w:val="21"/>
                    </w:rPr>
                    <w:t>符合新疆维吾尔自治区主体功能区规划空间管控要求</w:t>
                  </w:r>
                </w:p>
              </w:tc>
              <w:tc>
                <w:tcPr>
                  <w:tcW w:w="496" w:type="pct"/>
                  <w:tcBorders>
                    <w:tl2br w:val="nil"/>
                    <w:tr2bl w:val="nil"/>
                  </w:tcBorders>
                  <w:noWrap w:val="0"/>
                  <w:vAlign w:val="center"/>
                </w:tcPr>
                <w:p w14:paraId="6CB305B5">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6EC86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34" w:hRule="atLeast"/>
                <w:jc w:val="center"/>
              </w:trPr>
              <w:tc>
                <w:tcPr>
                  <w:tcW w:w="1119" w:type="pct"/>
                  <w:vMerge w:val="restart"/>
                  <w:tcBorders>
                    <w:tl2br w:val="nil"/>
                    <w:tr2bl w:val="nil"/>
                  </w:tcBorders>
                  <w:noWrap w:val="0"/>
                  <w:vAlign w:val="center"/>
                </w:tcPr>
                <w:p w14:paraId="772BE923">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《新疆维吾尔自治区重点行业生态环境准入条件（2024年）》</w:t>
                  </w:r>
                </w:p>
              </w:tc>
              <w:tc>
                <w:tcPr>
                  <w:tcW w:w="2153" w:type="pct"/>
                  <w:tcBorders>
                    <w:tl2br w:val="nil"/>
                    <w:tr2bl w:val="nil"/>
                  </w:tcBorders>
                  <w:noWrap w:val="0"/>
                  <w:vAlign w:val="center"/>
                </w:tcPr>
                <w:p w14:paraId="33C4F0BB">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建设项目须符合国家、自治区相关法律法规、产业政策要求，采用的工艺、技术和设备应符合《产业结构调整指导目录（2011年本）》（2013年修正）、《产业转移指导目录（2012年本）》（工信部〔2012〕31号）、《市场准入负面清单草案（试点版）》和《关于促进新疆工业通信业和信息化发展的若干政策意见》（工信部产业〔2010〕617号）等相关要求，不得采用国家和自治区淘汰或禁止使用的工艺、技术和设备。</w:t>
                  </w:r>
                </w:p>
              </w:tc>
              <w:tc>
                <w:tcPr>
                  <w:tcW w:w="1230" w:type="pct"/>
                  <w:tcBorders>
                    <w:tl2br w:val="nil"/>
                    <w:tr2bl w:val="nil"/>
                  </w:tcBorders>
                  <w:noWrap w:val="0"/>
                  <w:vAlign w:val="center"/>
                </w:tcPr>
                <w:p w14:paraId="0964354A">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根据《产业结构调整指导目录（2024年本）》，本项目为</w:t>
                  </w:r>
                  <w:r>
                    <w:rPr>
                      <w:rFonts w:hint="eastAsia" w:ascii="Times New Roman" w:hAnsi="Times New Roman" w:eastAsia="宋体" w:cs="Times New Roman"/>
                      <w:sz w:val="21"/>
                      <w:szCs w:val="21"/>
                      <w:lang w:val="en-US" w:eastAsia="zh-CN"/>
                    </w:rPr>
                    <w:t>植物油加工行业</w:t>
                  </w:r>
                  <w:r>
                    <w:rPr>
                      <w:rFonts w:hint="eastAsia" w:ascii="Times New Roman" w:hAnsi="Times New Roman" w:eastAsia="宋体" w:cs="Times New Roman"/>
                      <w:sz w:val="21"/>
                      <w:szCs w:val="21"/>
                    </w:rPr>
                    <w:t>，属于</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鼓励类</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。因此其建设符合新疆重点行业环境准入条件要求。</w:t>
                  </w:r>
                </w:p>
              </w:tc>
              <w:tc>
                <w:tcPr>
                  <w:tcW w:w="496" w:type="pct"/>
                  <w:tcBorders>
                    <w:tl2br w:val="nil"/>
                    <w:tr2bl w:val="nil"/>
                  </w:tcBorders>
                  <w:noWrap w:val="0"/>
                  <w:vAlign w:val="center"/>
                </w:tcPr>
                <w:p w14:paraId="1213BC24">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4480B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9" w:type="pct"/>
                  <w:vMerge w:val="continue"/>
                  <w:tcBorders>
                    <w:tl2br w:val="nil"/>
                    <w:tr2bl w:val="nil"/>
                  </w:tcBorders>
                  <w:noWrap w:val="0"/>
                  <w:vAlign w:val="center"/>
                </w:tcPr>
                <w:p w14:paraId="2D49B08E">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rPr>
                  </w:pPr>
                </w:p>
              </w:tc>
              <w:tc>
                <w:tcPr>
                  <w:tcW w:w="2153" w:type="pct"/>
                  <w:tcBorders>
                    <w:tl2br w:val="nil"/>
                    <w:tr2bl w:val="nil"/>
                  </w:tcBorders>
                  <w:noWrap w:val="0"/>
                  <w:vAlign w:val="center"/>
                </w:tcPr>
                <w:p w14:paraId="33CAF78F">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确因国家发展战略和国计民生需要建设的，应当经科学论证，并依法办理审批手续，严格控制扰动范围。涉及生态保护红线的其他要求，按照《自然资源部 生态环境部 国家林业和草原局关于加强生态保护红线管理的通知（试行）》（自然资发〔2022〕142号）执行，生态保护红线管控要求调整、更新的，从其规定。</w:t>
                  </w:r>
                </w:p>
              </w:tc>
              <w:tc>
                <w:tcPr>
                  <w:tcW w:w="1230" w:type="pct"/>
                  <w:tcBorders>
                    <w:tl2br w:val="nil"/>
                    <w:tr2bl w:val="nil"/>
                  </w:tcBorders>
                  <w:noWrap w:val="0"/>
                  <w:vAlign w:val="center"/>
                </w:tcPr>
                <w:p w14:paraId="44C04835">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本项目位于轮台县工业内，不涉及</w:t>
                  </w:r>
                  <w:r>
                    <w:rPr>
                      <w:rFonts w:hint="eastAsia" w:ascii="Times New Roman" w:hAnsi="Times New Roman" w:eastAsia="宋体" w:cs="Times New Roman"/>
                      <w:sz w:val="21"/>
                      <w:szCs w:val="21"/>
                      <w:shd w:val="clear" w:color="auto" w:fill="FFFFFF"/>
                    </w:rPr>
                    <w:t>自然保护区、世界自然遗产地、风景名胜区、自然公园（森林公园、地质公园、湿地公园、沙漠公园等）、重要湿地、饮用水水源保护区等依法划定禁止开发建设</w:t>
                  </w:r>
                  <w:r>
                    <w:rPr>
                      <w:rFonts w:hint="eastAsia" w:ascii="Times New Roman" w:hAnsi="Times New Roman" w:eastAsia="宋体" w:cs="Times New Roman"/>
                      <w:sz w:val="21"/>
                      <w:szCs w:val="21"/>
                      <w:shd w:val="clear" w:color="auto" w:fill="FFFFFF"/>
                      <w:lang w:eastAsia="zh-CN"/>
                    </w:rPr>
                    <w:t>。</w:t>
                  </w:r>
                </w:p>
              </w:tc>
              <w:tc>
                <w:tcPr>
                  <w:tcW w:w="496" w:type="pct"/>
                  <w:tcBorders>
                    <w:tl2br w:val="nil"/>
                    <w:tr2bl w:val="nil"/>
                  </w:tcBorders>
                  <w:noWrap w:val="0"/>
                  <w:vAlign w:val="center"/>
                </w:tcPr>
                <w:p w14:paraId="6686628D">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pacing w:val="0"/>
                      <w:sz w:val="21"/>
                      <w:szCs w:val="21"/>
                    </w:rPr>
                    <w:t>符合</w:t>
                  </w:r>
                </w:p>
              </w:tc>
            </w:tr>
            <w:tr w14:paraId="318B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75" w:hRule="atLeast"/>
                <w:jc w:val="center"/>
              </w:trPr>
              <w:tc>
                <w:tcPr>
                  <w:tcW w:w="1119" w:type="pct"/>
                  <w:tcBorders>
                    <w:tl2br w:val="nil"/>
                    <w:tr2bl w:val="nil"/>
                  </w:tcBorders>
                  <w:noWrap w:val="0"/>
                  <w:vAlign w:val="center"/>
                </w:tcPr>
                <w:p w14:paraId="1E94D263">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《新疆维吾尔自治区重点行业生态环境准入条件（2024年）》</w:t>
                  </w:r>
                </w:p>
              </w:tc>
              <w:tc>
                <w:tcPr>
                  <w:tcW w:w="2153" w:type="pct"/>
                  <w:tcBorders>
                    <w:tl2br w:val="nil"/>
                    <w:tr2bl w:val="nil"/>
                  </w:tcBorders>
                  <w:noWrap w:val="0"/>
                  <w:vAlign w:val="center"/>
                </w:tcPr>
                <w:p w14:paraId="4D456C6C">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一切开发建设活动应符合国家、自治区主体功能区规划、自治区和各地颁布实施的国民经济发展规划、生态功能区划、国土空间规划、产业发展规划等相关规划及生态环境分区管控要求</w:t>
                  </w:r>
                  <w:r>
                    <w:rPr>
                      <w:rFonts w:hint="eastAsia" w:ascii="Times New Roman" w:hAnsi="Times New Roman" w:eastAsia="宋体" w:cs="Times New Roman"/>
                      <w:sz w:val="21"/>
                      <w:szCs w:val="21"/>
                      <w:shd w:val="clear" w:color="auto" w:fill="FFFFFF"/>
                      <w:lang w:eastAsia="zh-CN"/>
                    </w:rPr>
                    <w:t>，</w:t>
                  </w:r>
                  <w:r>
                    <w:rPr>
                      <w:rFonts w:hint="eastAsia" w:ascii="Times New Roman" w:hAnsi="Times New Roman" w:eastAsia="宋体" w:cs="Times New Roman"/>
                      <w:sz w:val="21"/>
                      <w:szCs w:val="21"/>
                      <w:shd w:val="clear" w:color="auto" w:fill="FFFFFF"/>
                    </w:rPr>
                    <w:t>符合区域（流域）或产业规划环评及审查意见要求。</w:t>
                  </w:r>
                </w:p>
              </w:tc>
              <w:tc>
                <w:tcPr>
                  <w:tcW w:w="1230" w:type="pct"/>
                  <w:tcBorders>
                    <w:tl2br w:val="nil"/>
                    <w:tr2bl w:val="nil"/>
                  </w:tcBorders>
                  <w:noWrap w:val="0"/>
                  <w:vAlign w:val="center"/>
                </w:tcPr>
                <w:p w14:paraId="6CD83FDF">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本项目为植物油加工行业，符合</w:t>
                  </w:r>
                  <w:r>
                    <w:rPr>
                      <w:rFonts w:hint="eastAsia" w:ascii="Times New Roman" w:hAnsi="Times New Roman" w:eastAsia="宋体" w:cs="Times New Roman"/>
                      <w:sz w:val="21"/>
                      <w:szCs w:val="21"/>
                      <w:shd w:val="clear" w:color="auto" w:fill="FFFFFF"/>
                    </w:rPr>
                    <w:t>自治区主体功能区规划</w:t>
                  </w:r>
                  <w:r>
                    <w:rPr>
                      <w:rFonts w:hint="eastAsia" w:ascii="Times New Roman" w:hAnsi="Times New Roman" w:eastAsia="宋体" w:cs="Times New Roman"/>
                      <w:sz w:val="21"/>
                      <w:szCs w:val="21"/>
                      <w:shd w:val="clear" w:color="auto" w:fill="FFFFFF"/>
                      <w:lang w:eastAsia="zh-CN"/>
                    </w:rPr>
                    <w:t>，</w:t>
                  </w:r>
                  <w:r>
                    <w:rPr>
                      <w:rFonts w:hint="eastAsia" w:ascii="Times New Roman" w:hAnsi="Times New Roman" w:eastAsia="宋体" w:cs="Times New Roman"/>
                      <w:sz w:val="21"/>
                      <w:szCs w:val="21"/>
                      <w:shd w:val="clear" w:color="auto" w:fill="FFFFFF"/>
                      <w:lang w:val="en-US" w:eastAsia="zh-CN"/>
                    </w:rPr>
                    <w:t>并且不涉及生态保护红线</w:t>
                  </w:r>
                </w:p>
              </w:tc>
              <w:tc>
                <w:tcPr>
                  <w:tcW w:w="496" w:type="pct"/>
                  <w:tcBorders>
                    <w:tl2br w:val="nil"/>
                    <w:tr2bl w:val="nil"/>
                  </w:tcBorders>
                  <w:noWrap w:val="0"/>
                  <w:vAlign w:val="center"/>
                </w:tcPr>
                <w:p w14:paraId="3694D65C">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21640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9" w:type="pct"/>
                  <w:tcBorders>
                    <w:tl2br w:val="nil"/>
                    <w:tr2bl w:val="nil"/>
                  </w:tcBorders>
                  <w:noWrap w:val="0"/>
                  <w:vAlign w:val="center"/>
                </w:tcPr>
                <w:p w14:paraId="181AFE8B">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《巴音郭楞蒙古自治州生态环境</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十四五</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规划》</w:t>
                  </w:r>
                </w:p>
              </w:tc>
              <w:tc>
                <w:tcPr>
                  <w:tcW w:w="2153" w:type="pct"/>
                  <w:tcBorders>
                    <w:tl2br w:val="nil"/>
                    <w:tr2bl w:val="nil"/>
                  </w:tcBorders>
                  <w:noWrap w:val="0"/>
                  <w:vAlign w:val="center"/>
                </w:tcPr>
                <w:p w14:paraId="2553A878">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严格按照规划要求布局建设项目。基于各类规划要求布局产业，推进建设项目布局符合规划，严格落实规划先行的各项要求，在产业布局、项目开发、功能区设置等经济发展和结构布局中坚持按照规划要求开展建设项目环境影响评价审批，对于不符合规划产业布局、不符合规划功能区定位、规划污染防治措施与建设内容不匹配的建设项目一律不予环保审批。同时，通过规划实施，严格控制“三高”项目落地，规划促进产业布局科学，功能区设置合理。</w:t>
                  </w:r>
                </w:p>
                <w:p w14:paraId="0077E9D8">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严格落实工业企业进驻工业园区。按照生态文明建设的具体要求，引导新建工业企业入驻工业园区，结合工业园区规划、园区规划环评的具体内容，布局入驻园区企业，确定产业定位、功能定位及污染防治措施。对于园区外的现状工业</w:t>
                  </w:r>
                  <w:r>
                    <w:rPr>
                      <w:rFonts w:hint="eastAsia" w:cs="Times New Roman"/>
                      <w:sz w:val="21"/>
                      <w:szCs w:val="21"/>
                      <w:shd w:val="clear" w:color="auto" w:fill="FFFFFF"/>
                      <w:lang w:eastAsia="zh-CN"/>
                    </w:rPr>
                    <w:t>企业</w:t>
                  </w:r>
                  <w:r>
                    <w:rPr>
                      <w:rFonts w:hint="eastAsia" w:ascii="Times New Roman" w:hAnsi="Times New Roman" w:eastAsia="宋体" w:cs="Times New Roman"/>
                      <w:sz w:val="21"/>
                      <w:szCs w:val="21"/>
                      <w:shd w:val="clear" w:color="auto" w:fill="FFFFFF"/>
                    </w:rPr>
                    <w:t>在尊重历史确保污染物达标排放的情况下，逐步实施限制产能发展、关停、搬迁入园等措施，逐步规范产业布局和功能区布局。</w:t>
                  </w:r>
                </w:p>
              </w:tc>
              <w:tc>
                <w:tcPr>
                  <w:tcW w:w="1230" w:type="pct"/>
                  <w:tcBorders>
                    <w:tl2br w:val="nil"/>
                    <w:tr2bl w:val="nil"/>
                  </w:tcBorders>
                  <w:noWrap w:val="0"/>
                  <w:vAlign w:val="center"/>
                </w:tcPr>
                <w:p w14:paraId="12187680">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本项目</w:t>
                  </w:r>
                  <w:r>
                    <w:rPr>
                      <w:rFonts w:hint="eastAsia" w:ascii="Times New Roman" w:hAnsi="Times New Roman" w:eastAsia="宋体" w:cs="Times New Roman"/>
                      <w:sz w:val="21"/>
                      <w:szCs w:val="21"/>
                      <w:lang w:val="en-US" w:eastAsia="zh-CN"/>
                    </w:rPr>
                    <w:t>属于植物油加工项目，项目位于轮台工业区中的农副产品加工区，符合规划</w:t>
                  </w:r>
                  <w:r>
                    <w:rPr>
                      <w:rFonts w:hint="eastAsia" w:ascii="Times New Roman" w:hAnsi="Times New Roman" w:eastAsia="宋体" w:cs="Times New Roman"/>
                      <w:sz w:val="21"/>
                      <w:szCs w:val="21"/>
                      <w:shd w:val="clear" w:color="auto" w:fill="FFFFFF"/>
                    </w:rPr>
                    <w:t>，符合</w:t>
                  </w:r>
                  <w:r>
                    <w:rPr>
                      <w:rFonts w:hint="eastAsia" w:ascii="Times New Roman" w:hAnsi="Times New Roman" w:eastAsia="宋体" w:cs="Times New Roman"/>
                      <w:sz w:val="21"/>
                      <w:szCs w:val="21"/>
                    </w:rPr>
                    <w:t>《巴音郭楞蒙古自治州生态环境</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十四五</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规划》相关要求</w:t>
                  </w:r>
                </w:p>
              </w:tc>
              <w:tc>
                <w:tcPr>
                  <w:tcW w:w="496" w:type="pct"/>
                  <w:tcBorders>
                    <w:tl2br w:val="nil"/>
                    <w:tr2bl w:val="nil"/>
                  </w:tcBorders>
                  <w:noWrap w:val="0"/>
                  <w:vAlign w:val="center"/>
                </w:tcPr>
                <w:p w14:paraId="583D5F6C">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14:paraId="5D28B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3" w:hRule="atLeast"/>
                <w:jc w:val="center"/>
              </w:trPr>
              <w:tc>
                <w:tcPr>
                  <w:tcW w:w="1119" w:type="pct"/>
                  <w:tcBorders>
                    <w:tl2br w:val="nil"/>
                    <w:tr2bl w:val="nil"/>
                  </w:tcBorders>
                  <w:noWrap w:val="0"/>
                  <w:vAlign w:val="center"/>
                </w:tcPr>
                <w:p w14:paraId="7DF369AF">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《新疆维吾尔自治区大气污染防治条例》</w:t>
                  </w:r>
                </w:p>
              </w:tc>
              <w:tc>
                <w:tcPr>
                  <w:tcW w:w="2153" w:type="pct"/>
                  <w:tcBorders>
                    <w:tl2br w:val="nil"/>
                    <w:tr2bl w:val="nil"/>
                  </w:tcBorders>
                  <w:noWrap w:val="0"/>
                  <w:vAlign w:val="center"/>
                </w:tcPr>
                <w:p w14:paraId="3289542D">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第二十四条推进城市建成区、工业园区实行集中供热，使用清洁燃料。在集中供热管网覆盖区域内，禁止新建、改建、扩建燃煤供热锅炉</w:t>
                  </w:r>
                  <w:r>
                    <w:rPr>
                      <w:rFonts w:hint="eastAsia" w:cs="Times New Roman"/>
                      <w:sz w:val="21"/>
                      <w:szCs w:val="21"/>
                      <w:shd w:val="clear" w:color="auto" w:fill="FFFFFF"/>
                      <w:lang w:eastAsia="zh-CN"/>
                    </w:rPr>
                    <w:t>，在</w:t>
                  </w:r>
                  <w:r>
                    <w:rPr>
                      <w:rFonts w:hint="eastAsia" w:ascii="Times New Roman" w:hAnsi="Times New Roman" w:eastAsia="宋体" w:cs="Times New Roman"/>
                      <w:sz w:val="21"/>
                      <w:szCs w:val="21"/>
                      <w:shd w:val="clear" w:color="auto" w:fill="FFFFFF"/>
                    </w:rPr>
                    <w:t>集中供热管网覆盖前，已建成使用的燃煤供热锅炉应当限期停止使用。</w:t>
                  </w:r>
                </w:p>
                <w:p w14:paraId="3CC4BD99">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在集中供热未覆盖的区域，鼓励使用清洁能源替代，推广使用高效节能环保型锅炉。城市人民政府应当限期淘汰不符合国家和自治区规定规模的燃煤锅炉。</w:t>
                  </w:r>
                </w:p>
                <w:p w14:paraId="32E3EFDB">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第二十五条城市人民政府根据大气环境质量改善要求，划定并公布高污染燃料禁燃区，并逐步扩大高污染燃料禁燃区范围。在禁燃区内，禁止销售、燃用高污染燃料；禁止新建、扩建燃用高污染燃料的设施。已建成的，应当在规定期限内改用清洁能源。</w:t>
                  </w:r>
                </w:p>
              </w:tc>
              <w:tc>
                <w:tcPr>
                  <w:tcW w:w="1230" w:type="pct"/>
                  <w:tcBorders>
                    <w:tl2br w:val="nil"/>
                    <w:tr2bl w:val="nil"/>
                  </w:tcBorders>
                  <w:noWrap w:val="0"/>
                  <w:vAlign w:val="center"/>
                </w:tcPr>
                <w:p w14:paraId="2E9626F9">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本项目园区无供热管网，项目新建15t燃气锅炉，采用清洁能源，不属于高污染，高耗能项目</w:t>
                  </w:r>
                </w:p>
              </w:tc>
              <w:tc>
                <w:tcPr>
                  <w:tcW w:w="496" w:type="pct"/>
                  <w:tcBorders>
                    <w:tl2br w:val="nil"/>
                    <w:tr2bl w:val="nil"/>
                  </w:tcBorders>
                  <w:noWrap w:val="0"/>
                  <w:vAlign w:val="center"/>
                </w:tcPr>
                <w:p w14:paraId="298690CC">
                  <w:pPr>
                    <w:keepNext/>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bookmarkEnd w:id="1"/>
          </w:tbl>
          <w:p w14:paraId="5E2F9151">
            <w:pPr>
              <w:keepNext w:val="0"/>
              <w:keepLines w:val="0"/>
              <w:pageBreakBefore w:val="0"/>
              <w:widowControl w:val="0"/>
              <w:kinsoku/>
              <w:wordWrap/>
              <w:overflowPunct/>
              <w:topLinePunct w:val="0"/>
              <w:bidi w:val="0"/>
              <w:spacing w:line="356" w:lineRule="auto"/>
              <w:textAlignment w:val="auto"/>
              <w:rPr>
                <w:rFonts w:ascii="宋体" w:hAnsi="宋体" w:cs="宋体"/>
                <w:kern w:val="0"/>
                <w:szCs w:val="21"/>
              </w:rPr>
            </w:pPr>
          </w:p>
        </w:tc>
      </w:tr>
    </w:tbl>
    <w:p w14:paraId="33E14896">
      <w:r>
        <w:br w:type="page"/>
      </w:r>
    </w:p>
    <w:p w14:paraId="62D87DB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1"/>
        <w:tblW w:w="88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7752"/>
      </w:tblGrid>
      <w:tr w14:paraId="14A0C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14" w:hRule="atLeast"/>
          <w:jc w:val="center"/>
        </w:trPr>
        <w:tc>
          <w:tcPr>
            <w:tcW w:w="1048" w:type="dxa"/>
            <w:tcBorders>
              <w:tl2br w:val="nil"/>
              <w:tr2bl w:val="nil"/>
            </w:tcBorders>
            <w:noWrap w:val="0"/>
            <w:vAlign w:val="center"/>
          </w:tcPr>
          <w:p w14:paraId="34B8C0B1">
            <w:pPr>
              <w:pStyle w:val="19"/>
              <w:adjustRightInd w:val="0"/>
              <w:snapToGrid w:val="0"/>
              <w:spacing w:before="0" w:beforeAutospacing="0" w:after="0" w:afterAutospacing="0"/>
              <w:jc w:val="center"/>
              <w:rPr>
                <w:rFonts w:hint="eastAsia" w:cs="宋体"/>
                <w:b/>
                <w:bCs/>
                <w:sz w:val="24"/>
                <w:szCs w:val="24"/>
              </w:rPr>
            </w:pPr>
            <w:r>
              <w:rPr>
                <w:rFonts w:hint="eastAsia" w:cs="宋体"/>
                <w:b/>
                <w:bCs/>
                <w:sz w:val="24"/>
                <w:szCs w:val="24"/>
              </w:rPr>
              <w:t>建设</w:t>
            </w:r>
          </w:p>
          <w:p w14:paraId="2D0FE2B7">
            <w:pPr>
              <w:pStyle w:val="19"/>
              <w:adjustRightInd w:val="0"/>
              <w:snapToGrid w:val="0"/>
              <w:spacing w:before="0" w:beforeAutospacing="0" w:after="0" w:afterAutospacing="0"/>
              <w:jc w:val="center"/>
              <w:rPr>
                <w:rFonts w:cs="宋体"/>
                <w:b/>
                <w:bCs/>
                <w:sz w:val="24"/>
                <w:szCs w:val="24"/>
              </w:rPr>
            </w:pPr>
            <w:r>
              <w:rPr>
                <w:rFonts w:hint="eastAsia" w:cs="宋体"/>
                <w:b/>
                <w:bCs/>
                <w:sz w:val="24"/>
                <w:szCs w:val="24"/>
              </w:rPr>
              <w:t>内容</w:t>
            </w:r>
          </w:p>
        </w:tc>
        <w:tc>
          <w:tcPr>
            <w:tcW w:w="7752" w:type="dxa"/>
            <w:tcBorders>
              <w:tl2br w:val="nil"/>
              <w:tr2bl w:val="nil"/>
            </w:tcBorders>
            <w:noWrap w:val="0"/>
            <w:vAlign w:val="top"/>
          </w:tcPr>
          <w:p w14:paraId="5A55D25B">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cs="Times New Roman"/>
                <w:b/>
                <w:bCs/>
                <w:sz w:val="24"/>
                <w:szCs w:val="24"/>
                <w:lang w:val="en-US" w:eastAsia="zh-CN"/>
              </w:rPr>
            </w:pPr>
            <w:r>
              <w:rPr>
                <w:rFonts w:hint="eastAsia" w:cs="Times New Roman"/>
                <w:b/>
                <w:bCs/>
                <w:sz w:val="24"/>
                <w:szCs w:val="24"/>
                <w:lang w:val="en-US" w:eastAsia="zh-CN"/>
              </w:rPr>
              <w:t>1 项目由来</w:t>
            </w:r>
          </w:p>
          <w:p w14:paraId="1D11FC1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4"/>
                <w:highlight w:val="none"/>
                <w:vertAlign w:val="baseline"/>
                <w:lang w:val="en-US" w:eastAsia="zh-CN"/>
              </w:rPr>
            </w:pPr>
            <w:r>
              <w:rPr>
                <w:rFonts w:hint="eastAsia" w:cs="Times New Roman"/>
                <w:color w:val="000000"/>
                <w:sz w:val="24"/>
                <w:szCs w:val="24"/>
                <w:vertAlign w:val="baseline"/>
                <w:lang w:val="en-US" w:eastAsia="zh-CN"/>
              </w:rPr>
              <w:t>巴州鸿泰棉业有限公司成立于2003年，主营范围为</w:t>
            </w:r>
            <w:r>
              <w:rPr>
                <w:rFonts w:ascii="Helvetica" w:hAnsi="Helvetica" w:eastAsia="Helvetica" w:cs="Helvetica"/>
                <w:i w:val="0"/>
                <w:iCs w:val="0"/>
                <w:caps w:val="0"/>
                <w:color w:val="000000"/>
                <w:spacing w:val="0"/>
                <w:sz w:val="24"/>
                <w:szCs w:val="24"/>
                <w:shd w:val="clear" w:fill="FFFFFF"/>
              </w:rPr>
              <w:t>棉籽</w:t>
            </w:r>
            <w:r>
              <w:rPr>
                <w:rFonts w:hint="eastAsia" w:ascii="Helvetica" w:hAnsi="Helvetica" w:eastAsia="宋体" w:cs="Helvetica"/>
                <w:i w:val="0"/>
                <w:iCs w:val="0"/>
                <w:caps w:val="0"/>
                <w:color w:val="000000"/>
                <w:spacing w:val="0"/>
                <w:sz w:val="24"/>
                <w:szCs w:val="24"/>
                <w:shd w:val="clear" w:fill="FFFFFF"/>
                <w:lang w:val="en-US" w:eastAsia="zh-CN"/>
              </w:rPr>
              <w:t>加工，食用油及副产品、棉花副产品等，</w:t>
            </w:r>
            <w:r>
              <w:rPr>
                <w:rFonts w:hint="default" w:ascii="Times New Roman" w:hAnsi="Times New Roman" w:eastAsia="宋体" w:cs="Times New Roman"/>
                <w:i w:val="0"/>
                <w:iCs w:val="0"/>
                <w:caps w:val="0"/>
                <w:color w:val="000000"/>
                <w:spacing w:val="0"/>
                <w:sz w:val="24"/>
                <w:szCs w:val="24"/>
                <w:shd w:val="clear" w:fill="FFFFFF"/>
                <w:lang w:val="en-US" w:eastAsia="zh-CN"/>
              </w:rPr>
              <w:t>2010年5月23日</w:t>
            </w:r>
            <w:r>
              <w:rPr>
                <w:rFonts w:hint="eastAsia" w:ascii="Times New Roman" w:hAnsi="Times New Roman" w:eastAsia="宋体" w:cs="Times New Roman"/>
                <w:i w:val="0"/>
                <w:iCs w:val="0"/>
                <w:caps w:val="0"/>
                <w:color w:val="000000"/>
                <w:spacing w:val="0"/>
                <w:sz w:val="24"/>
                <w:szCs w:val="24"/>
                <w:shd w:val="clear" w:fill="FFFFFF"/>
                <w:lang w:val="en-US" w:eastAsia="zh-CN"/>
              </w:rPr>
              <w:t>原巴州环保局出具了《关于巴州鸿泰棉业有限公司日处理500吨棉籽精炼油项目环境影响报告表的批复》</w:t>
            </w:r>
            <w:r>
              <w:rPr>
                <w:rFonts w:hint="eastAsia" w:cs="Times New Roman"/>
                <w:i w:val="0"/>
                <w:iCs w:val="0"/>
                <w:caps w:val="0"/>
                <w:color w:val="000000"/>
                <w:spacing w:val="0"/>
                <w:sz w:val="24"/>
                <w:szCs w:val="24"/>
                <w:shd w:val="clear" w:fill="FFFFFF"/>
                <w:lang w:val="en-US" w:eastAsia="zh-CN"/>
              </w:rPr>
              <w:t>（巴环控函〔2010〕428号）。项目主要</w:t>
            </w:r>
            <w:r>
              <w:rPr>
                <w:rFonts w:hint="eastAsia" w:ascii="Times New Roman" w:hAnsi="Times New Roman" w:eastAsia="宋体" w:cs="Times New Roman"/>
                <w:i w:val="0"/>
                <w:iCs w:val="0"/>
                <w:caps w:val="0"/>
                <w:color w:val="000000"/>
                <w:spacing w:val="0"/>
                <w:sz w:val="24"/>
                <w:szCs w:val="24"/>
                <w:shd w:val="clear" w:fill="FFFFFF"/>
                <w:lang w:val="en-US" w:eastAsia="zh-CN"/>
              </w:rPr>
              <w:t>建设内容为：新建日处理500吨光棉籽预处理榨油车间、日处理饼粕250吨浸出车间、日处理毛油120吨四脱精炼车间及附属设施建设。设计生产能力日处理500吨光棉籽，年处理10万吨光棉籽，年生产精炼棉籽油1.6万吨。</w:t>
            </w:r>
            <w:r>
              <w:rPr>
                <w:rFonts w:hint="eastAsia" w:ascii="Times New Roman" w:hAnsi="Times New Roman" w:cs="Times New Roman"/>
                <w:b w:val="0"/>
                <w:bCs w:val="0"/>
                <w:color w:val="auto"/>
                <w:kern w:val="2"/>
                <w:sz w:val="24"/>
                <w:szCs w:val="24"/>
                <w:lang w:val="en-US" w:eastAsia="zh-CN" w:bidi="ar-SA"/>
              </w:rPr>
              <w:t>巴州鸿泰棉业有限公司于</w:t>
            </w:r>
            <w:r>
              <w:rPr>
                <w:rFonts w:hint="eastAsia" w:ascii="Times New Roman" w:hAnsi="Times New Roman" w:eastAsia="宋体" w:cs="Times New Roman"/>
                <w:b w:val="0"/>
                <w:bCs w:val="0"/>
                <w:color w:val="auto"/>
                <w:kern w:val="2"/>
                <w:sz w:val="24"/>
                <w:szCs w:val="24"/>
                <w:lang w:val="en-US" w:eastAsia="zh-CN" w:bidi="ar-SA"/>
              </w:rPr>
              <w:t>2012年8月建成本厂，建</w:t>
            </w:r>
            <w:r>
              <w:rPr>
                <w:rFonts w:hint="eastAsia" w:ascii="Times New Roman" w:hAnsi="Times New Roman" w:eastAsia="宋体" w:cs="Times New Roman"/>
                <w:b w:val="0"/>
                <w:bCs w:val="0"/>
                <w:color w:val="auto"/>
                <w:kern w:val="2"/>
                <w:sz w:val="24"/>
                <w:szCs w:val="24"/>
                <w:highlight w:val="none"/>
                <w:lang w:val="en-US" w:eastAsia="zh-CN" w:bidi="ar-SA"/>
              </w:rPr>
              <w:t>设了</w:t>
            </w:r>
            <w:r>
              <w:rPr>
                <w:rFonts w:hint="eastAsia" w:ascii="Times New Roman" w:hAnsi="Times New Roman" w:eastAsia="宋体" w:cs="Times New Roman"/>
                <w:color w:val="auto"/>
                <w:sz w:val="24"/>
                <w:szCs w:val="24"/>
                <w:highlight w:val="none"/>
                <w:lang w:val="en-US" w:eastAsia="zh-CN"/>
              </w:rPr>
              <w:t>剥</w:t>
            </w:r>
            <w:r>
              <w:rPr>
                <w:rFonts w:hint="default" w:ascii="Times New Roman" w:hAnsi="Times New Roman" w:eastAsia="宋体" w:cs="Times New Roman"/>
                <w:color w:val="auto"/>
                <w:sz w:val="24"/>
                <w:szCs w:val="24"/>
                <w:highlight w:val="none"/>
              </w:rPr>
              <w:t>绒车间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预处理车间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浸出</w:t>
            </w:r>
            <w:r>
              <w:rPr>
                <w:rFonts w:hint="default" w:ascii="Times New Roman" w:hAnsi="Times New Roman" w:eastAsia="宋体" w:cs="Times New Roman"/>
                <w:color w:val="auto"/>
                <w:sz w:val="24"/>
                <w:szCs w:val="24"/>
                <w:lang w:val="en-US" w:eastAsia="zh-CN"/>
              </w:rPr>
              <w:t>车间</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项目于</w:t>
            </w:r>
            <w:r>
              <w:rPr>
                <w:rFonts w:hint="eastAsia" w:ascii="Times New Roman" w:hAnsi="Times New Roman" w:cs="Times New Roman"/>
                <w:b w:val="0"/>
                <w:bCs w:val="0"/>
                <w:color w:val="auto"/>
                <w:kern w:val="2"/>
                <w:sz w:val="24"/>
                <w:szCs w:val="24"/>
                <w:lang w:val="en-US" w:eastAsia="zh-CN" w:bidi="ar-SA"/>
              </w:rPr>
              <w:t>本年</w:t>
            </w:r>
            <w:r>
              <w:rPr>
                <w:rFonts w:hint="eastAsia" w:ascii="Times New Roman" w:hAnsi="Times New Roman" w:eastAsia="宋体" w:cs="Times New Roman"/>
                <w:b w:val="0"/>
                <w:bCs w:val="0"/>
                <w:color w:val="auto"/>
                <w:kern w:val="2"/>
                <w:sz w:val="24"/>
                <w:szCs w:val="24"/>
                <w:lang w:val="en-US" w:eastAsia="zh-CN" w:bidi="ar-SA"/>
              </w:rPr>
              <w:t>12月进行试运行，</w:t>
            </w:r>
            <w:r>
              <w:rPr>
                <w:rFonts w:hint="eastAsia" w:ascii="Times New Roman" w:eastAsia="宋体"/>
                <w:color w:val="auto"/>
                <w:sz w:val="24"/>
                <w:szCs w:val="24"/>
                <w:lang w:val="en-US" w:eastAsia="zh-CN"/>
              </w:rPr>
              <w:t>在试运营过程中发现6吨燃气锅炉产生的蒸汽不能满足项目生产需求，且项目工艺废水未建立治理措施，污水不能得到良好的处理，不符合环保要求，未进行竣工验收，后</w:t>
            </w:r>
            <w:r>
              <w:rPr>
                <w:rFonts w:hint="eastAsia" w:ascii="Times New Roman" w:hAnsi="Times New Roman" w:cs="Times New Roman"/>
                <w:b w:val="0"/>
                <w:bCs w:val="0"/>
                <w:color w:val="auto"/>
                <w:kern w:val="2"/>
                <w:sz w:val="24"/>
                <w:szCs w:val="24"/>
                <w:lang w:val="en-US" w:eastAsia="zh-CN" w:bidi="ar-SA"/>
              </w:rPr>
              <w:t>项目因而市场变动加上资金投入不到位至今未投入生产。2022年建设单位委托新疆德广晟环保科技有限公司编制了《</w:t>
            </w:r>
            <w:r>
              <w:rPr>
                <w:rFonts w:hint="default" w:ascii="Times New Roman" w:hAnsi="Times New Roman" w:eastAsia="宋体" w:cs="Times New Roman"/>
                <w:color w:val="auto"/>
                <w:kern w:val="2"/>
                <w:sz w:val="24"/>
                <w:szCs w:val="21"/>
                <w:highlight w:val="none"/>
                <w:lang w:val="en-US" w:eastAsia="zh-CN" w:bidi="ar-SA"/>
              </w:rPr>
              <w:t>巴州鸿泰棉业有限公司日处理500吨棉籽精炼油配套</w:t>
            </w:r>
            <w:r>
              <w:rPr>
                <w:rFonts w:hint="eastAsia" w:cs="Times New Roman"/>
                <w:color w:val="auto"/>
                <w:kern w:val="2"/>
                <w:sz w:val="24"/>
                <w:szCs w:val="21"/>
                <w:highlight w:val="none"/>
                <w:lang w:val="en-US" w:eastAsia="zh-CN" w:bidi="ar-SA"/>
              </w:rPr>
              <w:t>辅助</w:t>
            </w:r>
            <w:r>
              <w:rPr>
                <w:rFonts w:hint="default" w:ascii="Times New Roman" w:hAnsi="Times New Roman" w:eastAsia="宋体" w:cs="Times New Roman"/>
                <w:color w:val="auto"/>
                <w:kern w:val="2"/>
                <w:sz w:val="24"/>
                <w:szCs w:val="21"/>
                <w:highlight w:val="none"/>
                <w:lang w:val="en-US" w:eastAsia="zh-CN" w:bidi="ar-SA"/>
              </w:rPr>
              <w:t>项目</w:t>
            </w:r>
            <w:r>
              <w:rPr>
                <w:rFonts w:hint="eastAsia" w:ascii="Times New Roman" w:hAnsi="Times New Roman" w:cs="Times New Roman"/>
                <w:b w:val="0"/>
                <w:bCs w:val="0"/>
                <w:color w:val="auto"/>
                <w:kern w:val="2"/>
                <w:sz w:val="24"/>
                <w:szCs w:val="24"/>
                <w:lang w:val="en-US" w:eastAsia="zh-CN" w:bidi="ar-SA"/>
              </w:rPr>
              <w:t>》，2022年4月8日，巴州生态环境局轮台县分局出具了《关于巴州鸿泰棉业有限公司油脂厂日处理500吨棉籽精油配套辅助项目环境影响报告表的批复》（轮环发〔2022</w:t>
            </w:r>
            <w:r>
              <w:rPr>
                <w:rFonts w:hint="eastAsia" w:cs="Times New Roman"/>
                <w:i w:val="0"/>
                <w:iCs w:val="0"/>
                <w:caps w:val="0"/>
                <w:color w:val="000000"/>
                <w:spacing w:val="0"/>
                <w:sz w:val="24"/>
                <w:szCs w:val="24"/>
                <w:shd w:val="clear" w:fill="FFFFFF"/>
                <w:lang w:val="en-US" w:eastAsia="zh-CN"/>
              </w:rPr>
              <w:t>〕</w:t>
            </w:r>
            <w:r>
              <w:rPr>
                <w:rFonts w:hint="eastAsia" w:ascii="Times New Roman" w:hAnsi="Times New Roman" w:cs="Times New Roman"/>
                <w:b w:val="0"/>
                <w:bCs w:val="0"/>
                <w:color w:val="auto"/>
                <w:kern w:val="2"/>
                <w:sz w:val="24"/>
                <w:szCs w:val="24"/>
                <w:lang w:val="en-US" w:eastAsia="zh-CN" w:bidi="ar-SA"/>
              </w:rPr>
              <w:t>38号）</w:t>
            </w:r>
            <w:r>
              <w:rPr>
                <w:rFonts w:hint="eastAsia"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建设内容为：</w:t>
            </w:r>
            <w:r>
              <w:rPr>
                <w:rFonts w:hint="eastAsia" w:ascii="Times New Roman" w:eastAsia="宋体"/>
                <w:color w:val="auto"/>
                <w:sz w:val="24"/>
                <w:szCs w:val="24"/>
                <w:lang w:val="en-US" w:eastAsia="zh-CN"/>
              </w:rPr>
              <w:t>将原有的6t/</w:t>
            </w:r>
            <w:r>
              <w:rPr>
                <w:rFonts w:hint="eastAsia"/>
                <w:color w:val="auto"/>
                <w:sz w:val="24"/>
                <w:szCs w:val="24"/>
                <w:lang w:val="en-US" w:eastAsia="zh-CN"/>
              </w:rPr>
              <w:t>h</w:t>
            </w:r>
            <w:r>
              <w:rPr>
                <w:rFonts w:hint="eastAsia" w:ascii="Times New Roman" w:eastAsia="宋体"/>
                <w:color w:val="auto"/>
                <w:sz w:val="24"/>
                <w:szCs w:val="24"/>
                <w:lang w:val="en-US" w:eastAsia="zh-CN"/>
              </w:rPr>
              <w:t>的燃气锅炉更换为10t/</w:t>
            </w:r>
            <w:r>
              <w:rPr>
                <w:rFonts w:hint="eastAsia"/>
                <w:color w:val="auto"/>
                <w:sz w:val="24"/>
                <w:szCs w:val="24"/>
                <w:lang w:val="en-US" w:eastAsia="zh-CN"/>
              </w:rPr>
              <w:t>h</w:t>
            </w:r>
            <w:r>
              <w:rPr>
                <w:rFonts w:hint="eastAsia" w:ascii="Times New Roman" w:eastAsia="宋体"/>
                <w:color w:val="auto"/>
                <w:sz w:val="24"/>
                <w:szCs w:val="24"/>
                <w:lang w:val="en-US" w:eastAsia="zh-CN"/>
              </w:rPr>
              <w:t>燃气锅炉，采用低氮燃烧器+8m高排气筒排放。污水处理站占地面积为300m</w:t>
            </w:r>
            <w:r>
              <w:rPr>
                <w:rFonts w:hint="eastAsia" w:ascii="Times New Roman" w:eastAsia="宋体"/>
                <w:color w:val="auto"/>
                <w:sz w:val="24"/>
                <w:szCs w:val="24"/>
                <w:vertAlign w:val="superscript"/>
                <w:lang w:val="en-US" w:eastAsia="zh-CN"/>
              </w:rPr>
              <w:t>2</w:t>
            </w:r>
            <w:r>
              <w:rPr>
                <w:rFonts w:hint="eastAsia" w:ascii="Times New Roman" w:eastAsia="宋体"/>
                <w:color w:val="auto"/>
                <w:sz w:val="24"/>
                <w:szCs w:val="24"/>
                <w:lang w:val="en-US" w:eastAsia="zh-CN"/>
              </w:rPr>
              <w:t>的污水处理站，日处理100t污水，采用二级气浮工艺+SBR工艺，处理后的污水排入园区管网。2025年4月建设单位对10t燃气锅炉及污水处理站进行了建设，</w:t>
            </w:r>
            <w:r>
              <w:rPr>
                <w:rFonts w:hint="eastAsia"/>
                <w:color w:val="auto"/>
                <w:sz w:val="24"/>
                <w:szCs w:val="24"/>
                <w:lang w:val="en-US" w:eastAsia="zh-CN"/>
              </w:rPr>
              <w:t>后2025年11月发现10t燃气锅炉不能满足厂区蒸汽要求，决定更换15t燃气锅炉（10t锅炉备用）</w:t>
            </w:r>
            <w:r>
              <w:rPr>
                <w:rFonts w:hint="eastAsia" w:ascii="Times New Roman" w:eastAsia="宋体"/>
                <w:color w:val="auto"/>
                <w:sz w:val="24"/>
                <w:szCs w:val="24"/>
                <w:lang w:val="en-US" w:eastAsia="zh-CN"/>
              </w:rPr>
              <w:t>。</w:t>
            </w:r>
            <w:r>
              <w:rPr>
                <w:rFonts w:hint="eastAsia" w:ascii="Times New Roman" w:hAnsi="Times New Roman" w:eastAsia="宋体" w:cs="Times New Roman"/>
                <w:i w:val="0"/>
                <w:iCs w:val="0"/>
                <w:caps w:val="0"/>
                <w:color w:val="000000"/>
                <w:spacing w:val="0"/>
                <w:sz w:val="24"/>
                <w:szCs w:val="24"/>
                <w:shd w:val="clear" w:fill="FFFFFF"/>
                <w:lang w:val="en-US" w:eastAsia="zh-CN"/>
              </w:rPr>
              <w:t>2025年</w:t>
            </w:r>
            <w:r>
              <w:rPr>
                <w:rFonts w:hint="eastAsia" w:ascii="Times New Roman" w:hAnsi="Times New Roman" w:eastAsia="宋体" w:cs="Times New Roman"/>
                <w:color w:val="000000"/>
                <w:sz w:val="24"/>
                <w:szCs w:val="24"/>
                <w:vertAlign w:val="baseline"/>
                <w:lang w:val="en-US" w:eastAsia="zh-CN"/>
              </w:rPr>
              <w:t>5</w:t>
            </w:r>
            <w:r>
              <w:rPr>
                <w:rFonts w:hint="eastAsia" w:cs="Times New Roman"/>
                <w:color w:val="000000"/>
                <w:sz w:val="24"/>
                <w:szCs w:val="24"/>
                <w:vertAlign w:val="baseline"/>
                <w:lang w:val="en-US" w:eastAsia="zh-CN"/>
              </w:rPr>
              <w:t>月</w:t>
            </w:r>
            <w:r>
              <w:rPr>
                <w:rFonts w:hint="eastAsia" w:ascii="Times New Roman" w:hAnsi="Times New Roman" w:eastAsia="宋体" w:cs="Times New Roman"/>
                <w:color w:val="000000"/>
                <w:sz w:val="24"/>
                <w:szCs w:val="24"/>
                <w:vertAlign w:val="baseline"/>
                <w:lang w:val="en-US" w:eastAsia="zh-CN"/>
              </w:rPr>
              <w:t>30</w:t>
            </w:r>
            <w:r>
              <w:rPr>
                <w:rFonts w:hint="eastAsia" w:cs="Times New Roman"/>
                <w:color w:val="000000"/>
                <w:sz w:val="24"/>
                <w:szCs w:val="24"/>
                <w:vertAlign w:val="baseline"/>
                <w:lang w:val="en-US" w:eastAsia="zh-CN"/>
              </w:rPr>
              <w:t>日</w:t>
            </w:r>
            <w:r>
              <w:rPr>
                <w:rFonts w:hint="eastAsia" w:ascii="Times New Roman" w:hAnsi="Times New Roman" w:eastAsia="宋体" w:cs="Times New Roman"/>
                <w:i w:val="0"/>
                <w:iCs w:val="0"/>
                <w:caps w:val="0"/>
                <w:color w:val="000000"/>
                <w:spacing w:val="0"/>
                <w:sz w:val="24"/>
                <w:szCs w:val="24"/>
                <w:shd w:val="clear" w:fill="FFFFFF"/>
                <w:lang w:val="en-US" w:eastAsia="zh-CN"/>
              </w:rPr>
              <w:t>新疆同芃生物科技有限公司成立</w:t>
            </w:r>
            <w:r>
              <w:rPr>
                <w:rFonts w:hint="eastAsia" w:cs="Times New Roman"/>
                <w:color w:val="000000"/>
                <w:sz w:val="24"/>
                <w:szCs w:val="24"/>
                <w:vertAlign w:val="baseline"/>
                <w:lang w:val="en-US" w:eastAsia="zh-CN"/>
              </w:rPr>
              <w:t>，为巴州鸿泰棉业有限公司子公司，接手该棉籽油加工厂，对厂区厂房进行了变更扩建，</w:t>
            </w:r>
            <w:r>
              <w:rPr>
                <w:rFonts w:hint="eastAsia" w:cs="Times New Roman"/>
                <w:color w:val="000000"/>
                <w:sz w:val="24"/>
                <w:szCs w:val="24"/>
                <w:highlight w:val="none"/>
                <w:vertAlign w:val="baseline"/>
                <w:lang w:val="en-US" w:eastAsia="zh-CN"/>
              </w:rPr>
              <w:t>原有工作人员均已离职，目前公司无专业技术人员对原工艺、设备情况不清楚，原有设备清单已遗失，建设单位决定重新进行环境影响评价工作。本环评不再对原有工艺情况进行介绍。</w:t>
            </w:r>
          </w:p>
          <w:p w14:paraId="39C87732">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b/>
                <w:bCs/>
                <w:sz w:val="24"/>
                <w:szCs w:val="24"/>
                <w:lang w:val="en-US" w:eastAsia="zh-CN"/>
              </w:rPr>
            </w:pPr>
            <w:r>
              <w:rPr>
                <w:rFonts w:hint="default" w:ascii="Times New Roman" w:hAnsi="Times New Roman" w:cs="Times New Roman"/>
                <w:sz w:val="24"/>
                <w:szCs w:val="24"/>
              </w:rPr>
              <w:t>按照《中华人民共和国环境保护法》，《建设项目环境保护管理条例》和《建设项目环境影响评价分类管理名录</w:t>
            </w:r>
            <w:r>
              <w:rPr>
                <w:rFonts w:hint="eastAsia" w:cs="Times New Roman"/>
                <w:sz w:val="24"/>
                <w:szCs w:val="24"/>
                <w:lang w:eastAsia="zh-CN"/>
              </w:rPr>
              <w:t>（</w:t>
            </w:r>
            <w:r>
              <w:rPr>
                <w:rFonts w:hint="eastAsia" w:cs="Times New Roman"/>
                <w:sz w:val="24"/>
                <w:szCs w:val="24"/>
                <w:lang w:val="en-US" w:eastAsia="zh-CN"/>
              </w:rPr>
              <w:t>2021</w:t>
            </w:r>
            <w:r>
              <w:rPr>
                <w:rFonts w:hint="eastAsia" w:cs="Times New Roman"/>
                <w:sz w:val="24"/>
                <w:szCs w:val="24"/>
                <w:lang w:eastAsia="zh-CN"/>
              </w:rPr>
              <w:t>）</w:t>
            </w:r>
            <w:r>
              <w:rPr>
                <w:rFonts w:hint="default" w:ascii="Times New Roman" w:hAnsi="Times New Roman" w:cs="Times New Roman"/>
                <w:sz w:val="24"/>
                <w:szCs w:val="24"/>
              </w:rPr>
              <w:t>》等有关</w:t>
            </w:r>
            <w:r>
              <w:rPr>
                <w:rFonts w:hint="eastAsia" w:cs="Times New Roman"/>
                <w:sz w:val="24"/>
                <w:szCs w:val="24"/>
                <w:lang w:eastAsia="zh-CN"/>
              </w:rPr>
              <w:t>法律法规</w:t>
            </w:r>
            <w:r>
              <w:rPr>
                <w:rFonts w:hint="default" w:ascii="Times New Roman" w:hAnsi="Times New Roman" w:cs="Times New Roman"/>
                <w:sz w:val="24"/>
                <w:szCs w:val="24"/>
              </w:rPr>
              <w:t>规定，项目属《名录》所列“</w:t>
            </w:r>
            <w:r>
              <w:rPr>
                <w:rFonts w:hint="eastAsia" w:ascii="Times New Roman" w:hAnsi="Times New Roman" w:cs="Times New Roman"/>
                <w:sz w:val="24"/>
                <w:szCs w:val="24"/>
                <w:lang w:val="en-US" w:eastAsia="zh-CN"/>
              </w:rPr>
              <w:t>十、</w:t>
            </w:r>
            <w:r>
              <w:rPr>
                <w:rFonts w:hint="default" w:ascii="Times New Roman" w:hAnsi="Times New Roman" w:cs="Times New Roman"/>
                <w:sz w:val="24"/>
                <w:szCs w:val="24"/>
                <w:lang w:val="en-US" w:eastAsia="zh-CN"/>
              </w:rPr>
              <w:t>农副食品加工业”类，16“植物油加工”中“除单纯分装和调和外的”</w:t>
            </w:r>
            <w:r>
              <w:rPr>
                <w:rFonts w:hint="default" w:ascii="Times New Roman" w:hAnsi="Times New Roman" w:cs="Times New Roman"/>
                <w:sz w:val="24"/>
                <w:szCs w:val="24"/>
              </w:rPr>
              <w:t>，本项目应编制环境影响报告表。受建设单位委托，</w:t>
            </w:r>
            <w:r>
              <w:rPr>
                <w:rFonts w:hint="eastAsia" w:cs="Times New Roman"/>
                <w:sz w:val="24"/>
                <w:szCs w:val="24"/>
                <w:lang w:val="en-US" w:eastAsia="zh-CN"/>
              </w:rPr>
              <w:t>新疆绿维环保科技有限公司</w:t>
            </w:r>
            <w:r>
              <w:rPr>
                <w:rFonts w:hint="default" w:ascii="Times New Roman" w:hAnsi="Times New Roman" w:cs="Times New Roman"/>
                <w:sz w:val="24"/>
                <w:szCs w:val="24"/>
              </w:rPr>
              <w:t>承担了本项目的环境影响评价工作。接受委托后，环评单位在现场踏勘和资料收集的基础上。编制完成了《</w:t>
            </w:r>
            <w:r>
              <w:rPr>
                <w:rFonts w:hint="default" w:ascii="Times New Roman" w:hAnsi="Times New Roman" w:cs="Times New Roman"/>
                <w:sz w:val="24"/>
                <w:szCs w:val="24"/>
                <w:lang w:val="en-US" w:eastAsia="zh-CN"/>
              </w:rPr>
              <w:t>新疆同芃生物科技有限公司400T/D脱酚棉籽浓缩蛋白及精深加工生产线项目</w:t>
            </w:r>
            <w:r>
              <w:rPr>
                <w:rFonts w:hint="eastAsia" w:cs="Times New Roman"/>
                <w:sz w:val="24"/>
                <w:szCs w:val="24"/>
                <w:lang w:val="en-US" w:eastAsia="zh-CN"/>
              </w:rPr>
              <w:t>（</w:t>
            </w:r>
            <w:r>
              <w:rPr>
                <w:rFonts w:hint="default" w:ascii="Times New Roman" w:hAnsi="Times New Roman" w:cs="Times New Roman"/>
                <w:sz w:val="24"/>
                <w:szCs w:val="24"/>
                <w:lang w:val="en-US" w:eastAsia="zh-CN"/>
              </w:rPr>
              <w:t>重新报批</w:t>
            </w:r>
            <w:r>
              <w:rPr>
                <w:rFonts w:hint="eastAsia" w:cs="Times New Roman"/>
                <w:sz w:val="24"/>
                <w:szCs w:val="24"/>
                <w:lang w:val="en-US" w:eastAsia="zh-CN"/>
              </w:rPr>
              <w:t>）</w:t>
            </w:r>
            <w:r>
              <w:rPr>
                <w:rFonts w:hint="eastAsia" w:ascii="Times New Roman" w:hAnsi="Times New Roman" w:cs="Times New Roman"/>
                <w:sz w:val="24"/>
                <w:szCs w:val="24"/>
                <w:lang w:val="en-US" w:eastAsia="zh-CN"/>
              </w:rPr>
              <w:t>环境影响报告表</w:t>
            </w:r>
            <w:r>
              <w:rPr>
                <w:rFonts w:hint="default" w:ascii="Times New Roman" w:hAnsi="Times New Roman" w:cs="Times New Roman"/>
                <w:sz w:val="24"/>
                <w:szCs w:val="24"/>
              </w:rPr>
              <w:t>》，建设单位主动补交环境影响报告表呈报</w:t>
            </w:r>
            <w:r>
              <w:rPr>
                <w:rFonts w:hint="eastAsia" w:ascii="Times New Roman" w:hAnsi="Times New Roman" w:cs="Times New Roman"/>
                <w:sz w:val="24"/>
                <w:szCs w:val="24"/>
                <w:lang w:val="en-US" w:eastAsia="zh-CN"/>
              </w:rPr>
              <w:t>生态环境</w:t>
            </w:r>
            <w:r>
              <w:rPr>
                <w:rFonts w:hint="default" w:ascii="Times New Roman" w:hAnsi="Times New Roman" w:cs="Times New Roman"/>
                <w:sz w:val="24"/>
                <w:szCs w:val="24"/>
              </w:rPr>
              <w:t>行政主管部门，审批后作为</w:t>
            </w:r>
            <w:r>
              <w:rPr>
                <w:rFonts w:hint="eastAsia" w:ascii="Times New Roman" w:hAnsi="Times New Roman" w:cs="Times New Roman"/>
                <w:sz w:val="24"/>
                <w:szCs w:val="24"/>
                <w:lang w:val="en-US" w:eastAsia="zh-CN"/>
              </w:rPr>
              <w:t>生态环境</w:t>
            </w:r>
            <w:r>
              <w:rPr>
                <w:rFonts w:hint="default" w:ascii="Times New Roman" w:hAnsi="Times New Roman" w:cs="Times New Roman"/>
                <w:sz w:val="24"/>
                <w:szCs w:val="24"/>
              </w:rPr>
              <w:t>部门和该企业进行环境管理的依据。</w:t>
            </w:r>
          </w:p>
          <w:p w14:paraId="64990128">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sz w:val="24"/>
                <w:szCs w:val="24"/>
                <w:lang w:eastAsia="zh-CN"/>
              </w:rPr>
            </w:pPr>
            <w:r>
              <w:rPr>
                <w:rFonts w:hint="eastAsia" w:cs="Times New Roman"/>
                <w:b/>
                <w:bCs/>
                <w:sz w:val="24"/>
                <w:szCs w:val="24"/>
                <w:lang w:val="en-US" w:eastAsia="zh-CN"/>
              </w:rPr>
              <w:t xml:space="preserve">2 </w:t>
            </w:r>
            <w:r>
              <w:rPr>
                <w:rFonts w:hint="default" w:ascii="Times New Roman" w:hAnsi="Times New Roman" w:eastAsia="宋体" w:cs="Times New Roman"/>
                <w:b/>
                <w:bCs/>
                <w:sz w:val="24"/>
                <w:szCs w:val="24"/>
                <w:lang w:eastAsia="zh-CN"/>
              </w:rPr>
              <w:t>主要建设内容</w:t>
            </w:r>
          </w:p>
          <w:p w14:paraId="5F7FD8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720" w:firstLineChars="300"/>
              <w:jc w:val="left"/>
              <w:textAlignment w:val="auto"/>
              <w:rPr>
                <w:rFonts w:hint="default"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color w:val="000000"/>
                <w:sz w:val="24"/>
                <w:szCs w:val="24"/>
                <w:lang w:val="en-US" w:eastAsia="zh-CN"/>
              </w:rPr>
              <w:t>本项目</w:t>
            </w:r>
            <w:r>
              <w:rPr>
                <w:rFonts w:hint="default" w:ascii="Times New Roman" w:hAnsi="Times New Roman" w:eastAsia="宋体" w:cs="Times New Roman"/>
                <w:color w:val="auto"/>
                <w:kern w:val="0"/>
                <w:sz w:val="24"/>
                <w:szCs w:val="24"/>
                <w:highlight w:val="none"/>
              </w:rPr>
              <w:t>年</w:t>
            </w:r>
            <w:r>
              <w:rPr>
                <w:rFonts w:hint="eastAsia" w:cs="Times New Roman"/>
                <w:color w:val="auto"/>
                <w:kern w:val="0"/>
                <w:sz w:val="24"/>
                <w:szCs w:val="24"/>
                <w:highlight w:val="none"/>
                <w:lang w:val="en-US" w:eastAsia="zh-CN"/>
              </w:rPr>
              <w:t>加工12万吨棉籽原料，</w:t>
            </w:r>
            <w:r>
              <w:rPr>
                <w:rFonts w:hint="default" w:ascii="Times New Roman" w:hAnsi="Times New Roman" w:eastAsia="宋体" w:cs="Times New Roman"/>
                <w:color w:val="auto"/>
                <w:kern w:val="0"/>
                <w:sz w:val="24"/>
                <w:szCs w:val="24"/>
                <w:highlight w:val="none"/>
                <w:lang w:eastAsia="zh-CN"/>
              </w:rPr>
              <w:t>生产</w:t>
            </w:r>
            <w:r>
              <w:rPr>
                <w:rFonts w:hint="eastAsia" w:cs="Times New Roman"/>
                <w:color w:val="auto"/>
                <w:kern w:val="0"/>
                <w:sz w:val="24"/>
                <w:szCs w:val="24"/>
                <w:highlight w:val="none"/>
                <w:lang w:val="en-US" w:eastAsia="zh-CN"/>
              </w:rPr>
              <w:t>1.2万吨三级棉籽</w:t>
            </w:r>
            <w:r>
              <w:rPr>
                <w:rFonts w:hint="eastAsia" w:ascii="Times New Roman" w:hAnsi="Times New Roman" w:eastAsia="宋体" w:cs="Times New Roman"/>
                <w:color w:val="auto"/>
                <w:kern w:val="0"/>
                <w:sz w:val="24"/>
                <w:szCs w:val="24"/>
                <w:lang w:val="en-US" w:eastAsia="zh-CN"/>
              </w:rPr>
              <w:t>油</w:t>
            </w:r>
            <w:r>
              <w:rPr>
                <w:rFonts w:hint="eastAsia" w:cs="Times New Roman"/>
                <w:color w:val="auto"/>
                <w:kern w:val="0"/>
                <w:sz w:val="24"/>
                <w:szCs w:val="24"/>
                <w:lang w:val="en-US" w:eastAsia="zh-CN"/>
              </w:rPr>
              <w:t>，棉粕年产能4万吨（副产品为短绒、壳、皂</w:t>
            </w:r>
            <w:r>
              <w:rPr>
                <w:rFonts w:hint="eastAsia" w:cs="Times New Roman"/>
                <w:color w:val="auto"/>
                <w:kern w:val="0"/>
                <w:sz w:val="24"/>
                <w:szCs w:val="24"/>
                <w:highlight w:val="none"/>
                <w:lang w:val="en-US" w:eastAsia="zh-CN"/>
              </w:rPr>
              <w:t>脚、棉油硬脂）</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本项目主要内容包括生产设施、辅助设施。总占地面积为</w:t>
            </w:r>
            <w:r>
              <w:rPr>
                <w:rFonts w:hint="eastAsia" w:cs="Times New Roman"/>
                <w:color w:val="auto"/>
                <w:kern w:val="0"/>
                <w:sz w:val="24"/>
                <w:szCs w:val="24"/>
                <w:highlight w:val="none"/>
                <w:lang w:val="en-US" w:eastAsia="zh-CN"/>
              </w:rPr>
              <w:t>73183.13</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rPr>
              <w:t>，总建筑面积为</w:t>
            </w:r>
            <w:r>
              <w:rPr>
                <w:rFonts w:hint="eastAsia" w:cs="Times New Roman"/>
                <w:color w:val="auto"/>
                <w:kern w:val="0"/>
                <w:sz w:val="24"/>
                <w:szCs w:val="24"/>
                <w:highlight w:val="none"/>
                <w:lang w:val="en-US" w:eastAsia="zh-CN"/>
              </w:rPr>
              <w:t>12135.25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本项目主要构筑物一览表见下表</w:t>
            </w:r>
            <w:r>
              <w:rPr>
                <w:rFonts w:hint="eastAsia" w:cs="Times New Roman"/>
                <w:b w:val="0"/>
                <w:bCs w:val="0"/>
                <w:color w:val="auto"/>
                <w:kern w:val="0"/>
                <w:sz w:val="24"/>
                <w:szCs w:val="24"/>
                <w:highlight w:val="none"/>
                <w:lang w:val="en-US" w:eastAsia="zh-CN"/>
              </w:rPr>
              <w:t>2-1</w:t>
            </w:r>
            <w:r>
              <w:rPr>
                <w:rFonts w:hint="default" w:ascii="Times New Roman" w:hAnsi="Times New Roman" w:eastAsia="宋体" w:cs="Times New Roman"/>
                <w:b w:val="0"/>
                <w:bCs w:val="0"/>
                <w:color w:val="auto"/>
                <w:kern w:val="0"/>
                <w:sz w:val="24"/>
                <w:szCs w:val="24"/>
                <w:highlight w:val="none"/>
              </w:rPr>
              <w:t>。</w:t>
            </w:r>
          </w:p>
          <w:p w14:paraId="595165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 xml:space="preserve">表2-1   本项目主要情况一览表 </w:t>
            </w:r>
          </w:p>
          <w:tbl>
            <w:tblPr>
              <w:tblStyle w:val="21"/>
              <w:tblW w:w="495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7"/>
              <w:gridCol w:w="1233"/>
              <w:gridCol w:w="1392"/>
              <w:gridCol w:w="1252"/>
              <w:gridCol w:w="2484"/>
            </w:tblGrid>
            <w:tr w14:paraId="3BED6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 w:hRule="atLeast"/>
                <w:jc w:val="center"/>
              </w:trPr>
              <w:tc>
                <w:tcPr>
                  <w:tcW w:w="735" w:type="pct"/>
                  <w:tcBorders>
                    <w:tl2br w:val="nil"/>
                    <w:tr2bl w:val="nil"/>
                  </w:tcBorders>
                  <w:noWrap w:val="0"/>
                  <w:vAlign w:val="center"/>
                </w:tcPr>
                <w:p w14:paraId="6340A42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工程类别</w:t>
                  </w:r>
                </w:p>
              </w:tc>
              <w:tc>
                <w:tcPr>
                  <w:tcW w:w="826" w:type="pct"/>
                  <w:tcBorders>
                    <w:tl2br w:val="nil"/>
                    <w:tr2bl w:val="nil"/>
                  </w:tcBorders>
                  <w:noWrap w:val="0"/>
                  <w:vAlign w:val="center"/>
                </w:tcPr>
                <w:p w14:paraId="5EEF485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名称</w:t>
                  </w:r>
                </w:p>
              </w:tc>
              <w:tc>
                <w:tcPr>
                  <w:tcW w:w="1773" w:type="pct"/>
                  <w:gridSpan w:val="2"/>
                  <w:tcBorders>
                    <w:tl2br w:val="nil"/>
                    <w:tr2bl w:val="nil"/>
                  </w:tcBorders>
                  <w:noWrap w:val="0"/>
                  <w:vAlign w:val="center"/>
                </w:tcPr>
                <w:p w14:paraId="0646B6C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主要建设内容</w:t>
                  </w:r>
                  <w:r>
                    <w:rPr>
                      <w:rFonts w:hint="default" w:ascii="Times New Roman" w:hAnsi="Times New Roman" w:eastAsia="宋体" w:cs="Times New Roman"/>
                      <w:b w:val="0"/>
                      <w:bCs/>
                      <w:sz w:val="21"/>
                      <w:szCs w:val="21"/>
                    </w:rPr>
                    <w:t>（</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2</w:t>
                  </w:r>
                  <w:r>
                    <w:rPr>
                      <w:rFonts w:hint="default" w:ascii="Times New Roman" w:hAnsi="Times New Roman" w:eastAsia="宋体" w:cs="Times New Roman"/>
                      <w:b w:val="0"/>
                      <w:bCs/>
                      <w:sz w:val="21"/>
                      <w:szCs w:val="21"/>
                    </w:rPr>
                    <w:t>）</w:t>
                  </w:r>
                </w:p>
              </w:tc>
              <w:tc>
                <w:tcPr>
                  <w:tcW w:w="1665" w:type="pct"/>
                  <w:tcBorders>
                    <w:tl2br w:val="nil"/>
                    <w:tr2bl w:val="nil"/>
                  </w:tcBorders>
                  <w:noWrap w:val="0"/>
                  <w:vAlign w:val="center"/>
                </w:tcPr>
                <w:p w14:paraId="190728D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备注</w:t>
                  </w:r>
                </w:p>
              </w:tc>
            </w:tr>
            <w:tr w14:paraId="73500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6" w:hRule="atLeast"/>
                <w:jc w:val="center"/>
              </w:trPr>
              <w:tc>
                <w:tcPr>
                  <w:tcW w:w="735" w:type="pct"/>
                  <w:vMerge w:val="restart"/>
                  <w:tcBorders>
                    <w:tl2br w:val="nil"/>
                    <w:tr2bl w:val="nil"/>
                  </w:tcBorders>
                  <w:noWrap w:val="0"/>
                  <w:vAlign w:val="center"/>
                </w:tcPr>
                <w:p w14:paraId="2279399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主体</w:t>
                  </w:r>
                  <w:r>
                    <w:rPr>
                      <w:rFonts w:hint="default" w:ascii="Times New Roman" w:hAnsi="Times New Roman" w:eastAsia="宋体" w:cs="Times New Roman"/>
                      <w:sz w:val="21"/>
                      <w:szCs w:val="21"/>
                    </w:rPr>
                    <w:t>工程</w:t>
                  </w:r>
                </w:p>
              </w:tc>
              <w:tc>
                <w:tcPr>
                  <w:tcW w:w="826" w:type="pct"/>
                  <w:tcBorders>
                    <w:tl2br w:val="nil"/>
                    <w:tr2bl w:val="nil"/>
                  </w:tcBorders>
                  <w:noWrap w:val="0"/>
                  <w:vAlign w:val="center"/>
                </w:tcPr>
                <w:p w14:paraId="3BCF8A6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剥</w:t>
                  </w:r>
                  <w:r>
                    <w:rPr>
                      <w:rFonts w:hint="default" w:ascii="Times New Roman" w:hAnsi="Times New Roman" w:eastAsia="宋体" w:cs="Times New Roman"/>
                      <w:color w:val="auto"/>
                      <w:sz w:val="21"/>
                      <w:szCs w:val="21"/>
                    </w:rPr>
                    <w:t>绒车间</w:t>
                  </w:r>
                </w:p>
              </w:tc>
              <w:tc>
                <w:tcPr>
                  <w:tcW w:w="1773" w:type="pct"/>
                  <w:gridSpan w:val="2"/>
                  <w:tcBorders>
                    <w:tl2br w:val="nil"/>
                    <w:tr2bl w:val="nil"/>
                  </w:tcBorders>
                  <w:noWrap w:val="0"/>
                  <w:vAlign w:val="center"/>
                </w:tcPr>
                <w:p w14:paraId="29FCCFC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建设车间2502</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，主要为棉籽进行剥绒，绒回收后打包外售。</w:t>
                  </w:r>
                </w:p>
              </w:tc>
              <w:tc>
                <w:tcPr>
                  <w:tcW w:w="1665" w:type="pct"/>
                  <w:tcBorders>
                    <w:tl2br w:val="nil"/>
                    <w:tr2bl w:val="nil"/>
                  </w:tcBorders>
                  <w:noWrap w:val="0"/>
                  <w:vAlign w:val="center"/>
                </w:tcPr>
                <w:p w14:paraId="6D35162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已建成（原有剥</w:t>
                  </w:r>
                  <w:r>
                    <w:rPr>
                      <w:rFonts w:hint="default" w:ascii="Times New Roman" w:hAnsi="Times New Roman" w:eastAsia="宋体" w:cs="Times New Roman"/>
                      <w:color w:val="auto"/>
                      <w:sz w:val="21"/>
                      <w:szCs w:val="21"/>
                    </w:rPr>
                    <w:t>绒车间</w:t>
                  </w:r>
                  <w:r>
                    <w:rPr>
                      <w:rFonts w:hint="eastAsia" w:ascii="Times New Roman" w:hAnsi="Times New Roman" w:eastAsia="宋体" w:cs="Times New Roman"/>
                      <w:color w:val="auto"/>
                      <w:sz w:val="21"/>
                      <w:szCs w:val="21"/>
                      <w:lang w:val="en-US" w:eastAsia="zh-CN"/>
                    </w:rPr>
                    <w:t>已拆除）</w:t>
                  </w:r>
                </w:p>
              </w:tc>
            </w:tr>
            <w:tr w14:paraId="2B93E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jc w:val="center"/>
              </w:trPr>
              <w:tc>
                <w:tcPr>
                  <w:tcW w:w="735" w:type="pct"/>
                  <w:vMerge w:val="continue"/>
                  <w:tcBorders>
                    <w:tl2br w:val="nil"/>
                    <w:tr2bl w:val="nil"/>
                  </w:tcBorders>
                  <w:noWrap w:val="0"/>
                  <w:vAlign w:val="center"/>
                </w:tcPr>
                <w:p w14:paraId="3A9CB58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49B9D85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预处理车间</w:t>
                  </w:r>
                </w:p>
              </w:tc>
              <w:tc>
                <w:tcPr>
                  <w:tcW w:w="1773" w:type="pct"/>
                  <w:gridSpan w:val="2"/>
                  <w:tcBorders>
                    <w:tl2br w:val="nil"/>
                    <w:tr2bl w:val="nil"/>
                  </w:tcBorders>
                  <w:noWrap w:val="0"/>
                  <w:vAlign w:val="center"/>
                </w:tcPr>
                <w:p w14:paraId="2F47BF4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建设车间900</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，对光籽进行预处理，棉壳打包回收，棉胚进入浸出车间。</w:t>
                  </w:r>
                </w:p>
              </w:tc>
              <w:tc>
                <w:tcPr>
                  <w:tcW w:w="1665" w:type="pct"/>
                  <w:tcBorders>
                    <w:tl2br w:val="nil"/>
                    <w:tr2bl w:val="nil"/>
                  </w:tcBorders>
                  <w:noWrap w:val="0"/>
                  <w:vAlign w:val="center"/>
                </w:tcPr>
                <w:p w14:paraId="61B65AC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已建成（原有预炸车间已拆除）</w:t>
                  </w:r>
                </w:p>
              </w:tc>
            </w:tr>
            <w:tr w14:paraId="73BA6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jc w:val="center"/>
              </w:trPr>
              <w:tc>
                <w:tcPr>
                  <w:tcW w:w="735" w:type="pct"/>
                  <w:vMerge w:val="continue"/>
                  <w:tcBorders>
                    <w:tl2br w:val="nil"/>
                    <w:tr2bl w:val="nil"/>
                  </w:tcBorders>
                  <w:noWrap w:val="0"/>
                  <w:vAlign w:val="center"/>
                </w:tcPr>
                <w:p w14:paraId="6A3827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3837A1C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浸出</w:t>
                  </w:r>
                  <w:r>
                    <w:rPr>
                      <w:rFonts w:hint="default" w:ascii="Times New Roman" w:hAnsi="Times New Roman" w:eastAsia="宋体" w:cs="Times New Roman"/>
                      <w:color w:val="auto"/>
                      <w:sz w:val="21"/>
                      <w:szCs w:val="21"/>
                      <w:lang w:val="en-US" w:eastAsia="zh-CN"/>
                    </w:rPr>
                    <w:t>车间</w:t>
                  </w:r>
                </w:p>
              </w:tc>
              <w:tc>
                <w:tcPr>
                  <w:tcW w:w="1773" w:type="pct"/>
                  <w:gridSpan w:val="2"/>
                  <w:tcBorders>
                    <w:tl2br w:val="nil"/>
                    <w:tr2bl w:val="nil"/>
                  </w:tcBorders>
                  <w:noWrap w:val="0"/>
                  <w:vAlign w:val="center"/>
                </w:tcPr>
                <w:p w14:paraId="7CDFEAD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建设车间</w:t>
                  </w:r>
                  <w:r>
                    <w:rPr>
                      <w:rFonts w:hint="eastAsia" w:ascii="Times New Roman" w:hAnsi="Times New Roman" w:eastAsia="宋体" w:cs="Times New Roman"/>
                      <w:color w:val="auto"/>
                      <w:sz w:val="21"/>
                      <w:szCs w:val="21"/>
                      <w:lang w:val="en-US" w:eastAsia="zh-CN"/>
                    </w:rPr>
                    <w:t>882</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，对棉胚进行浸出提油，毛油进入精炼车间，植物蛋白进入粉碎包装车间。</w:t>
                  </w:r>
                </w:p>
              </w:tc>
              <w:tc>
                <w:tcPr>
                  <w:tcW w:w="1665" w:type="pct"/>
                  <w:tcBorders>
                    <w:tl2br w:val="nil"/>
                    <w:tr2bl w:val="nil"/>
                  </w:tcBorders>
                  <w:noWrap w:val="0"/>
                  <w:vAlign w:val="center"/>
                </w:tcPr>
                <w:p w14:paraId="718B499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已建成车间</w:t>
                  </w:r>
                </w:p>
              </w:tc>
            </w:tr>
            <w:tr w14:paraId="401E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jc w:val="center"/>
              </w:trPr>
              <w:tc>
                <w:tcPr>
                  <w:tcW w:w="735" w:type="pct"/>
                  <w:vMerge w:val="continue"/>
                  <w:tcBorders>
                    <w:tl2br w:val="nil"/>
                    <w:tr2bl w:val="nil"/>
                  </w:tcBorders>
                  <w:noWrap w:val="0"/>
                  <w:vAlign w:val="center"/>
                </w:tcPr>
                <w:p w14:paraId="14374C8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3AA6F58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精炼</w:t>
                  </w:r>
                  <w:r>
                    <w:rPr>
                      <w:rFonts w:hint="default" w:ascii="Times New Roman" w:hAnsi="Times New Roman" w:eastAsia="宋体" w:cs="Times New Roman"/>
                      <w:color w:val="auto"/>
                      <w:sz w:val="21"/>
                      <w:szCs w:val="21"/>
                    </w:rPr>
                    <w:t>车间</w:t>
                  </w:r>
                </w:p>
              </w:tc>
              <w:tc>
                <w:tcPr>
                  <w:tcW w:w="1773" w:type="pct"/>
                  <w:gridSpan w:val="2"/>
                  <w:tcBorders>
                    <w:tl2br w:val="nil"/>
                    <w:tr2bl w:val="nil"/>
                  </w:tcBorders>
                  <w:noWrap w:val="0"/>
                  <w:vAlign w:val="center"/>
                </w:tcPr>
                <w:p w14:paraId="454B31B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建设车间</w:t>
                  </w:r>
                  <w:r>
                    <w:rPr>
                      <w:rFonts w:hint="eastAsia" w:ascii="Times New Roman" w:hAnsi="Times New Roman" w:eastAsia="宋体" w:cs="Times New Roman"/>
                      <w:color w:val="auto"/>
                      <w:sz w:val="21"/>
                      <w:szCs w:val="21"/>
                      <w:lang w:val="en-US" w:eastAsia="zh-CN"/>
                    </w:rPr>
                    <w:t>312</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，毛油进入精炼工艺后，成品油（三级油）外售。</w:t>
                  </w:r>
                </w:p>
              </w:tc>
              <w:tc>
                <w:tcPr>
                  <w:tcW w:w="1665" w:type="pct"/>
                  <w:tcBorders>
                    <w:tl2br w:val="nil"/>
                    <w:tr2bl w:val="nil"/>
                  </w:tcBorders>
                  <w:noWrap w:val="0"/>
                  <w:vAlign w:val="center"/>
                </w:tcPr>
                <w:p w14:paraId="769AF0A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已建成车间</w:t>
                  </w:r>
                </w:p>
              </w:tc>
            </w:tr>
            <w:tr w14:paraId="7F5B2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jc w:val="center"/>
              </w:trPr>
              <w:tc>
                <w:tcPr>
                  <w:tcW w:w="735" w:type="pct"/>
                  <w:vMerge w:val="continue"/>
                  <w:tcBorders>
                    <w:tl2br w:val="nil"/>
                    <w:tr2bl w:val="nil"/>
                  </w:tcBorders>
                  <w:noWrap w:val="0"/>
                  <w:vAlign w:val="center"/>
                </w:tcPr>
                <w:p w14:paraId="6736514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3132C96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粉碎包装车间</w:t>
                  </w:r>
                </w:p>
              </w:tc>
              <w:tc>
                <w:tcPr>
                  <w:tcW w:w="1773" w:type="pct"/>
                  <w:gridSpan w:val="2"/>
                  <w:tcBorders>
                    <w:tl2br w:val="nil"/>
                    <w:tr2bl w:val="nil"/>
                  </w:tcBorders>
                  <w:noWrap w:val="0"/>
                  <w:vAlign w:val="center"/>
                </w:tcPr>
                <w:p w14:paraId="34B00B9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建设车间</w:t>
                  </w:r>
                  <w:r>
                    <w:rPr>
                      <w:rFonts w:hint="eastAsia" w:ascii="Times New Roman" w:hAnsi="Times New Roman" w:eastAsia="宋体" w:cs="Times New Roman"/>
                      <w:color w:val="auto"/>
                      <w:sz w:val="21"/>
                      <w:szCs w:val="21"/>
                      <w:lang w:val="en-US" w:eastAsia="zh-CN"/>
                    </w:rPr>
                    <w:t>2597</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2</w:t>
                  </w:r>
                  <w:r>
                    <w:rPr>
                      <w:rFonts w:hint="eastAsia" w:ascii="Times New Roman" w:hAnsi="Times New Roman" w:eastAsia="宋体" w:cs="Times New Roman"/>
                      <w:b w:val="0"/>
                      <w:bCs/>
                      <w:sz w:val="21"/>
                      <w:szCs w:val="21"/>
                      <w:vertAlign w:val="baseline"/>
                      <w:lang w:val="en-US" w:eastAsia="zh-CN"/>
                    </w:rPr>
                    <w:t>，植物蛋白破碎后外售。</w:t>
                  </w:r>
                </w:p>
              </w:tc>
              <w:tc>
                <w:tcPr>
                  <w:tcW w:w="1665" w:type="pct"/>
                  <w:tcBorders>
                    <w:tl2br w:val="nil"/>
                    <w:tr2bl w:val="nil"/>
                  </w:tcBorders>
                  <w:noWrap w:val="0"/>
                  <w:vAlign w:val="center"/>
                </w:tcPr>
                <w:p w14:paraId="0C2D28A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已建成车间</w:t>
                  </w:r>
                </w:p>
              </w:tc>
            </w:tr>
            <w:tr w14:paraId="38CB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5" w:type="pct"/>
                  <w:vMerge w:val="restart"/>
                  <w:tcBorders>
                    <w:tl2br w:val="nil"/>
                    <w:tr2bl w:val="nil"/>
                  </w:tcBorders>
                  <w:noWrap w:val="0"/>
                  <w:vAlign w:val="center"/>
                </w:tcPr>
                <w:p w14:paraId="0589634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辅助工程</w:t>
                  </w:r>
                </w:p>
              </w:tc>
              <w:tc>
                <w:tcPr>
                  <w:tcW w:w="826" w:type="pct"/>
                  <w:tcBorders>
                    <w:tl2br w:val="nil"/>
                    <w:tr2bl w:val="nil"/>
                  </w:tcBorders>
                  <w:noWrap w:val="0"/>
                  <w:vAlign w:val="center"/>
                </w:tcPr>
                <w:p w14:paraId="6DADF84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地磅</w:t>
                  </w:r>
                  <w:r>
                    <w:rPr>
                      <w:rFonts w:hint="default" w:ascii="Times New Roman" w:hAnsi="Times New Roman" w:eastAsia="宋体" w:cs="Times New Roman"/>
                      <w:color w:val="auto"/>
                      <w:sz w:val="21"/>
                      <w:szCs w:val="21"/>
                      <w:highlight w:val="none"/>
                      <w:lang w:val="en-US" w:eastAsia="zh-CN"/>
                    </w:rPr>
                    <w:t>房</w:t>
                  </w:r>
                </w:p>
              </w:tc>
              <w:tc>
                <w:tcPr>
                  <w:tcW w:w="1773" w:type="pct"/>
                  <w:gridSpan w:val="2"/>
                  <w:tcBorders>
                    <w:tl2br w:val="nil"/>
                    <w:tr2bl w:val="nil"/>
                  </w:tcBorders>
                  <w:noWrap w:val="0"/>
                  <w:vAlign w:val="center"/>
                </w:tcPr>
                <w:p w14:paraId="26897B4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665" w:type="pct"/>
                  <w:tcBorders>
                    <w:tl2br w:val="nil"/>
                    <w:tr2bl w:val="nil"/>
                  </w:tcBorders>
                  <w:noWrap w:val="0"/>
                  <w:vAlign w:val="center"/>
                </w:tcPr>
                <w:p w14:paraId="2CFC744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59656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735" w:type="pct"/>
                  <w:vMerge w:val="continue"/>
                  <w:tcBorders>
                    <w:tl2br w:val="nil"/>
                    <w:tr2bl w:val="nil"/>
                  </w:tcBorders>
                  <w:noWrap w:val="0"/>
                  <w:vAlign w:val="center"/>
                </w:tcPr>
                <w:p w14:paraId="5863E9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826" w:type="pct"/>
                  <w:tcBorders>
                    <w:tl2br w:val="nil"/>
                    <w:tr2bl w:val="nil"/>
                  </w:tcBorders>
                  <w:noWrap w:val="0"/>
                  <w:vAlign w:val="center"/>
                </w:tcPr>
                <w:p w14:paraId="08BC43D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预处理变压器室</w:t>
                  </w:r>
                </w:p>
              </w:tc>
              <w:tc>
                <w:tcPr>
                  <w:tcW w:w="1773" w:type="pct"/>
                  <w:gridSpan w:val="2"/>
                  <w:tcBorders>
                    <w:tl2br w:val="nil"/>
                    <w:tr2bl w:val="nil"/>
                  </w:tcBorders>
                  <w:noWrap w:val="0"/>
                  <w:vAlign w:val="center"/>
                </w:tcPr>
                <w:p w14:paraId="61C4CA0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165</w:t>
                  </w:r>
                </w:p>
              </w:tc>
              <w:tc>
                <w:tcPr>
                  <w:tcW w:w="1665" w:type="pct"/>
                  <w:tcBorders>
                    <w:tl2br w:val="nil"/>
                    <w:tr2bl w:val="nil"/>
                  </w:tcBorders>
                  <w:noWrap w:val="0"/>
                  <w:vAlign w:val="center"/>
                </w:tcPr>
                <w:p w14:paraId="7CBC5FF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已建成</w:t>
                  </w:r>
                </w:p>
              </w:tc>
            </w:tr>
            <w:tr w14:paraId="730F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735" w:type="pct"/>
                  <w:vMerge w:val="continue"/>
                  <w:tcBorders>
                    <w:tl2br w:val="nil"/>
                    <w:tr2bl w:val="nil"/>
                  </w:tcBorders>
                  <w:noWrap w:val="0"/>
                  <w:vAlign w:val="center"/>
                </w:tcPr>
                <w:p w14:paraId="11D5257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826" w:type="pct"/>
                  <w:tcBorders>
                    <w:tl2br w:val="nil"/>
                    <w:tr2bl w:val="nil"/>
                  </w:tcBorders>
                  <w:noWrap w:val="0"/>
                  <w:vAlign w:val="center"/>
                </w:tcPr>
                <w:p w14:paraId="73332911">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剥</w:t>
                  </w:r>
                  <w:r>
                    <w:rPr>
                      <w:rFonts w:hint="default" w:ascii="Times New Roman" w:hAnsi="Times New Roman" w:eastAsia="宋体" w:cs="Times New Roman"/>
                      <w:color w:val="auto"/>
                      <w:sz w:val="21"/>
                      <w:szCs w:val="21"/>
                    </w:rPr>
                    <w:t>绒</w:t>
                  </w:r>
                  <w:r>
                    <w:rPr>
                      <w:rFonts w:hint="eastAsia" w:ascii="Times New Roman" w:hAnsi="Times New Roman" w:eastAsia="宋体" w:cs="Times New Roman"/>
                      <w:color w:val="auto"/>
                      <w:sz w:val="21"/>
                      <w:szCs w:val="21"/>
                      <w:lang w:val="en-US" w:eastAsia="zh-CN"/>
                    </w:rPr>
                    <w:t>变压器室</w:t>
                  </w:r>
                </w:p>
              </w:tc>
              <w:tc>
                <w:tcPr>
                  <w:tcW w:w="1773" w:type="pct"/>
                  <w:gridSpan w:val="2"/>
                  <w:tcBorders>
                    <w:tl2br w:val="nil"/>
                    <w:tr2bl w:val="nil"/>
                  </w:tcBorders>
                  <w:noWrap w:val="0"/>
                  <w:vAlign w:val="center"/>
                </w:tcPr>
                <w:p w14:paraId="12037CF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w:t>
                  </w:r>
                </w:p>
              </w:tc>
              <w:tc>
                <w:tcPr>
                  <w:tcW w:w="1665" w:type="pct"/>
                  <w:tcBorders>
                    <w:tl2br w:val="nil"/>
                    <w:tr2bl w:val="nil"/>
                  </w:tcBorders>
                  <w:noWrap w:val="0"/>
                  <w:vAlign w:val="center"/>
                </w:tcPr>
                <w:p w14:paraId="054E24B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5C05B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9" w:hRule="atLeast"/>
                <w:jc w:val="center"/>
              </w:trPr>
              <w:tc>
                <w:tcPr>
                  <w:tcW w:w="735" w:type="pct"/>
                  <w:vMerge w:val="continue"/>
                  <w:tcBorders>
                    <w:tl2br w:val="nil"/>
                    <w:tr2bl w:val="nil"/>
                  </w:tcBorders>
                  <w:noWrap w:val="0"/>
                  <w:vAlign w:val="center"/>
                </w:tcPr>
                <w:p w14:paraId="65025B6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1D89D9D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门卫室</w:t>
                  </w:r>
                </w:p>
              </w:tc>
              <w:tc>
                <w:tcPr>
                  <w:tcW w:w="1773" w:type="pct"/>
                  <w:gridSpan w:val="2"/>
                  <w:tcBorders>
                    <w:tl2br w:val="nil"/>
                    <w:tr2bl w:val="nil"/>
                  </w:tcBorders>
                  <w:noWrap w:val="0"/>
                  <w:vAlign w:val="center"/>
                </w:tcPr>
                <w:p w14:paraId="378349F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665" w:type="pct"/>
                  <w:tcBorders>
                    <w:tl2br w:val="nil"/>
                    <w:tr2bl w:val="nil"/>
                  </w:tcBorders>
                  <w:noWrap w:val="0"/>
                  <w:vAlign w:val="center"/>
                </w:tcPr>
                <w:p w14:paraId="1EE090B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已建成</w:t>
                  </w:r>
                </w:p>
              </w:tc>
            </w:tr>
            <w:tr w14:paraId="562E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jc w:val="center"/>
              </w:trPr>
              <w:tc>
                <w:tcPr>
                  <w:tcW w:w="735" w:type="pct"/>
                  <w:vMerge w:val="continue"/>
                  <w:tcBorders>
                    <w:tl2br w:val="nil"/>
                    <w:tr2bl w:val="nil"/>
                  </w:tcBorders>
                  <w:noWrap w:val="0"/>
                  <w:vAlign w:val="center"/>
                </w:tcPr>
                <w:p w14:paraId="60EE3C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13DED77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办公室</w:t>
                  </w:r>
                </w:p>
              </w:tc>
              <w:tc>
                <w:tcPr>
                  <w:tcW w:w="1773" w:type="pct"/>
                  <w:gridSpan w:val="2"/>
                  <w:tcBorders>
                    <w:tl2br w:val="nil"/>
                    <w:tr2bl w:val="nil"/>
                  </w:tcBorders>
                  <w:noWrap w:val="0"/>
                  <w:vAlign w:val="center"/>
                </w:tcPr>
                <w:p w14:paraId="1332F56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270</w:t>
                  </w:r>
                </w:p>
              </w:tc>
              <w:tc>
                <w:tcPr>
                  <w:tcW w:w="1665" w:type="pct"/>
                  <w:tcBorders>
                    <w:tl2br w:val="nil"/>
                    <w:tr2bl w:val="nil"/>
                  </w:tcBorders>
                  <w:noWrap w:val="0"/>
                  <w:vAlign w:val="center"/>
                </w:tcPr>
                <w:p w14:paraId="6DE7C43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6F24B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jc w:val="center"/>
              </w:trPr>
              <w:tc>
                <w:tcPr>
                  <w:tcW w:w="735" w:type="pct"/>
                  <w:vMerge w:val="continue"/>
                  <w:tcBorders>
                    <w:tl2br w:val="nil"/>
                    <w:tr2bl w:val="nil"/>
                  </w:tcBorders>
                  <w:noWrap w:val="0"/>
                  <w:vAlign w:val="center"/>
                </w:tcPr>
                <w:p w14:paraId="305E024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63049EB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宿舍</w:t>
                  </w:r>
                </w:p>
              </w:tc>
              <w:tc>
                <w:tcPr>
                  <w:tcW w:w="1773" w:type="pct"/>
                  <w:gridSpan w:val="2"/>
                  <w:tcBorders>
                    <w:tl2br w:val="nil"/>
                    <w:tr2bl w:val="nil"/>
                  </w:tcBorders>
                  <w:noWrap w:val="0"/>
                  <w:vAlign w:val="center"/>
                </w:tcPr>
                <w:p w14:paraId="3EF70C2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540</w:t>
                  </w:r>
                </w:p>
              </w:tc>
              <w:tc>
                <w:tcPr>
                  <w:tcW w:w="1665" w:type="pct"/>
                  <w:tcBorders>
                    <w:tl2br w:val="nil"/>
                    <w:tr2bl w:val="nil"/>
                  </w:tcBorders>
                  <w:noWrap w:val="0"/>
                  <w:vAlign w:val="center"/>
                </w:tcPr>
                <w:p w14:paraId="4C0E035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已建成</w:t>
                  </w:r>
                </w:p>
              </w:tc>
            </w:tr>
            <w:tr w14:paraId="1EC77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jc w:val="center"/>
              </w:trPr>
              <w:tc>
                <w:tcPr>
                  <w:tcW w:w="735" w:type="pct"/>
                  <w:vMerge w:val="continue"/>
                  <w:tcBorders>
                    <w:tl2br w:val="nil"/>
                    <w:tr2bl w:val="nil"/>
                  </w:tcBorders>
                  <w:noWrap w:val="0"/>
                  <w:vAlign w:val="center"/>
                </w:tcPr>
                <w:p w14:paraId="5C02FDD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3BD6F33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办公楼</w:t>
                  </w:r>
                </w:p>
              </w:tc>
              <w:tc>
                <w:tcPr>
                  <w:tcW w:w="1773" w:type="pct"/>
                  <w:gridSpan w:val="2"/>
                  <w:tcBorders>
                    <w:tl2br w:val="nil"/>
                    <w:tr2bl w:val="nil"/>
                  </w:tcBorders>
                  <w:noWrap w:val="0"/>
                  <w:vAlign w:val="center"/>
                </w:tcPr>
                <w:p w14:paraId="201242C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480</w:t>
                  </w:r>
                </w:p>
              </w:tc>
              <w:tc>
                <w:tcPr>
                  <w:tcW w:w="1665" w:type="pct"/>
                  <w:tcBorders>
                    <w:tl2br w:val="nil"/>
                    <w:tr2bl w:val="nil"/>
                  </w:tcBorders>
                  <w:noWrap w:val="0"/>
                  <w:vAlign w:val="center"/>
                </w:tcPr>
                <w:p w14:paraId="36F050C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新建（2F）</w:t>
                  </w:r>
                </w:p>
              </w:tc>
            </w:tr>
            <w:tr w14:paraId="56E64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jc w:val="center"/>
              </w:trPr>
              <w:tc>
                <w:tcPr>
                  <w:tcW w:w="735" w:type="pct"/>
                  <w:vMerge w:val="continue"/>
                  <w:tcBorders>
                    <w:tl2br w:val="nil"/>
                    <w:tr2bl w:val="nil"/>
                  </w:tcBorders>
                  <w:noWrap w:val="0"/>
                  <w:vAlign w:val="center"/>
                </w:tcPr>
                <w:p w14:paraId="430C1BE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4143FF5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辅助用房</w:t>
                  </w:r>
                </w:p>
              </w:tc>
              <w:tc>
                <w:tcPr>
                  <w:tcW w:w="1773" w:type="pct"/>
                  <w:gridSpan w:val="2"/>
                  <w:tcBorders>
                    <w:tl2br w:val="nil"/>
                    <w:tr2bl w:val="nil"/>
                  </w:tcBorders>
                  <w:noWrap w:val="0"/>
                  <w:vAlign w:val="center"/>
                </w:tcPr>
                <w:p w14:paraId="298968B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1665" w:type="pct"/>
                  <w:tcBorders>
                    <w:tl2br w:val="nil"/>
                    <w:tr2bl w:val="nil"/>
                  </w:tcBorders>
                  <w:noWrap w:val="0"/>
                  <w:vAlign w:val="center"/>
                </w:tcPr>
                <w:p w14:paraId="32B8ACD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新建，包含消防控制室、发电机房、材料室、化验室库房、化验室（36m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/个）</w:t>
                  </w:r>
                </w:p>
              </w:tc>
            </w:tr>
            <w:tr w14:paraId="6E2C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continue"/>
                  <w:tcBorders>
                    <w:tl2br w:val="nil"/>
                    <w:tr2bl w:val="nil"/>
                  </w:tcBorders>
                  <w:noWrap w:val="0"/>
                  <w:vAlign w:val="center"/>
                </w:tcPr>
                <w:p w14:paraId="61E782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506C233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皂角池</w:t>
                  </w:r>
                </w:p>
              </w:tc>
              <w:tc>
                <w:tcPr>
                  <w:tcW w:w="1773" w:type="pct"/>
                  <w:gridSpan w:val="2"/>
                  <w:tcBorders>
                    <w:tl2br w:val="nil"/>
                    <w:tr2bl w:val="nil"/>
                  </w:tcBorders>
                  <w:noWrap w:val="0"/>
                  <w:vAlign w:val="center"/>
                </w:tcPr>
                <w:p w14:paraId="69F27E49">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195(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c>
                <w:tcPr>
                  <w:tcW w:w="1665" w:type="pct"/>
                  <w:tcBorders>
                    <w:tl2br w:val="nil"/>
                    <w:tr2bl w:val="nil"/>
                  </w:tcBorders>
                  <w:noWrap w:val="0"/>
                  <w:vAlign w:val="center"/>
                </w:tcPr>
                <w:p w14:paraId="42CF0F9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已建成</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精炼</w:t>
                  </w:r>
                  <w:r>
                    <w:rPr>
                      <w:rFonts w:hint="default" w:ascii="Times New Roman" w:hAnsi="Times New Roman" w:eastAsia="宋体" w:cs="Times New Roman"/>
                      <w:color w:val="auto"/>
                      <w:sz w:val="21"/>
                      <w:szCs w:val="21"/>
                      <w:lang w:val="en-US" w:eastAsia="zh-CN"/>
                    </w:rPr>
                    <w:t>车间地下负一层），皂角池满后定期外售</w:t>
                  </w:r>
                </w:p>
              </w:tc>
            </w:tr>
            <w:tr w14:paraId="7FF93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 w:hRule="atLeast"/>
                <w:jc w:val="center"/>
              </w:trPr>
              <w:tc>
                <w:tcPr>
                  <w:tcW w:w="735" w:type="pct"/>
                  <w:vMerge w:val="continue"/>
                  <w:tcBorders>
                    <w:tl2br w:val="nil"/>
                    <w:tr2bl w:val="nil"/>
                  </w:tcBorders>
                  <w:noWrap w:val="0"/>
                  <w:vAlign w:val="center"/>
                </w:tcPr>
                <w:p w14:paraId="05D568C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tc>
              <w:tc>
                <w:tcPr>
                  <w:tcW w:w="826" w:type="pct"/>
                  <w:tcBorders>
                    <w:tl2br w:val="nil"/>
                    <w:tr2bl w:val="nil"/>
                  </w:tcBorders>
                  <w:noWrap w:val="0"/>
                  <w:vAlign w:val="center"/>
                </w:tcPr>
                <w:p w14:paraId="1810F92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锅炉房</w:t>
                  </w:r>
                </w:p>
              </w:tc>
              <w:tc>
                <w:tcPr>
                  <w:tcW w:w="1773" w:type="pct"/>
                  <w:gridSpan w:val="2"/>
                  <w:tcBorders>
                    <w:tl2br w:val="nil"/>
                    <w:tr2bl w:val="nil"/>
                  </w:tcBorders>
                  <w:noWrap w:val="0"/>
                  <w:vAlign w:val="center"/>
                </w:tcPr>
                <w:p w14:paraId="1D1560E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1665" w:type="pct"/>
                  <w:tcBorders>
                    <w:tl2br w:val="nil"/>
                    <w:tr2bl w:val="nil"/>
                  </w:tcBorders>
                  <w:noWrap w:val="0"/>
                  <w:vAlign w:val="center"/>
                </w:tcPr>
                <w:p w14:paraId="77E0977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1E8F8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restart"/>
                  <w:tcBorders>
                    <w:tl2br w:val="nil"/>
                    <w:tr2bl w:val="nil"/>
                  </w:tcBorders>
                  <w:noWrap w:val="0"/>
                  <w:vAlign w:val="center"/>
                </w:tcPr>
                <w:p w14:paraId="06D80C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公用工程</w:t>
                  </w:r>
                </w:p>
              </w:tc>
              <w:tc>
                <w:tcPr>
                  <w:tcW w:w="826" w:type="pct"/>
                  <w:tcBorders>
                    <w:tl2br w:val="nil"/>
                    <w:tr2bl w:val="nil"/>
                  </w:tcBorders>
                  <w:noWrap w:val="0"/>
                  <w:vAlign w:val="center"/>
                </w:tcPr>
                <w:p w14:paraId="23779BE2">
                  <w:pPr>
                    <w:spacing w:line="320" w:lineRule="exact"/>
                    <w:ind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供水</w:t>
                  </w:r>
                </w:p>
              </w:tc>
              <w:tc>
                <w:tcPr>
                  <w:tcW w:w="3438" w:type="pct"/>
                  <w:gridSpan w:val="3"/>
                  <w:tcBorders>
                    <w:tl2br w:val="nil"/>
                    <w:tr2bl w:val="nil"/>
                  </w:tcBorders>
                  <w:noWrap w:val="0"/>
                  <w:vAlign w:val="center"/>
                </w:tcPr>
                <w:p w14:paraId="374B0C1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由</w:t>
                  </w:r>
                  <w:r>
                    <w:rPr>
                      <w:rFonts w:hint="eastAsia" w:ascii="Times New Roman" w:hAnsi="Times New Roman" w:eastAsia="宋体" w:cs="Times New Roman"/>
                      <w:sz w:val="21"/>
                      <w:szCs w:val="21"/>
                      <w:lang w:eastAsia="zh-CN"/>
                    </w:rPr>
                    <w:t>园区</w:t>
                  </w:r>
                  <w:r>
                    <w:rPr>
                      <w:rFonts w:hint="default" w:ascii="Times New Roman" w:hAnsi="Times New Roman" w:eastAsia="宋体" w:cs="Times New Roman"/>
                      <w:sz w:val="21"/>
                      <w:szCs w:val="21"/>
                    </w:rPr>
                    <w:t>供水系统供给</w:t>
                  </w:r>
                </w:p>
              </w:tc>
            </w:tr>
            <w:tr w14:paraId="6624B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continue"/>
                  <w:tcBorders>
                    <w:tl2br w:val="nil"/>
                    <w:tr2bl w:val="nil"/>
                  </w:tcBorders>
                  <w:noWrap w:val="0"/>
                  <w:vAlign w:val="center"/>
                </w:tcPr>
                <w:p w14:paraId="2623A14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057E03E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排水</w:t>
                  </w:r>
                </w:p>
              </w:tc>
              <w:tc>
                <w:tcPr>
                  <w:tcW w:w="3438" w:type="pct"/>
                  <w:gridSpan w:val="3"/>
                  <w:tcBorders>
                    <w:tl2br w:val="nil"/>
                    <w:tr2bl w:val="nil"/>
                  </w:tcBorders>
                  <w:noWrap w:val="0"/>
                  <w:vAlign w:val="center"/>
                </w:tcPr>
                <w:p w14:paraId="50F5EB5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生活、生产污水经污水处理</w:t>
                  </w:r>
                  <w:r>
                    <w:rPr>
                      <w:rFonts w:hint="eastAsia" w:ascii="Times New Roman" w:hAnsi="Times New Roman" w:eastAsia="宋体" w:cs="Times New Roman"/>
                      <w:color w:val="auto"/>
                      <w:sz w:val="21"/>
                      <w:szCs w:val="21"/>
                      <w:lang w:val="en-US" w:eastAsia="zh-CN"/>
                    </w:rPr>
                    <w:t>站</w:t>
                  </w:r>
                  <w:r>
                    <w:rPr>
                      <w:rFonts w:hint="default" w:ascii="Times New Roman" w:hAnsi="Times New Roman" w:eastAsia="宋体" w:cs="Times New Roman"/>
                      <w:color w:val="auto"/>
                      <w:sz w:val="21"/>
                      <w:szCs w:val="21"/>
                      <w:lang w:val="en-US" w:eastAsia="zh-CN"/>
                    </w:rPr>
                    <w:t>处理完后排至</w:t>
                  </w:r>
                  <w:r>
                    <w:rPr>
                      <w:rFonts w:hint="default" w:ascii="Times New Roman" w:hAnsi="Times New Roman" w:eastAsia="宋体" w:cs="Times New Roman"/>
                      <w:sz w:val="21"/>
                      <w:szCs w:val="21"/>
                      <w:highlight w:val="none"/>
                      <w:lang w:val="en-US" w:eastAsia="zh-CN"/>
                    </w:rPr>
                    <w:t>市政管网</w:t>
                  </w:r>
                </w:p>
              </w:tc>
            </w:tr>
            <w:tr w14:paraId="14352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jc w:val="center"/>
              </w:trPr>
              <w:tc>
                <w:tcPr>
                  <w:tcW w:w="735" w:type="pct"/>
                  <w:vMerge w:val="continue"/>
                  <w:tcBorders>
                    <w:tl2br w:val="nil"/>
                    <w:tr2bl w:val="nil"/>
                  </w:tcBorders>
                  <w:noWrap w:val="0"/>
                  <w:vAlign w:val="center"/>
                </w:tcPr>
                <w:p w14:paraId="4442B6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496D7FB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供电</w:t>
                  </w:r>
                </w:p>
              </w:tc>
              <w:tc>
                <w:tcPr>
                  <w:tcW w:w="3438" w:type="pct"/>
                  <w:gridSpan w:val="3"/>
                  <w:tcBorders>
                    <w:tl2br w:val="nil"/>
                    <w:tr2bl w:val="nil"/>
                  </w:tcBorders>
                  <w:noWrap w:val="0"/>
                  <w:vAlign w:val="center"/>
                </w:tcPr>
                <w:p w14:paraId="0364112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依托园区电网供电</w:t>
                  </w:r>
                </w:p>
              </w:tc>
            </w:tr>
            <w:tr w14:paraId="47D3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jc w:val="center"/>
              </w:trPr>
              <w:tc>
                <w:tcPr>
                  <w:tcW w:w="735" w:type="pct"/>
                  <w:vMerge w:val="continue"/>
                  <w:tcBorders>
                    <w:tl2br w:val="nil"/>
                    <w:tr2bl w:val="nil"/>
                  </w:tcBorders>
                  <w:noWrap w:val="0"/>
                  <w:vAlign w:val="center"/>
                </w:tcPr>
                <w:p w14:paraId="29C05B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2336FF4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供热</w:t>
                  </w:r>
                </w:p>
              </w:tc>
              <w:tc>
                <w:tcPr>
                  <w:tcW w:w="1773" w:type="pct"/>
                  <w:gridSpan w:val="2"/>
                  <w:tcBorders>
                    <w:tl2br w:val="nil"/>
                    <w:tr2bl w:val="nil"/>
                  </w:tcBorders>
                  <w:noWrap w:val="0"/>
                  <w:vAlign w:val="center"/>
                </w:tcPr>
                <w:p w14:paraId="4A060CD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15t燃气锅炉</w:t>
                  </w:r>
                </w:p>
              </w:tc>
              <w:tc>
                <w:tcPr>
                  <w:tcW w:w="1665" w:type="pct"/>
                  <w:tcBorders>
                    <w:tl2br w:val="nil"/>
                    <w:tr2bl w:val="nil"/>
                  </w:tcBorders>
                  <w:noWrap w:val="0"/>
                  <w:vAlign w:val="center"/>
                </w:tcPr>
                <w:p w14:paraId="3A8FFFA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新建（10t锅炉备用）</w:t>
                  </w:r>
                </w:p>
              </w:tc>
            </w:tr>
            <w:tr w14:paraId="11560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735" w:type="pct"/>
                  <w:vMerge w:val="continue"/>
                  <w:tcBorders>
                    <w:tl2br w:val="nil"/>
                    <w:tr2bl w:val="nil"/>
                  </w:tcBorders>
                  <w:noWrap w:val="0"/>
                  <w:vAlign w:val="center"/>
                </w:tcPr>
                <w:p w14:paraId="12FEC37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3AC36B1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供气</w:t>
                  </w:r>
                </w:p>
              </w:tc>
              <w:tc>
                <w:tcPr>
                  <w:tcW w:w="3438" w:type="pct"/>
                  <w:gridSpan w:val="3"/>
                  <w:tcBorders>
                    <w:tl2br w:val="nil"/>
                    <w:tr2bl w:val="nil"/>
                  </w:tcBorders>
                  <w:noWrap w:val="0"/>
                  <w:vAlign w:val="center"/>
                </w:tcPr>
                <w:p w14:paraId="49A6815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依托园区现有燃气管网</w:t>
                  </w:r>
                </w:p>
              </w:tc>
            </w:tr>
            <w:tr w14:paraId="1624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jc w:val="center"/>
              </w:trPr>
              <w:tc>
                <w:tcPr>
                  <w:tcW w:w="735" w:type="pct"/>
                  <w:vMerge w:val="restart"/>
                  <w:tcBorders>
                    <w:tl2br w:val="nil"/>
                    <w:tr2bl w:val="nil"/>
                  </w:tcBorders>
                  <w:noWrap w:val="0"/>
                  <w:vAlign w:val="center"/>
                </w:tcPr>
                <w:p w14:paraId="39D0DDE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储运工程</w:t>
                  </w:r>
                </w:p>
              </w:tc>
              <w:tc>
                <w:tcPr>
                  <w:tcW w:w="826" w:type="pct"/>
                  <w:tcBorders>
                    <w:tl2br w:val="nil"/>
                    <w:tr2bl w:val="nil"/>
                  </w:tcBorders>
                  <w:noWrap w:val="0"/>
                  <w:vAlign w:val="center"/>
                </w:tcPr>
                <w:p w14:paraId="6B60019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循环水池</w:t>
                  </w:r>
                </w:p>
              </w:tc>
              <w:tc>
                <w:tcPr>
                  <w:tcW w:w="1773" w:type="pct"/>
                  <w:gridSpan w:val="2"/>
                  <w:tcBorders>
                    <w:tl2br w:val="nil"/>
                    <w:tr2bl w:val="nil"/>
                  </w:tcBorders>
                  <w:noWrap w:val="0"/>
                  <w:vAlign w:val="center"/>
                </w:tcPr>
                <w:p w14:paraId="1BA2E41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c>
                <w:tcPr>
                  <w:tcW w:w="1665" w:type="pct"/>
                  <w:tcBorders>
                    <w:tl2br w:val="nil"/>
                    <w:tr2bl w:val="nil"/>
                  </w:tcBorders>
                  <w:noWrap w:val="0"/>
                  <w:vAlign w:val="center"/>
                </w:tcPr>
                <w:p w14:paraId="46490BF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已建成（浸出车间旁地下负一层）</w:t>
                  </w:r>
                </w:p>
              </w:tc>
            </w:tr>
            <w:tr w14:paraId="4B5A6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continue"/>
                  <w:tcBorders>
                    <w:tl2br w:val="nil"/>
                    <w:tr2bl w:val="nil"/>
                  </w:tcBorders>
                  <w:noWrap w:val="0"/>
                  <w:vAlign w:val="center"/>
                </w:tcPr>
                <w:p w14:paraId="1DF564D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shd w:val="clear" w:color="auto" w:fill="auto"/>
                  <w:noWrap w:val="0"/>
                  <w:vAlign w:val="center"/>
                </w:tcPr>
                <w:p w14:paraId="608794B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蓄水池</w:t>
                  </w:r>
                </w:p>
              </w:tc>
              <w:tc>
                <w:tcPr>
                  <w:tcW w:w="1773" w:type="pct"/>
                  <w:gridSpan w:val="2"/>
                  <w:tcBorders>
                    <w:tl2br w:val="nil"/>
                    <w:tr2bl w:val="nil"/>
                  </w:tcBorders>
                  <w:shd w:val="clear" w:color="auto" w:fill="auto"/>
                  <w:noWrap w:val="0"/>
                  <w:vAlign w:val="center"/>
                </w:tcPr>
                <w:p w14:paraId="7539E8D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97.5（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665" w:type="pct"/>
                  <w:tcBorders>
                    <w:tl2br w:val="nil"/>
                    <w:tr2bl w:val="nil"/>
                  </w:tcBorders>
                  <w:shd w:val="clear" w:color="auto" w:fill="auto"/>
                  <w:noWrap w:val="0"/>
                  <w:vAlign w:val="center"/>
                </w:tcPr>
                <w:p w14:paraId="0FBB6E6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已建成</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精炼</w:t>
                  </w:r>
                  <w:r>
                    <w:rPr>
                      <w:rFonts w:hint="default" w:ascii="Times New Roman" w:hAnsi="Times New Roman" w:eastAsia="宋体" w:cs="Times New Roman"/>
                      <w:color w:val="auto"/>
                      <w:sz w:val="21"/>
                      <w:szCs w:val="21"/>
                      <w:lang w:val="en-US" w:eastAsia="zh-CN"/>
                    </w:rPr>
                    <w:t>车间</w:t>
                  </w:r>
                  <w:r>
                    <w:rPr>
                      <w:rFonts w:hint="eastAsia" w:ascii="Times New Roman" w:hAnsi="Times New Roman" w:eastAsia="宋体" w:cs="Times New Roman"/>
                      <w:color w:val="auto"/>
                      <w:sz w:val="21"/>
                      <w:szCs w:val="21"/>
                      <w:lang w:val="en-US" w:eastAsia="zh-CN"/>
                    </w:rPr>
                    <w:t>旁</w:t>
                  </w:r>
                  <w:r>
                    <w:rPr>
                      <w:rFonts w:hint="default" w:ascii="Times New Roman" w:hAnsi="Times New Roman" w:eastAsia="宋体" w:cs="Times New Roman"/>
                      <w:color w:val="auto"/>
                      <w:sz w:val="21"/>
                      <w:szCs w:val="21"/>
                      <w:lang w:val="en-US" w:eastAsia="zh-CN"/>
                    </w:rPr>
                    <w:t>地</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下负一层）</w:t>
                  </w:r>
                </w:p>
              </w:tc>
            </w:tr>
            <w:tr w14:paraId="148A4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continue"/>
                  <w:tcBorders>
                    <w:tl2br w:val="nil"/>
                    <w:tr2bl w:val="nil"/>
                  </w:tcBorders>
                  <w:noWrap w:val="0"/>
                  <w:vAlign w:val="center"/>
                </w:tcPr>
                <w:p w14:paraId="1C41F3B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p>
              </w:tc>
              <w:tc>
                <w:tcPr>
                  <w:tcW w:w="826" w:type="pct"/>
                  <w:tcBorders>
                    <w:tl2br w:val="nil"/>
                    <w:tr2bl w:val="nil"/>
                  </w:tcBorders>
                  <w:noWrap w:val="0"/>
                  <w:vAlign w:val="center"/>
                </w:tcPr>
                <w:p w14:paraId="27D1502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成品油油罐</w:t>
                  </w:r>
                </w:p>
              </w:tc>
              <w:tc>
                <w:tcPr>
                  <w:tcW w:w="1773" w:type="pct"/>
                  <w:gridSpan w:val="2"/>
                  <w:tcBorders>
                    <w:tl2br w:val="nil"/>
                    <w:tr2bl w:val="nil"/>
                  </w:tcBorders>
                  <w:noWrap w:val="0"/>
                  <w:vAlign w:val="center"/>
                </w:tcPr>
                <w:p w14:paraId="16B103C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1665" w:type="pct"/>
                  <w:tcBorders>
                    <w:tl2br w:val="nil"/>
                    <w:tr2bl w:val="nil"/>
                  </w:tcBorders>
                  <w:noWrap w:val="0"/>
                  <w:vAlign w:val="center"/>
                </w:tcPr>
                <w:p w14:paraId="7781343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r>
                    <w:rPr>
                      <w:rFonts w:hint="default" w:ascii="Times New Roman" w:hAnsi="Times New Roman" w:eastAsia="宋体" w:cs="Times New Roman"/>
                      <w:color w:val="auto"/>
                      <w:sz w:val="21"/>
                      <w:szCs w:val="21"/>
                      <w:lang w:val="en-US" w:eastAsia="zh-CN"/>
                    </w:rPr>
                    <w:t>（油罐</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个</w:t>
                  </w:r>
                  <w:r>
                    <w:rPr>
                      <w:rFonts w:hint="eastAsia"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/个</w:t>
                  </w:r>
                  <w:r>
                    <w:rPr>
                      <w:rFonts w:hint="default" w:ascii="Times New Roman" w:hAnsi="Times New Roman" w:eastAsia="宋体" w:cs="Times New Roman"/>
                      <w:color w:val="auto"/>
                      <w:sz w:val="21"/>
                      <w:szCs w:val="21"/>
                      <w:lang w:val="en-US" w:eastAsia="zh-CN"/>
                    </w:rPr>
                    <w:t>）</w:t>
                  </w:r>
                </w:p>
              </w:tc>
            </w:tr>
            <w:tr w14:paraId="33E22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continue"/>
                  <w:tcBorders>
                    <w:tl2br w:val="nil"/>
                    <w:tr2bl w:val="nil"/>
                  </w:tcBorders>
                  <w:noWrap w:val="0"/>
                  <w:vAlign w:val="center"/>
                </w:tcPr>
                <w:p w14:paraId="48E9B6D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64F1A2D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防火墙</w:t>
                  </w:r>
                </w:p>
              </w:tc>
              <w:tc>
                <w:tcPr>
                  <w:tcW w:w="1773" w:type="pct"/>
                  <w:gridSpan w:val="2"/>
                  <w:tcBorders>
                    <w:tl2br w:val="nil"/>
                    <w:tr2bl w:val="nil"/>
                  </w:tcBorders>
                  <w:noWrap w:val="0"/>
                  <w:vAlign w:val="center"/>
                </w:tcPr>
                <w:p w14:paraId="3B102BD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43.5</w:t>
                  </w:r>
                </w:p>
              </w:tc>
              <w:tc>
                <w:tcPr>
                  <w:tcW w:w="1665" w:type="pct"/>
                  <w:tcBorders>
                    <w:tl2br w:val="nil"/>
                    <w:tr2bl w:val="nil"/>
                  </w:tcBorders>
                  <w:noWrap w:val="0"/>
                  <w:vAlign w:val="center"/>
                </w:tcPr>
                <w:p w14:paraId="33B18F4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r>
                    <w:rPr>
                      <w:rFonts w:hint="default" w:ascii="Times New Roman" w:hAnsi="Times New Roman" w:eastAsia="宋体" w:cs="Times New Roman"/>
                      <w:color w:val="auto"/>
                      <w:sz w:val="21"/>
                      <w:szCs w:val="21"/>
                      <w:lang w:val="en-US" w:eastAsia="zh-CN"/>
                    </w:rPr>
                    <w:t>，油罐四周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lang w:val="en-US" w:eastAsia="zh-CN"/>
                    </w:rPr>
                    <w:t>重点防渗，渗透系数≤10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eastAsia="宋体" w:cs="Times New Roman"/>
                      <w:color w:val="auto"/>
                      <w:sz w:val="21"/>
                      <w:szCs w:val="21"/>
                      <w:lang w:val="en-US" w:eastAsia="zh-CN"/>
                    </w:rPr>
                    <w:t>防止成品油罐泄漏扩散）</w:t>
                  </w:r>
                </w:p>
              </w:tc>
            </w:tr>
            <w:tr w14:paraId="62489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2" w:hRule="atLeast"/>
                <w:jc w:val="center"/>
              </w:trPr>
              <w:tc>
                <w:tcPr>
                  <w:tcW w:w="735" w:type="pct"/>
                  <w:vMerge w:val="continue"/>
                  <w:tcBorders>
                    <w:tl2br w:val="nil"/>
                    <w:tr2bl w:val="nil"/>
                  </w:tcBorders>
                  <w:noWrap w:val="0"/>
                  <w:vAlign w:val="center"/>
                </w:tcPr>
                <w:p w14:paraId="0F4A3A8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68A5D12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溶剂</w:t>
                  </w:r>
                  <w:r>
                    <w:rPr>
                      <w:rFonts w:hint="eastAsia" w:ascii="Times New Roman" w:hAnsi="Times New Roman" w:eastAsia="宋体" w:cs="Times New Roman"/>
                      <w:color w:val="auto"/>
                      <w:sz w:val="21"/>
                      <w:szCs w:val="21"/>
                      <w:lang w:val="en-US" w:eastAsia="zh-CN"/>
                    </w:rPr>
                    <w:t>罐</w:t>
                  </w:r>
                </w:p>
              </w:tc>
              <w:tc>
                <w:tcPr>
                  <w:tcW w:w="1773" w:type="pct"/>
                  <w:gridSpan w:val="2"/>
                  <w:tcBorders>
                    <w:tl2br w:val="nil"/>
                    <w:tr2bl w:val="nil"/>
                  </w:tcBorders>
                  <w:noWrap w:val="0"/>
                  <w:vAlign w:val="center"/>
                </w:tcPr>
                <w:p w14:paraId="07DEAF4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8t</w:t>
                  </w:r>
                </w:p>
              </w:tc>
              <w:tc>
                <w:tcPr>
                  <w:tcW w:w="1665" w:type="pct"/>
                  <w:tcBorders>
                    <w:tl2br w:val="nil"/>
                    <w:tr2bl w:val="nil"/>
                  </w:tcBorders>
                  <w:noWrap w:val="0"/>
                  <w:vAlign w:val="center"/>
                </w:tcPr>
                <w:p w14:paraId="1561FE4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已建成</w:t>
                  </w:r>
                  <w:r>
                    <w:rPr>
                      <w:rFonts w:hint="default" w:ascii="Times New Roman" w:hAnsi="Times New Roman" w:eastAsia="宋体" w:cs="Times New Roman"/>
                      <w:color w:val="auto"/>
                      <w:sz w:val="21"/>
                      <w:szCs w:val="21"/>
                      <w:lang w:val="en-US" w:eastAsia="zh-CN"/>
                    </w:rPr>
                    <w:t>（浸出</w:t>
                  </w:r>
                  <w:r>
                    <w:rPr>
                      <w:rFonts w:hint="eastAsia" w:ascii="Times New Roman" w:hAnsi="Times New Roman" w:eastAsia="宋体" w:cs="Times New Roman"/>
                      <w:color w:val="auto"/>
                      <w:sz w:val="21"/>
                      <w:szCs w:val="21"/>
                      <w:lang w:val="en-US" w:eastAsia="zh-CN"/>
                    </w:rPr>
                    <w:t>精炼</w:t>
                  </w:r>
                  <w:r>
                    <w:rPr>
                      <w:rFonts w:hint="default" w:ascii="Times New Roman" w:hAnsi="Times New Roman" w:eastAsia="宋体" w:cs="Times New Roman"/>
                      <w:color w:val="auto"/>
                      <w:sz w:val="21"/>
                      <w:szCs w:val="21"/>
                      <w:lang w:val="en-US" w:eastAsia="zh-CN"/>
                    </w:rPr>
                    <w:t>车间地下负一层，最大储存量</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highlight w:val="none"/>
                      <w:lang w:val="en-US" w:eastAsia="zh-CN"/>
                    </w:rPr>
                    <w:t>风量5000m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/h，采用溶剂罐储存50m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重点防渗，渗透系数≤10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eastAsia="宋体" w:cs="Times New Roman"/>
                      <w:color w:val="auto"/>
                      <w:sz w:val="21"/>
                      <w:szCs w:val="21"/>
                      <w:lang w:val="en-US" w:eastAsia="zh-CN"/>
                    </w:rPr>
                    <w:t>）</w:t>
                  </w:r>
                </w:p>
              </w:tc>
            </w:tr>
            <w:tr w14:paraId="62597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735" w:type="pct"/>
                  <w:vMerge w:val="continue"/>
                  <w:tcBorders>
                    <w:tl2br w:val="nil"/>
                    <w:tr2bl w:val="nil"/>
                  </w:tcBorders>
                  <w:noWrap w:val="0"/>
                  <w:vAlign w:val="center"/>
                </w:tcPr>
                <w:p w14:paraId="4D9F854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049BC47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危险废物贮存库</w:t>
                  </w:r>
                </w:p>
              </w:tc>
              <w:tc>
                <w:tcPr>
                  <w:tcW w:w="1773" w:type="pct"/>
                  <w:gridSpan w:val="2"/>
                  <w:tcBorders>
                    <w:tl2br w:val="nil"/>
                    <w:tr2bl w:val="nil"/>
                  </w:tcBorders>
                  <w:noWrap w:val="0"/>
                  <w:vAlign w:val="center"/>
                </w:tcPr>
                <w:p w14:paraId="3217E73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10</w:t>
                  </w:r>
                </w:p>
              </w:tc>
              <w:tc>
                <w:tcPr>
                  <w:tcW w:w="1665" w:type="pct"/>
                  <w:tcBorders>
                    <w:tl2br w:val="nil"/>
                    <w:tr2bl w:val="nil"/>
                  </w:tcBorders>
                  <w:noWrap w:val="0"/>
                  <w:vAlign w:val="center"/>
                </w:tcPr>
                <w:p w14:paraId="5CCAA9C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4D3A0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735" w:type="pct"/>
                  <w:vMerge w:val="continue"/>
                  <w:tcBorders>
                    <w:tl2br w:val="nil"/>
                    <w:tr2bl w:val="nil"/>
                  </w:tcBorders>
                  <w:noWrap w:val="0"/>
                  <w:vAlign w:val="center"/>
                </w:tcPr>
                <w:p w14:paraId="2B1E6A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tcBorders>
                    <w:tl2br w:val="nil"/>
                    <w:tr2bl w:val="nil"/>
                  </w:tcBorders>
                  <w:noWrap w:val="0"/>
                  <w:vAlign w:val="center"/>
                </w:tcPr>
                <w:p w14:paraId="73367621">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污泥池</w:t>
                  </w:r>
                </w:p>
              </w:tc>
              <w:tc>
                <w:tcPr>
                  <w:tcW w:w="1773" w:type="pct"/>
                  <w:gridSpan w:val="2"/>
                  <w:tcBorders>
                    <w:tl2br w:val="nil"/>
                    <w:tr2bl w:val="nil"/>
                  </w:tcBorders>
                  <w:noWrap w:val="0"/>
                  <w:vAlign w:val="center"/>
                </w:tcPr>
                <w:p w14:paraId="1821145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10m</w:t>
                  </w:r>
                  <w:r>
                    <w:rPr>
                      <w:rFonts w:hint="eastAsia" w:ascii="Times New Roman" w:hAnsi="Times New Roman" w:eastAsia="宋体" w:cs="Times New Roman"/>
                      <w:color w:val="auto"/>
                      <w:sz w:val="21"/>
                      <w:szCs w:val="21"/>
                      <w:highlight w:val="none"/>
                      <w:vertAlign w:val="superscript"/>
                      <w:lang w:val="en-US" w:eastAsia="zh-CN"/>
                    </w:rPr>
                    <w:t>3</w:t>
                  </w:r>
                </w:p>
              </w:tc>
              <w:tc>
                <w:tcPr>
                  <w:tcW w:w="1665" w:type="pct"/>
                  <w:tcBorders>
                    <w:tl2br w:val="nil"/>
                    <w:tr2bl w:val="nil"/>
                  </w:tcBorders>
                  <w:noWrap w:val="0"/>
                  <w:vAlign w:val="center"/>
                </w:tcPr>
                <w:p w14:paraId="5559780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已建成</w:t>
                  </w:r>
                  <w:r>
                    <w:rPr>
                      <w:rFonts w:hint="default" w:ascii="Times New Roman" w:hAnsi="Times New Roman" w:eastAsia="宋体" w:cs="Times New Roman"/>
                      <w:color w:val="auto"/>
                      <w:sz w:val="21"/>
                      <w:szCs w:val="21"/>
                      <w:highlight w:val="none"/>
                      <w:lang w:val="en-US" w:eastAsia="zh-CN"/>
                    </w:rPr>
                    <w:t>（位于地埋式污水处理站内）</w:t>
                  </w:r>
                </w:p>
              </w:tc>
            </w:tr>
            <w:tr w14:paraId="70299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2" w:hRule="atLeast"/>
                <w:jc w:val="center"/>
              </w:trPr>
              <w:tc>
                <w:tcPr>
                  <w:tcW w:w="735" w:type="pct"/>
                  <w:vMerge w:val="restart"/>
                  <w:tcBorders>
                    <w:tl2br w:val="nil"/>
                    <w:tr2bl w:val="nil"/>
                  </w:tcBorders>
                  <w:noWrap w:val="0"/>
                  <w:vAlign w:val="center"/>
                </w:tcPr>
                <w:p w14:paraId="0D6589E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环保</w:t>
                  </w:r>
                  <w:r>
                    <w:rPr>
                      <w:rFonts w:hint="default" w:ascii="Times New Roman" w:hAnsi="Times New Roman" w:eastAsia="宋体" w:cs="Times New Roman"/>
                      <w:sz w:val="21"/>
                      <w:szCs w:val="21"/>
                    </w:rPr>
                    <w:t>工程</w:t>
                  </w:r>
                </w:p>
              </w:tc>
              <w:tc>
                <w:tcPr>
                  <w:tcW w:w="826" w:type="pct"/>
                  <w:vMerge w:val="restart"/>
                  <w:tcBorders>
                    <w:tl2br w:val="nil"/>
                    <w:tr2bl w:val="nil"/>
                  </w:tcBorders>
                  <w:noWrap w:val="0"/>
                  <w:vAlign w:val="center"/>
                </w:tcPr>
                <w:p w14:paraId="4AAC4E4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933" w:type="pct"/>
                  <w:tcBorders>
                    <w:tl2br w:val="nil"/>
                    <w:tr2bl w:val="nil"/>
                  </w:tcBorders>
                  <w:noWrap w:val="0"/>
                  <w:vAlign w:val="center"/>
                </w:tcPr>
                <w:p w14:paraId="398A70A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c>
                <w:tcPr>
                  <w:tcW w:w="839" w:type="pct"/>
                  <w:tcBorders>
                    <w:tl2br w:val="nil"/>
                    <w:tr2bl w:val="nil"/>
                  </w:tcBorders>
                  <w:noWrap w:val="0"/>
                  <w:vAlign w:val="center"/>
                </w:tcPr>
                <w:p w14:paraId="0B954284">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w:t>
                  </w:r>
                </w:p>
              </w:tc>
              <w:tc>
                <w:tcPr>
                  <w:tcW w:w="1665" w:type="pct"/>
                  <w:tcBorders>
                    <w:tl2br w:val="nil"/>
                    <w:tr2bl w:val="nil"/>
                  </w:tcBorders>
                  <w:noWrap w:val="0"/>
                  <w:vAlign w:val="center"/>
                </w:tcPr>
                <w:p w14:paraId="2D2E224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面积280m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污水处理站，</w:t>
                  </w:r>
                  <w:r>
                    <w:rPr>
                      <w:rFonts w:hint="eastAsia" w:ascii="Times New Roman" w:hAnsi="Times New Roman" w:eastAsia="宋体" w:cs="Times New Roman"/>
                      <w:color w:val="auto"/>
                      <w:sz w:val="21"/>
                      <w:szCs w:val="21"/>
                      <w:lang w:val="en-US" w:eastAsia="zh-CN"/>
                    </w:rPr>
                    <w:t>扩建</w:t>
                  </w:r>
                  <w:r>
                    <w:rPr>
                      <w:rFonts w:hint="default" w:ascii="Times New Roman" w:hAnsi="Times New Roman" w:eastAsia="宋体" w:cs="Times New Roman"/>
                      <w:color w:val="auto"/>
                      <w:sz w:val="21"/>
                      <w:szCs w:val="21"/>
                      <w:lang w:val="en-US" w:eastAsia="zh-CN"/>
                    </w:rPr>
                    <w:t>处理能力</w:t>
                  </w:r>
                  <w:r>
                    <w:rPr>
                      <w:rFonts w:hint="eastAsia"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（原100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，采用“</w:t>
                  </w:r>
                  <w:r>
                    <w:rPr>
                      <w:rFonts w:hint="eastAsia" w:ascii="Times New Roman" w:hAnsi="Times New Roman" w:eastAsia="宋体" w:cs="Times New Roman"/>
                      <w:color w:val="auto"/>
                      <w:sz w:val="21"/>
                      <w:szCs w:val="21"/>
                      <w:lang w:val="en-US" w:eastAsia="zh-CN"/>
                    </w:rPr>
                    <w:t>隔油+气浮+SBR+厌氧</w:t>
                  </w:r>
                  <w:r>
                    <w:rPr>
                      <w:rFonts w:hint="default" w:ascii="Times New Roman" w:hAnsi="Times New Roman" w:eastAsia="宋体" w:cs="Times New Roman"/>
                      <w:color w:val="auto"/>
                      <w:sz w:val="21"/>
                      <w:szCs w:val="21"/>
                      <w:lang w:val="en-US" w:eastAsia="zh-CN"/>
                    </w:rPr>
                    <w:t>”工艺，处理后排至市政管网（DW001）</w:t>
                  </w:r>
                </w:p>
              </w:tc>
            </w:tr>
            <w:tr w14:paraId="0C379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jc w:val="center"/>
              </w:trPr>
              <w:tc>
                <w:tcPr>
                  <w:tcW w:w="735" w:type="pct"/>
                  <w:vMerge w:val="continue"/>
                  <w:tcBorders>
                    <w:tl2br w:val="nil"/>
                    <w:tr2bl w:val="nil"/>
                  </w:tcBorders>
                  <w:noWrap w:val="0"/>
                  <w:vAlign w:val="center"/>
                </w:tcPr>
                <w:p w14:paraId="2F21910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vMerge w:val="continue"/>
                  <w:tcBorders>
                    <w:tl2br w:val="nil"/>
                    <w:tr2bl w:val="nil"/>
                  </w:tcBorders>
                  <w:noWrap w:val="0"/>
                  <w:vAlign w:val="center"/>
                </w:tcPr>
                <w:p w14:paraId="29CED1E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p>
              </w:tc>
              <w:tc>
                <w:tcPr>
                  <w:tcW w:w="933" w:type="pct"/>
                  <w:tcBorders>
                    <w:tl2br w:val="nil"/>
                    <w:tr2bl w:val="nil"/>
                  </w:tcBorders>
                  <w:noWrap w:val="0"/>
                  <w:vAlign w:val="center"/>
                </w:tcPr>
                <w:p w14:paraId="7810A77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消防事故池</w:t>
                  </w:r>
                </w:p>
              </w:tc>
              <w:tc>
                <w:tcPr>
                  <w:tcW w:w="839" w:type="pct"/>
                  <w:tcBorders>
                    <w:tl2br w:val="nil"/>
                    <w:tr2bl w:val="nil"/>
                  </w:tcBorders>
                  <w:noWrap w:val="0"/>
                  <w:vAlign w:val="center"/>
                </w:tcPr>
                <w:p w14:paraId="27B3E59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1665" w:type="pct"/>
                  <w:tcBorders>
                    <w:tl2br w:val="nil"/>
                    <w:tr2bl w:val="nil"/>
                  </w:tcBorders>
                  <w:noWrap w:val="0"/>
                  <w:vAlign w:val="center"/>
                </w:tcPr>
                <w:p w14:paraId="53DE6D4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53412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jc w:val="center"/>
              </w:trPr>
              <w:tc>
                <w:tcPr>
                  <w:tcW w:w="735" w:type="pct"/>
                  <w:vMerge w:val="continue"/>
                  <w:tcBorders>
                    <w:tl2br w:val="nil"/>
                    <w:tr2bl w:val="nil"/>
                  </w:tcBorders>
                  <w:noWrap w:val="0"/>
                  <w:vAlign w:val="center"/>
                </w:tcPr>
                <w:p w14:paraId="488AD4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hint="default" w:ascii="Times New Roman" w:hAnsi="Times New Roman" w:cs="Times New Roman"/>
                      <w:sz w:val="21"/>
                      <w:szCs w:val="21"/>
                      <w:lang w:val="en-US" w:eastAsia="zh-CN"/>
                    </w:rPr>
                  </w:pPr>
                </w:p>
              </w:tc>
              <w:tc>
                <w:tcPr>
                  <w:tcW w:w="826" w:type="pct"/>
                  <w:vMerge w:val="continue"/>
                  <w:tcBorders>
                    <w:tl2br w:val="nil"/>
                    <w:tr2bl w:val="nil"/>
                  </w:tcBorders>
                  <w:noWrap w:val="0"/>
                  <w:vAlign w:val="center"/>
                </w:tcPr>
                <w:p w14:paraId="69CC4DE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p>
              </w:tc>
              <w:tc>
                <w:tcPr>
                  <w:tcW w:w="933" w:type="pct"/>
                  <w:tcBorders>
                    <w:tl2br w:val="nil"/>
                    <w:tr2bl w:val="nil"/>
                  </w:tcBorders>
                  <w:noWrap w:val="0"/>
                  <w:vAlign w:val="center"/>
                </w:tcPr>
                <w:p w14:paraId="318BE27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污水处理站循环池</w:t>
                  </w:r>
                </w:p>
              </w:tc>
              <w:tc>
                <w:tcPr>
                  <w:tcW w:w="839" w:type="pct"/>
                  <w:tcBorders>
                    <w:tl2br w:val="nil"/>
                    <w:tr2bl w:val="nil"/>
                  </w:tcBorders>
                  <w:noWrap w:val="0"/>
                  <w:vAlign w:val="center"/>
                </w:tcPr>
                <w:p w14:paraId="2DFE0D8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936</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1665" w:type="pct"/>
                  <w:tcBorders>
                    <w:tl2br w:val="nil"/>
                    <w:tr2bl w:val="nil"/>
                  </w:tcBorders>
                  <w:noWrap w:val="0"/>
                  <w:vAlign w:val="center"/>
                </w:tcPr>
                <w:p w14:paraId="0403C17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01422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35" w:type="pct"/>
                  <w:vMerge w:val="continue"/>
                  <w:tcBorders>
                    <w:tl2br w:val="nil"/>
                    <w:tr2bl w:val="nil"/>
                  </w:tcBorders>
                  <w:noWrap w:val="0"/>
                  <w:vAlign w:val="center"/>
                </w:tcPr>
                <w:p w14:paraId="1F01BFE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restart"/>
                  <w:tcBorders>
                    <w:tl2br w:val="nil"/>
                    <w:tr2bl w:val="nil"/>
                  </w:tcBorders>
                  <w:noWrap w:val="0"/>
                  <w:vAlign w:val="center"/>
                </w:tcPr>
                <w:p w14:paraId="24706DE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773" w:type="pct"/>
                  <w:gridSpan w:val="2"/>
                  <w:tcBorders>
                    <w:tl2br w:val="nil"/>
                    <w:tr2bl w:val="nil"/>
                  </w:tcBorders>
                  <w:noWrap w:val="0"/>
                  <w:vAlign w:val="center"/>
                </w:tcPr>
                <w:p w14:paraId="4B818EB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①剥绒</w:t>
                  </w:r>
                  <w:r>
                    <w:rPr>
                      <w:rFonts w:hint="default" w:ascii="Times New Roman" w:hAnsi="Times New Roman" w:eastAsia="宋体" w:cs="Times New Roman"/>
                      <w:sz w:val="21"/>
                      <w:szCs w:val="21"/>
                      <w:lang w:val="en-US" w:eastAsia="zh-CN"/>
                    </w:rPr>
                    <w:t>车间采用</w:t>
                  </w:r>
                  <w:r>
                    <w:rPr>
                      <w:rFonts w:hint="eastAsia" w:ascii="Times New Roman" w:hAnsi="Times New Roman" w:eastAsia="宋体" w:cs="Times New Roman"/>
                      <w:sz w:val="21"/>
                      <w:szCs w:val="21"/>
                      <w:lang w:val="en-US" w:eastAsia="zh-CN"/>
                    </w:rPr>
                    <w:t>2套</w:t>
                  </w:r>
                  <w:r>
                    <w:rPr>
                      <w:rFonts w:hint="default" w:ascii="Times New Roman" w:hAnsi="Times New Roman" w:eastAsia="宋体" w:cs="Times New Roman"/>
                      <w:sz w:val="21"/>
                      <w:szCs w:val="21"/>
                      <w:lang w:val="en-US" w:eastAsia="zh-CN"/>
                    </w:rPr>
                    <w:t>除尘机组（</w:t>
                  </w:r>
                  <w:r>
                    <w:rPr>
                      <w:rFonts w:hint="eastAsia" w:ascii="Times New Roman" w:hAnsi="Times New Roman" w:eastAsia="宋体" w:cs="Times New Roman"/>
                      <w:sz w:val="21"/>
                      <w:szCs w:val="21"/>
                      <w:lang w:val="en-US" w:eastAsia="zh-CN"/>
                    </w:rPr>
                    <w:t>多管</w:t>
                  </w:r>
                  <w:r>
                    <w:rPr>
                      <w:rFonts w:hint="default" w:ascii="Times New Roman" w:hAnsi="Times New Roman" w:eastAsia="宋体" w:cs="Times New Roman"/>
                      <w:sz w:val="21"/>
                      <w:szCs w:val="21"/>
                      <w:lang w:val="en-US" w:eastAsia="zh-CN"/>
                    </w:rPr>
                    <w:t>旋风除尘器+袋式</w:t>
                  </w:r>
                  <w:r>
                    <w:rPr>
                      <w:rFonts w:hint="eastAsia" w:ascii="Times New Roman" w:hAnsi="Times New Roman" w:eastAsia="宋体" w:cs="Times New Roman"/>
                      <w:sz w:val="21"/>
                      <w:szCs w:val="21"/>
                      <w:lang w:val="en-US" w:eastAsia="zh-CN"/>
                    </w:rPr>
                    <w:t>滤筒</w:t>
                  </w:r>
                  <w:r>
                    <w:rPr>
                      <w:rFonts w:hint="default" w:ascii="Times New Roman" w:hAnsi="Times New Roman" w:eastAsia="宋体" w:cs="Times New Roman"/>
                      <w:sz w:val="21"/>
                      <w:szCs w:val="21"/>
                      <w:lang w:val="en-US" w:eastAsia="zh-CN"/>
                    </w:rPr>
                    <w:t>除尘器）后通过15m高排气筒外排（DA00</w:t>
                  </w:r>
                  <w:r>
                    <w:rPr>
                      <w:rFonts w:hint="eastAsia" w:ascii="Times New Roman" w:hAnsi="Times New Roman" w:eastAsia="宋体" w:cs="Times New Roman"/>
                      <w:sz w:val="21"/>
                      <w:szCs w:val="21"/>
                      <w:lang w:val="en-US" w:eastAsia="zh-CN"/>
                    </w:rPr>
                    <w:t>1、DA002</w:t>
                  </w:r>
                  <w:r>
                    <w:rPr>
                      <w:rFonts w:hint="default" w:ascii="Times New Roman" w:hAnsi="Times New Roman" w:eastAsia="宋体" w:cs="Times New Roman"/>
                      <w:sz w:val="21"/>
                      <w:szCs w:val="21"/>
                      <w:lang w:val="en-US" w:eastAsia="zh-CN"/>
                    </w:rPr>
                    <w:t>）</w:t>
                  </w:r>
                </w:p>
              </w:tc>
              <w:tc>
                <w:tcPr>
                  <w:tcW w:w="1665" w:type="pct"/>
                  <w:vMerge w:val="restart"/>
                  <w:tcBorders>
                    <w:tl2br w:val="nil"/>
                    <w:tr2bl w:val="nil"/>
                  </w:tcBorders>
                  <w:noWrap w:val="0"/>
                  <w:vAlign w:val="center"/>
                </w:tcPr>
                <w:p w14:paraId="652BECB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37FD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jc w:val="center"/>
              </w:trPr>
              <w:tc>
                <w:tcPr>
                  <w:tcW w:w="735" w:type="pct"/>
                  <w:vMerge w:val="continue"/>
                  <w:tcBorders>
                    <w:tl2br w:val="nil"/>
                    <w:tr2bl w:val="nil"/>
                  </w:tcBorders>
                  <w:noWrap w:val="0"/>
                  <w:vAlign w:val="center"/>
                </w:tcPr>
                <w:p w14:paraId="4B149E31">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7C5887A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773" w:type="pct"/>
                  <w:gridSpan w:val="2"/>
                  <w:tcBorders>
                    <w:tl2br w:val="nil"/>
                    <w:tr2bl w:val="nil"/>
                  </w:tcBorders>
                  <w:noWrap w:val="0"/>
                  <w:vAlign w:val="center"/>
                </w:tcPr>
                <w:p w14:paraId="5E8D981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②粉碎包装车间采用1台脉冲除尘器+15m高排气筒（</w:t>
                  </w:r>
                  <w:r>
                    <w:rPr>
                      <w:rFonts w:hint="default" w:ascii="Times New Roman" w:hAnsi="Times New Roman" w:eastAsia="宋体" w:cs="Times New Roman"/>
                      <w:sz w:val="21"/>
                      <w:szCs w:val="21"/>
                      <w:highlight w:val="none"/>
                      <w:lang w:val="en-US" w:eastAsia="zh-CN"/>
                    </w:rPr>
                    <w:t>DA00</w:t>
                  </w: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w:t>
                  </w:r>
                </w:p>
              </w:tc>
              <w:tc>
                <w:tcPr>
                  <w:tcW w:w="1665" w:type="pct"/>
                  <w:vMerge w:val="continue"/>
                  <w:tcBorders>
                    <w:tl2br w:val="nil"/>
                    <w:tr2bl w:val="nil"/>
                  </w:tcBorders>
                  <w:noWrap w:val="0"/>
                  <w:vAlign w:val="center"/>
                </w:tcPr>
                <w:p w14:paraId="5D810F9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7C961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0" w:hRule="atLeast"/>
                <w:jc w:val="center"/>
              </w:trPr>
              <w:tc>
                <w:tcPr>
                  <w:tcW w:w="735" w:type="pct"/>
                  <w:vMerge w:val="continue"/>
                  <w:tcBorders>
                    <w:tl2br w:val="nil"/>
                    <w:tr2bl w:val="nil"/>
                  </w:tcBorders>
                  <w:noWrap w:val="0"/>
                  <w:vAlign w:val="center"/>
                </w:tcPr>
                <w:p w14:paraId="07AA5D1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6A74549D">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1773" w:type="pct"/>
                  <w:gridSpan w:val="2"/>
                  <w:tcBorders>
                    <w:tl2br w:val="nil"/>
                    <w:tr2bl w:val="nil"/>
                  </w:tcBorders>
                  <w:noWrap w:val="0"/>
                  <w:vAlign w:val="center"/>
                </w:tcPr>
                <w:p w14:paraId="728413D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③</w:t>
                  </w:r>
                  <w:r>
                    <w:rPr>
                      <w:rFonts w:hint="default" w:ascii="Times New Roman" w:hAnsi="Times New Roman" w:eastAsia="宋体" w:cs="Times New Roman"/>
                      <w:sz w:val="21"/>
                      <w:szCs w:val="21"/>
                      <w:highlight w:val="none"/>
                      <w:lang w:val="en-US" w:eastAsia="zh-CN"/>
                    </w:rPr>
                    <w:t>预处理车间</w:t>
                  </w:r>
                  <w:r>
                    <w:rPr>
                      <w:rFonts w:hint="eastAsia" w:ascii="Times New Roman" w:hAnsi="Times New Roman" w:eastAsia="宋体" w:cs="Times New Roman"/>
                      <w:sz w:val="21"/>
                      <w:szCs w:val="21"/>
                      <w:highlight w:val="none"/>
                      <w:lang w:val="en-US" w:eastAsia="zh-CN"/>
                    </w:rPr>
                    <w:t>粕降温废气采用</w:t>
                  </w:r>
                  <w:r>
                    <w:rPr>
                      <w:rFonts w:hint="default" w:ascii="Times New Roman" w:hAnsi="Times New Roman" w:eastAsia="宋体" w:cs="Times New Roman"/>
                      <w:sz w:val="21"/>
                      <w:szCs w:val="21"/>
                      <w:highlight w:val="none"/>
                      <w:lang w:val="en-US" w:eastAsia="zh-CN"/>
                    </w:rPr>
                    <w:t>除尘机组（</w:t>
                  </w:r>
                  <w:r>
                    <w:rPr>
                      <w:rFonts w:hint="eastAsia" w:ascii="Times New Roman" w:hAnsi="Times New Roman" w:eastAsia="宋体" w:cs="Times New Roman"/>
                      <w:sz w:val="21"/>
                      <w:szCs w:val="21"/>
                      <w:highlight w:val="none"/>
                      <w:lang w:val="en-US" w:eastAsia="zh-CN"/>
                    </w:rPr>
                    <w:t>多管</w:t>
                  </w:r>
                  <w:r>
                    <w:rPr>
                      <w:rFonts w:hint="default" w:ascii="Times New Roman" w:hAnsi="Times New Roman" w:eastAsia="宋体" w:cs="Times New Roman"/>
                      <w:sz w:val="21"/>
                      <w:szCs w:val="21"/>
                      <w:highlight w:val="none"/>
                      <w:lang w:val="en-US" w:eastAsia="zh-CN"/>
                    </w:rPr>
                    <w:t>旋风除尘器）后通过15m高排气筒外排（DA00</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p>
              </w:tc>
              <w:tc>
                <w:tcPr>
                  <w:tcW w:w="1665" w:type="pct"/>
                  <w:vMerge w:val="continue"/>
                  <w:tcBorders>
                    <w:tl2br w:val="nil"/>
                    <w:tr2bl w:val="nil"/>
                  </w:tcBorders>
                  <w:noWrap w:val="0"/>
                  <w:vAlign w:val="center"/>
                </w:tcPr>
                <w:p w14:paraId="10E876D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758A2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3" w:hRule="atLeast"/>
                <w:jc w:val="center"/>
              </w:trPr>
              <w:tc>
                <w:tcPr>
                  <w:tcW w:w="735" w:type="pct"/>
                  <w:vMerge w:val="continue"/>
                  <w:tcBorders>
                    <w:tl2br w:val="nil"/>
                    <w:tr2bl w:val="nil"/>
                  </w:tcBorders>
                  <w:noWrap w:val="0"/>
                  <w:vAlign w:val="center"/>
                </w:tcPr>
                <w:p w14:paraId="4F41076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5E7A01A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1773" w:type="pct"/>
                  <w:gridSpan w:val="2"/>
                  <w:tcBorders>
                    <w:tl2br w:val="nil"/>
                    <w:tr2bl w:val="nil"/>
                  </w:tcBorders>
                  <w:noWrap w:val="0"/>
                  <w:vAlign w:val="center"/>
                </w:tcPr>
                <w:p w14:paraId="5F0FCED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④预处理车间软化工艺，采用二级活性炭吸附后</w:t>
                  </w:r>
                  <w:r>
                    <w:rPr>
                      <w:rFonts w:hint="default" w:ascii="Times New Roman" w:hAnsi="Times New Roman" w:eastAsia="宋体" w:cs="Times New Roman"/>
                      <w:sz w:val="21"/>
                      <w:szCs w:val="21"/>
                      <w:highlight w:val="none"/>
                      <w:lang w:val="en-US" w:eastAsia="zh-CN"/>
                    </w:rPr>
                    <w:t>通过15m高排气筒外排（</w:t>
                  </w:r>
                  <w:r>
                    <w:rPr>
                      <w:rFonts w:hint="eastAsia" w:ascii="Times New Roman" w:hAnsi="Times New Roman" w:eastAsia="宋体" w:cs="Times New Roman"/>
                      <w:sz w:val="21"/>
                      <w:szCs w:val="21"/>
                      <w:highlight w:val="none"/>
                      <w:lang w:val="en-US" w:eastAsia="zh-CN"/>
                    </w:rPr>
                    <w:t>DA005、DA006）</w:t>
                  </w:r>
                  <w:r>
                    <w:rPr>
                      <w:rFonts w:hint="default" w:ascii="Times New Roman" w:hAnsi="Times New Roman" w:eastAsia="宋体" w:cs="Times New Roman"/>
                      <w:sz w:val="21"/>
                      <w:szCs w:val="21"/>
                      <w:highlight w:val="none"/>
                      <w:lang w:val="en-US" w:eastAsia="zh-CN"/>
                    </w:rPr>
                    <w:t>）</w:t>
                  </w:r>
                </w:p>
              </w:tc>
              <w:tc>
                <w:tcPr>
                  <w:tcW w:w="1665" w:type="pct"/>
                  <w:vMerge w:val="continue"/>
                  <w:tcBorders>
                    <w:tl2br w:val="nil"/>
                    <w:tr2bl w:val="nil"/>
                  </w:tcBorders>
                  <w:noWrap w:val="0"/>
                  <w:vAlign w:val="center"/>
                </w:tcPr>
                <w:p w14:paraId="5742037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68B3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jc w:val="center"/>
              </w:trPr>
              <w:tc>
                <w:tcPr>
                  <w:tcW w:w="735" w:type="pct"/>
                  <w:vMerge w:val="continue"/>
                  <w:tcBorders>
                    <w:tl2br w:val="nil"/>
                    <w:tr2bl w:val="nil"/>
                  </w:tcBorders>
                  <w:noWrap w:val="0"/>
                  <w:vAlign w:val="center"/>
                </w:tcPr>
                <w:p w14:paraId="143ECBE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036906C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1773" w:type="pct"/>
                  <w:gridSpan w:val="2"/>
                  <w:tcBorders>
                    <w:tl2br w:val="nil"/>
                    <w:tr2bl w:val="nil"/>
                  </w:tcBorders>
                  <w:noWrap w:val="0"/>
                  <w:vAlign w:val="center"/>
                </w:tcPr>
                <w:p w14:paraId="61A4C60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⑤浸出冷凝工艺，采用冷冻法+15m高排气筒排放（DA007）</w:t>
                  </w:r>
                </w:p>
              </w:tc>
              <w:tc>
                <w:tcPr>
                  <w:tcW w:w="1665" w:type="pct"/>
                  <w:vMerge w:val="continue"/>
                  <w:tcBorders>
                    <w:tl2br w:val="nil"/>
                    <w:tr2bl w:val="nil"/>
                  </w:tcBorders>
                  <w:noWrap w:val="0"/>
                  <w:vAlign w:val="center"/>
                </w:tcPr>
                <w:p w14:paraId="6418FD72">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1E32E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jc w:val="center"/>
              </w:trPr>
              <w:tc>
                <w:tcPr>
                  <w:tcW w:w="735" w:type="pct"/>
                  <w:vMerge w:val="continue"/>
                  <w:tcBorders>
                    <w:tl2br w:val="nil"/>
                    <w:tr2bl w:val="nil"/>
                  </w:tcBorders>
                  <w:noWrap w:val="0"/>
                  <w:vAlign w:val="center"/>
                </w:tcPr>
                <w:p w14:paraId="4704ED7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5D9F5E8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1773" w:type="pct"/>
                  <w:gridSpan w:val="2"/>
                  <w:tcBorders>
                    <w:tl2br w:val="nil"/>
                    <w:tr2bl w:val="nil"/>
                  </w:tcBorders>
                  <w:noWrap w:val="0"/>
                  <w:vAlign w:val="center"/>
                </w:tcPr>
                <w:p w14:paraId="1E2C9B98">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⑥15t燃气锅炉采用低氮燃烧技术+8m高排气筒外排（DA008）</w:t>
                  </w:r>
                </w:p>
              </w:tc>
              <w:tc>
                <w:tcPr>
                  <w:tcW w:w="1665" w:type="pct"/>
                  <w:vMerge w:val="continue"/>
                  <w:tcBorders>
                    <w:tl2br w:val="nil"/>
                    <w:tr2bl w:val="nil"/>
                  </w:tcBorders>
                  <w:noWrap w:val="0"/>
                  <w:vAlign w:val="center"/>
                </w:tcPr>
                <w:p w14:paraId="5600641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10FF7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jc w:val="center"/>
              </w:trPr>
              <w:tc>
                <w:tcPr>
                  <w:tcW w:w="735" w:type="pct"/>
                  <w:vMerge w:val="continue"/>
                  <w:tcBorders>
                    <w:tl2br w:val="nil"/>
                    <w:tr2bl w:val="nil"/>
                  </w:tcBorders>
                  <w:noWrap w:val="0"/>
                  <w:vAlign w:val="center"/>
                </w:tcPr>
                <w:p w14:paraId="567AF87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0AEA1F1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1773" w:type="pct"/>
                  <w:gridSpan w:val="2"/>
                  <w:tcBorders>
                    <w:tl2br w:val="nil"/>
                    <w:tr2bl w:val="nil"/>
                  </w:tcBorders>
                  <w:noWrap w:val="0"/>
                  <w:vAlign w:val="center"/>
                </w:tcPr>
                <w:p w14:paraId="41C02E7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⑦备用10t燃气锅炉采用低氮燃烧技术+8m高排气筒外排（DA009）</w:t>
                  </w:r>
                </w:p>
              </w:tc>
              <w:tc>
                <w:tcPr>
                  <w:tcW w:w="1665" w:type="pct"/>
                  <w:vMerge w:val="continue"/>
                  <w:tcBorders>
                    <w:tl2br w:val="nil"/>
                    <w:tr2bl w:val="nil"/>
                  </w:tcBorders>
                  <w:noWrap w:val="0"/>
                  <w:vAlign w:val="center"/>
                </w:tcPr>
                <w:p w14:paraId="6BA4153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1FB7F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jc w:val="center"/>
              </w:trPr>
              <w:tc>
                <w:tcPr>
                  <w:tcW w:w="735" w:type="pct"/>
                  <w:vMerge w:val="continue"/>
                  <w:tcBorders>
                    <w:tl2br w:val="nil"/>
                    <w:tr2bl w:val="nil"/>
                  </w:tcBorders>
                  <w:noWrap w:val="0"/>
                  <w:vAlign w:val="center"/>
                </w:tcPr>
                <w:p w14:paraId="6DF865FE">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continue"/>
                  <w:tcBorders>
                    <w:tl2br w:val="nil"/>
                    <w:tr2bl w:val="nil"/>
                  </w:tcBorders>
                  <w:noWrap w:val="0"/>
                  <w:vAlign w:val="center"/>
                </w:tcPr>
                <w:p w14:paraId="3F78949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1773" w:type="pct"/>
                  <w:gridSpan w:val="2"/>
                  <w:tcBorders>
                    <w:tl2br w:val="nil"/>
                    <w:tr2bl w:val="nil"/>
                  </w:tcBorders>
                  <w:noWrap w:val="0"/>
                  <w:vAlign w:val="center"/>
                </w:tcPr>
                <w:p w14:paraId="027D435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⑧</w:t>
                  </w:r>
                  <w:r>
                    <w:rPr>
                      <w:rFonts w:hint="default" w:ascii="Times New Roman" w:hAnsi="Times New Roman" w:eastAsia="宋体" w:cs="Times New Roman"/>
                      <w:sz w:val="21"/>
                      <w:szCs w:val="21"/>
                      <w:highlight w:val="none"/>
                      <w:lang w:val="en-US" w:eastAsia="zh-CN"/>
                    </w:rPr>
                    <w:t>地埋式污水处理设备产生的废气</w:t>
                  </w:r>
                  <w:r>
                    <w:rPr>
                      <w:rFonts w:hint="eastAsia" w:ascii="Times New Roman" w:hAnsi="Times New Roman" w:eastAsia="宋体" w:cs="Times New Roman"/>
                      <w:sz w:val="21"/>
                      <w:szCs w:val="21"/>
                      <w:highlight w:val="none"/>
                      <w:lang w:val="en-US" w:eastAsia="zh-CN"/>
                    </w:rPr>
                    <w:t>污水设备</w:t>
                  </w:r>
                  <w:r>
                    <w:rPr>
                      <w:rFonts w:hint="default" w:ascii="Times New Roman" w:hAnsi="Times New Roman" w:eastAsia="宋体" w:cs="Times New Roman"/>
                      <w:sz w:val="21"/>
                      <w:szCs w:val="21"/>
                      <w:highlight w:val="none"/>
                      <w:lang w:val="en-US" w:eastAsia="zh-CN"/>
                    </w:rPr>
                    <w:t>采用密闭</w:t>
                  </w:r>
                  <w:r>
                    <w:rPr>
                      <w:rFonts w:hint="eastAsia" w:ascii="Times New Roman" w:hAnsi="Times New Roman" w:eastAsia="宋体" w:cs="Times New Roman"/>
                      <w:sz w:val="21"/>
                      <w:szCs w:val="21"/>
                      <w:highlight w:val="none"/>
                      <w:lang w:val="en-US" w:eastAsia="zh-CN"/>
                    </w:rPr>
                    <w:t>罐体</w:t>
                  </w:r>
                  <w:r>
                    <w:rPr>
                      <w:rFonts w:hint="default" w:ascii="Times New Roman" w:hAnsi="Times New Roman" w:eastAsia="宋体" w:cs="Times New Roman"/>
                      <w:sz w:val="21"/>
                      <w:szCs w:val="21"/>
                      <w:highlight w:val="none"/>
                      <w:lang w:val="en-US" w:eastAsia="zh-CN"/>
                    </w:rPr>
                    <w:t>，定期投放除臭剂</w:t>
                  </w:r>
                </w:p>
              </w:tc>
              <w:tc>
                <w:tcPr>
                  <w:tcW w:w="1665" w:type="pct"/>
                  <w:vMerge w:val="continue"/>
                  <w:tcBorders>
                    <w:tl2br w:val="nil"/>
                    <w:tr2bl w:val="nil"/>
                  </w:tcBorders>
                  <w:noWrap w:val="0"/>
                  <w:vAlign w:val="center"/>
                </w:tcPr>
                <w:p w14:paraId="0934DC16">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14:paraId="545D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jc w:val="center"/>
              </w:trPr>
              <w:tc>
                <w:tcPr>
                  <w:tcW w:w="735" w:type="pct"/>
                  <w:vMerge w:val="continue"/>
                  <w:tcBorders>
                    <w:tl2br w:val="nil"/>
                    <w:tr2bl w:val="nil"/>
                  </w:tcBorders>
                  <w:noWrap w:val="0"/>
                  <w:vAlign w:val="center"/>
                </w:tcPr>
                <w:p w14:paraId="74CDC86B">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tcBorders>
                    <w:tl2br w:val="nil"/>
                    <w:tr2bl w:val="nil"/>
                  </w:tcBorders>
                  <w:noWrap w:val="0"/>
                  <w:vAlign w:val="center"/>
                </w:tcPr>
                <w:p w14:paraId="0E22F465">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噪声</w:t>
                  </w:r>
                </w:p>
              </w:tc>
              <w:tc>
                <w:tcPr>
                  <w:tcW w:w="1773" w:type="pct"/>
                  <w:gridSpan w:val="2"/>
                  <w:tcBorders>
                    <w:tl2br w:val="nil"/>
                    <w:tr2bl w:val="nil"/>
                  </w:tcBorders>
                  <w:noWrap w:val="0"/>
                  <w:vAlign w:val="center"/>
                </w:tcPr>
                <w:p w14:paraId="4BB9095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highlight w:val="none"/>
                      <w:lang w:val="en-US" w:eastAsia="zh-CN"/>
                    </w:rPr>
                    <w:t>采取低噪声设备、减振和隔声等措施。</w:t>
                  </w:r>
                </w:p>
              </w:tc>
              <w:tc>
                <w:tcPr>
                  <w:tcW w:w="1665" w:type="pct"/>
                  <w:vMerge w:val="continue"/>
                  <w:tcBorders>
                    <w:tl2br w:val="nil"/>
                    <w:tr2bl w:val="nil"/>
                  </w:tcBorders>
                  <w:noWrap w:val="0"/>
                  <w:vAlign w:val="center"/>
                </w:tcPr>
                <w:p w14:paraId="52A4CF8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kern w:val="2"/>
                      <w:sz w:val="21"/>
                      <w:szCs w:val="24"/>
                      <w:lang w:val="en-US" w:eastAsia="zh-CN" w:bidi="ar-SA"/>
                    </w:rPr>
                  </w:pPr>
                </w:p>
              </w:tc>
            </w:tr>
            <w:tr w14:paraId="3636B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 w:hRule="atLeast"/>
                <w:jc w:val="center"/>
              </w:trPr>
              <w:tc>
                <w:tcPr>
                  <w:tcW w:w="735" w:type="pct"/>
                  <w:vMerge w:val="continue"/>
                  <w:tcBorders>
                    <w:tl2br w:val="nil"/>
                    <w:tr2bl w:val="nil"/>
                  </w:tcBorders>
                  <w:noWrap w:val="0"/>
                  <w:vAlign w:val="center"/>
                </w:tcPr>
                <w:p w14:paraId="270E15F0">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Cs w:val="22"/>
                    </w:rPr>
                  </w:pPr>
                </w:p>
              </w:tc>
              <w:tc>
                <w:tcPr>
                  <w:tcW w:w="826" w:type="pct"/>
                  <w:vMerge w:val="restart"/>
                  <w:tcBorders>
                    <w:tl2br w:val="nil"/>
                    <w:tr2bl w:val="nil"/>
                  </w:tcBorders>
                  <w:noWrap w:val="0"/>
                  <w:vAlign w:val="center"/>
                </w:tcPr>
                <w:p w14:paraId="526F78AC">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固体废物</w:t>
                  </w:r>
                </w:p>
              </w:tc>
              <w:tc>
                <w:tcPr>
                  <w:tcW w:w="1773" w:type="pct"/>
                  <w:gridSpan w:val="2"/>
                  <w:tcBorders>
                    <w:tl2br w:val="nil"/>
                    <w:tr2bl w:val="nil"/>
                  </w:tcBorders>
                  <w:noWrap w:val="0"/>
                  <w:vAlign w:val="center"/>
                </w:tcPr>
                <w:p w14:paraId="43A57E3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①铁质石块：收集后由环卫部门定期清运</w:t>
                  </w:r>
                  <w:r>
                    <w:rPr>
                      <w:rFonts w:hint="eastAsia" w:cs="Times New Roman"/>
                      <w:highlight w:val="none"/>
                      <w:lang w:val="en-US" w:eastAsia="zh-CN"/>
                    </w:rPr>
                    <w:t>。</w:t>
                  </w:r>
                </w:p>
              </w:tc>
              <w:tc>
                <w:tcPr>
                  <w:tcW w:w="1665" w:type="pct"/>
                  <w:vMerge w:val="continue"/>
                  <w:tcBorders>
                    <w:tl2br w:val="nil"/>
                    <w:tr2bl w:val="nil"/>
                  </w:tcBorders>
                  <w:noWrap w:val="0"/>
                  <w:vAlign w:val="center"/>
                </w:tcPr>
                <w:p w14:paraId="06018C9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kern w:val="2"/>
                      <w:sz w:val="21"/>
                      <w:szCs w:val="24"/>
                      <w:lang w:val="en-US" w:eastAsia="zh-CN" w:bidi="ar-SA"/>
                    </w:rPr>
                  </w:pPr>
                </w:p>
              </w:tc>
            </w:tr>
            <w:tr w14:paraId="66632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 w:hRule="atLeast"/>
                <w:jc w:val="center"/>
              </w:trPr>
              <w:tc>
                <w:tcPr>
                  <w:tcW w:w="735" w:type="pct"/>
                  <w:vMerge w:val="continue"/>
                  <w:tcBorders>
                    <w:tl2br w:val="nil"/>
                    <w:tr2bl w:val="nil"/>
                  </w:tcBorders>
                  <w:noWrap w:val="0"/>
                  <w:vAlign w:val="center"/>
                </w:tcPr>
                <w:p w14:paraId="1C70C3B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c>
                <w:tcPr>
                  <w:tcW w:w="826" w:type="pct"/>
                  <w:vMerge w:val="continue"/>
                  <w:tcBorders>
                    <w:tl2br w:val="nil"/>
                    <w:tr2bl w:val="nil"/>
                  </w:tcBorders>
                  <w:noWrap w:val="0"/>
                  <w:vAlign w:val="center"/>
                </w:tcPr>
                <w:p w14:paraId="187DA03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c>
                <w:tcPr>
                  <w:tcW w:w="1773" w:type="pct"/>
                  <w:gridSpan w:val="2"/>
                  <w:tcBorders>
                    <w:tl2br w:val="nil"/>
                    <w:tr2bl w:val="nil"/>
                  </w:tcBorders>
                  <w:noWrap w:val="0"/>
                  <w:vAlign w:val="center"/>
                </w:tcPr>
                <w:p w14:paraId="02DEB0D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②除尘器集灰：收集后由环卫部门定期清运。</w:t>
                  </w:r>
                </w:p>
              </w:tc>
              <w:tc>
                <w:tcPr>
                  <w:tcW w:w="1665" w:type="pct"/>
                  <w:vMerge w:val="continue"/>
                  <w:tcBorders>
                    <w:tl2br w:val="nil"/>
                    <w:tr2bl w:val="nil"/>
                  </w:tcBorders>
                  <w:noWrap w:val="0"/>
                  <w:vAlign w:val="center"/>
                </w:tcPr>
                <w:p w14:paraId="33DD3D6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r>
            <w:tr w14:paraId="5BD66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 w:hRule="atLeast"/>
                <w:jc w:val="center"/>
              </w:trPr>
              <w:tc>
                <w:tcPr>
                  <w:tcW w:w="735" w:type="pct"/>
                  <w:vMerge w:val="continue"/>
                  <w:tcBorders>
                    <w:tl2br w:val="nil"/>
                    <w:tr2bl w:val="nil"/>
                  </w:tcBorders>
                  <w:noWrap w:val="0"/>
                  <w:vAlign w:val="center"/>
                </w:tcPr>
                <w:p w14:paraId="01772B2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c>
                <w:tcPr>
                  <w:tcW w:w="826" w:type="pct"/>
                  <w:vMerge w:val="continue"/>
                  <w:tcBorders>
                    <w:tl2br w:val="nil"/>
                    <w:tr2bl w:val="nil"/>
                  </w:tcBorders>
                  <w:noWrap w:val="0"/>
                  <w:vAlign w:val="center"/>
                </w:tcPr>
                <w:p w14:paraId="6F0BD4D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c>
                <w:tcPr>
                  <w:tcW w:w="1773" w:type="pct"/>
                  <w:gridSpan w:val="2"/>
                  <w:tcBorders>
                    <w:tl2br w:val="nil"/>
                    <w:tr2bl w:val="nil"/>
                  </w:tcBorders>
                  <w:noWrap w:val="0"/>
                  <w:vAlign w:val="center"/>
                </w:tcPr>
                <w:p w14:paraId="12608C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③污水处理站污泥：脱水处理后由环卫部门定期拉运至</w:t>
                  </w:r>
                  <w:r>
                    <w:rPr>
                      <w:rFonts w:hint="eastAsia" w:cs="Times New Roman"/>
                      <w:highlight w:val="none"/>
                      <w:lang w:val="en-US" w:eastAsia="zh-CN"/>
                    </w:rPr>
                    <w:t>垃圾填埋场处理</w:t>
                  </w:r>
                </w:p>
              </w:tc>
              <w:tc>
                <w:tcPr>
                  <w:tcW w:w="1665" w:type="pct"/>
                  <w:vMerge w:val="continue"/>
                  <w:tcBorders>
                    <w:tl2br w:val="nil"/>
                    <w:tr2bl w:val="nil"/>
                  </w:tcBorders>
                  <w:noWrap w:val="0"/>
                  <w:vAlign w:val="center"/>
                </w:tcPr>
                <w:p w14:paraId="703439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r>
            <w:tr w14:paraId="6B51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 w:hRule="atLeast"/>
                <w:jc w:val="center"/>
              </w:trPr>
              <w:tc>
                <w:tcPr>
                  <w:tcW w:w="735" w:type="pct"/>
                  <w:vMerge w:val="continue"/>
                  <w:tcBorders>
                    <w:tl2br w:val="nil"/>
                    <w:tr2bl w:val="nil"/>
                  </w:tcBorders>
                  <w:noWrap w:val="0"/>
                  <w:vAlign w:val="center"/>
                </w:tcPr>
                <w:p w14:paraId="76C410D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c>
                <w:tcPr>
                  <w:tcW w:w="826" w:type="pct"/>
                  <w:vMerge w:val="continue"/>
                  <w:tcBorders>
                    <w:tl2br w:val="nil"/>
                    <w:tr2bl w:val="nil"/>
                  </w:tcBorders>
                  <w:noWrap w:val="0"/>
                  <w:vAlign w:val="center"/>
                </w:tcPr>
                <w:p w14:paraId="0CA3DF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c>
                <w:tcPr>
                  <w:tcW w:w="1773" w:type="pct"/>
                  <w:gridSpan w:val="2"/>
                  <w:tcBorders>
                    <w:tl2br w:val="nil"/>
                    <w:tr2bl w:val="nil"/>
                  </w:tcBorders>
                  <w:noWrap w:val="0"/>
                  <w:vAlign w:val="center"/>
                </w:tcPr>
                <w:p w14:paraId="68B9A42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④危险废物：</w:t>
                  </w:r>
                  <w:r>
                    <w:rPr>
                      <w:rFonts w:hint="eastAsia" w:cs="Times New Roman"/>
                      <w:highlight w:val="none"/>
                      <w:lang w:val="en-US" w:eastAsia="zh-CN"/>
                    </w:rPr>
                    <w:t>设置危险废物贮存库10m</w:t>
                  </w:r>
                  <w:r>
                    <w:rPr>
                      <w:rFonts w:hint="eastAsia" w:cs="Times New Roman"/>
                      <w:highlight w:val="none"/>
                      <w:vertAlign w:val="superscript"/>
                      <w:lang w:val="en-US" w:eastAsia="zh-CN"/>
                    </w:rPr>
                    <w:t>2</w:t>
                  </w:r>
                  <w:r>
                    <w:rPr>
                      <w:rFonts w:hint="eastAsia" w:cs="Times New Roman"/>
                      <w:highlight w:val="none"/>
                      <w:vertAlign w:val="baseline"/>
                      <w:lang w:val="en-US" w:eastAsia="zh-CN"/>
                    </w:rPr>
                    <w:t>，</w:t>
                  </w:r>
                  <w:r>
                    <w:rPr>
                      <w:rFonts w:hint="default" w:ascii="Times New Roman" w:hAnsi="Times New Roman" w:cs="Times New Roman"/>
                      <w:highlight w:val="none"/>
                      <w:lang w:val="en-US" w:eastAsia="zh-CN"/>
                    </w:rPr>
                    <w:t>废机油依托有资质的单位进行处理</w:t>
                  </w:r>
                </w:p>
              </w:tc>
              <w:tc>
                <w:tcPr>
                  <w:tcW w:w="1665" w:type="pct"/>
                  <w:vMerge w:val="continue"/>
                  <w:tcBorders>
                    <w:tl2br w:val="nil"/>
                    <w:tr2bl w:val="nil"/>
                  </w:tcBorders>
                  <w:noWrap w:val="0"/>
                  <w:vAlign w:val="center"/>
                </w:tcPr>
                <w:p w14:paraId="5E62EDE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rPr>
                  </w:pPr>
                </w:p>
              </w:tc>
            </w:tr>
          </w:tbl>
          <w:p w14:paraId="53F57ED9">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lang w:val="en-US" w:eastAsia="zh-CN"/>
              </w:rPr>
            </w:pP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lang w:val="en-US" w:eastAsia="zh-CN"/>
              </w:rPr>
              <w:t>设备清单</w:t>
            </w:r>
          </w:p>
          <w:p w14:paraId="4272CA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b w:val="0"/>
                <w:bCs/>
                <w:snapToGrid w:val="0"/>
                <w:color w:val="000000"/>
                <w:kern w:val="0"/>
                <w:sz w:val="21"/>
                <w:szCs w:val="21"/>
                <w:u w:val="none"/>
                <w:lang w:eastAsia="en-US"/>
              </w:rPr>
            </w:pPr>
            <w:r>
              <w:rPr>
                <w:rFonts w:hint="eastAsia" w:ascii="黑体" w:hAnsi="黑体" w:eastAsia="黑体" w:cs="黑体"/>
                <w:b w:val="0"/>
                <w:bCs/>
                <w:snapToGrid w:val="0"/>
                <w:color w:val="000000"/>
                <w:kern w:val="0"/>
                <w:sz w:val="21"/>
                <w:szCs w:val="21"/>
                <w:u w:val="none"/>
                <w:lang w:val="en-US" w:eastAsia="zh-CN"/>
              </w:rPr>
              <w:t>表2-2   预处理车间自制</w:t>
            </w:r>
            <w:r>
              <w:rPr>
                <w:rFonts w:hint="eastAsia" w:ascii="黑体" w:hAnsi="黑体" w:eastAsia="黑体" w:cs="黑体"/>
                <w:b w:val="0"/>
                <w:bCs/>
                <w:snapToGrid w:val="0"/>
                <w:color w:val="000000"/>
                <w:kern w:val="0"/>
                <w:sz w:val="21"/>
                <w:szCs w:val="21"/>
                <w:u w:val="none"/>
                <w:lang w:eastAsia="en-US"/>
              </w:rPr>
              <w:t>设备清单</w:t>
            </w:r>
          </w:p>
          <w:tbl>
            <w:tblPr>
              <w:tblStyle w:val="22"/>
              <w:tblW w:w="7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1"/>
              <w:gridCol w:w="1039"/>
              <w:gridCol w:w="902"/>
              <w:gridCol w:w="3387"/>
              <w:gridCol w:w="434"/>
              <w:gridCol w:w="397"/>
              <w:gridCol w:w="869"/>
            </w:tblGrid>
            <w:tr w14:paraId="6AC1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blHeader/>
              </w:trPr>
              <w:tc>
                <w:tcPr>
                  <w:tcW w:w="357" w:type="pct"/>
                  <w:shd w:val="clear" w:color="auto" w:fill="auto"/>
                  <w:vAlign w:val="center"/>
                </w:tcPr>
                <w:p w14:paraId="6C9CF5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序号</w:t>
                  </w:r>
                </w:p>
              </w:tc>
              <w:tc>
                <w:tcPr>
                  <w:tcW w:w="686" w:type="pct"/>
                  <w:shd w:val="clear" w:color="auto" w:fill="auto"/>
                  <w:vAlign w:val="center"/>
                </w:tcPr>
                <w:p w14:paraId="1AD9B63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设备名称</w:t>
                  </w:r>
                </w:p>
              </w:tc>
              <w:tc>
                <w:tcPr>
                  <w:tcW w:w="595" w:type="pct"/>
                  <w:shd w:val="clear" w:color="auto" w:fill="auto"/>
                  <w:vAlign w:val="center"/>
                </w:tcPr>
                <w:p w14:paraId="024B235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规格型号</w:t>
                  </w:r>
                </w:p>
              </w:tc>
              <w:tc>
                <w:tcPr>
                  <w:tcW w:w="2237" w:type="pct"/>
                  <w:shd w:val="clear" w:color="auto" w:fill="auto"/>
                  <w:vAlign w:val="center"/>
                </w:tcPr>
                <w:p w14:paraId="411188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性能描述</w:t>
                  </w:r>
                </w:p>
              </w:tc>
              <w:tc>
                <w:tcPr>
                  <w:tcW w:w="286" w:type="pct"/>
                  <w:shd w:val="clear" w:color="auto" w:fill="auto"/>
                  <w:vAlign w:val="center"/>
                </w:tcPr>
                <w:p w14:paraId="595DF7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数量</w:t>
                  </w:r>
                </w:p>
              </w:tc>
              <w:tc>
                <w:tcPr>
                  <w:tcW w:w="262" w:type="pct"/>
                  <w:shd w:val="clear" w:color="auto" w:fill="auto"/>
                  <w:vAlign w:val="center"/>
                </w:tcPr>
                <w:p w14:paraId="3464FC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动力</w:t>
                  </w:r>
                </w:p>
                <w:p w14:paraId="760B537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kW</w:t>
                  </w:r>
                </w:p>
              </w:tc>
              <w:tc>
                <w:tcPr>
                  <w:tcW w:w="574" w:type="pct"/>
                  <w:shd w:val="clear" w:color="auto" w:fill="auto"/>
                  <w:vAlign w:val="center"/>
                </w:tcPr>
                <w:p w14:paraId="60C9BD5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备注</w:t>
                  </w:r>
                </w:p>
              </w:tc>
            </w:tr>
            <w:tr w14:paraId="58B7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4B23C1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w:t>
                  </w:r>
                </w:p>
              </w:tc>
              <w:tc>
                <w:tcPr>
                  <w:tcW w:w="686" w:type="pct"/>
                  <w:shd w:val="clear" w:color="auto" w:fill="auto"/>
                  <w:vAlign w:val="center"/>
                </w:tcPr>
                <w:p w14:paraId="28DA8EF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光籽喂料平刮板</w:t>
                  </w:r>
                </w:p>
              </w:tc>
              <w:tc>
                <w:tcPr>
                  <w:tcW w:w="595" w:type="pct"/>
                  <w:shd w:val="clear" w:color="auto" w:fill="auto"/>
                  <w:vAlign w:val="center"/>
                </w:tcPr>
                <w:p w14:paraId="04F8C58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MC32</w:t>
                  </w:r>
                </w:p>
              </w:tc>
              <w:tc>
                <w:tcPr>
                  <w:tcW w:w="2237" w:type="pct"/>
                  <w:shd w:val="clear" w:color="auto" w:fill="auto"/>
                  <w:vAlign w:val="center"/>
                </w:tcPr>
                <w:p w14:paraId="4ADC79C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重载弯板链条，高分子板，长度10米</w:t>
                  </w:r>
                </w:p>
              </w:tc>
              <w:tc>
                <w:tcPr>
                  <w:tcW w:w="286" w:type="pct"/>
                  <w:shd w:val="clear" w:color="auto" w:fill="auto"/>
                  <w:vAlign w:val="center"/>
                </w:tcPr>
                <w:p w14:paraId="1D7D0A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0EC01D3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5.5</w:t>
                  </w:r>
                </w:p>
              </w:tc>
              <w:tc>
                <w:tcPr>
                  <w:tcW w:w="574" w:type="pct"/>
                  <w:shd w:val="clear" w:color="auto" w:fill="auto"/>
                  <w:vAlign w:val="center"/>
                </w:tcPr>
                <w:p w14:paraId="726382C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AB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CD09D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w:t>
                  </w:r>
                </w:p>
              </w:tc>
              <w:tc>
                <w:tcPr>
                  <w:tcW w:w="686" w:type="pct"/>
                  <w:shd w:val="clear" w:color="auto" w:fill="auto"/>
                  <w:vAlign w:val="center"/>
                </w:tcPr>
                <w:p w14:paraId="6958657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风力清籽机</w:t>
                  </w:r>
                </w:p>
              </w:tc>
              <w:tc>
                <w:tcPr>
                  <w:tcW w:w="595" w:type="pct"/>
                  <w:shd w:val="clear" w:color="auto" w:fill="auto"/>
                  <w:vAlign w:val="center"/>
                </w:tcPr>
                <w:p w14:paraId="5EEB53B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FQM350-</w:t>
                  </w:r>
                  <w:r>
                    <w:rPr>
                      <w:rFonts w:hint="default" w:ascii="Times New Roman" w:hAnsi="Times New Roman" w:eastAsia="Arial" w:cs="Times New Roman"/>
                      <w:snapToGrid w:val="0"/>
                      <w:color w:val="000000"/>
                      <w:kern w:val="0"/>
                      <w:sz w:val="21"/>
                      <w:szCs w:val="21"/>
                      <w:lang w:val="en-US" w:eastAsia="zh-CN"/>
                    </w:rPr>
                    <w:t>1</w:t>
                  </w:r>
                  <w:r>
                    <w:rPr>
                      <w:rFonts w:hint="default" w:ascii="Times New Roman" w:hAnsi="Times New Roman" w:eastAsia="Arial" w:cs="Times New Roman"/>
                      <w:snapToGrid w:val="0"/>
                      <w:color w:val="000000"/>
                      <w:kern w:val="0"/>
                      <w:sz w:val="21"/>
                      <w:szCs w:val="21"/>
                      <w:lang w:eastAsia="en-US"/>
                    </w:rPr>
                    <w:t>-0</w:t>
                  </w:r>
                </w:p>
              </w:tc>
              <w:tc>
                <w:tcPr>
                  <w:tcW w:w="2237" w:type="pct"/>
                  <w:shd w:val="clear" w:color="auto" w:fill="auto"/>
                  <w:vAlign w:val="center"/>
                </w:tcPr>
                <w:p w14:paraId="157947B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产量350T/D棉籽，出料绞龙中部带料封段，出料口处带重力门，风机现有</w:t>
                  </w:r>
                </w:p>
              </w:tc>
              <w:tc>
                <w:tcPr>
                  <w:tcW w:w="286" w:type="pct"/>
                  <w:shd w:val="clear" w:color="auto" w:fill="auto"/>
                  <w:vAlign w:val="center"/>
                </w:tcPr>
                <w:p w14:paraId="6F39FAB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5147FAF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3×2</w:t>
                  </w:r>
                </w:p>
              </w:tc>
              <w:tc>
                <w:tcPr>
                  <w:tcW w:w="574" w:type="pct"/>
                  <w:shd w:val="clear" w:color="auto" w:fill="auto"/>
                  <w:vAlign w:val="center"/>
                </w:tcPr>
                <w:p w14:paraId="676F2C5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C6D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27C5DE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3</w:t>
                  </w:r>
                </w:p>
              </w:tc>
              <w:tc>
                <w:tcPr>
                  <w:tcW w:w="686" w:type="pct"/>
                  <w:shd w:val="clear" w:color="auto" w:fill="auto"/>
                  <w:vAlign w:val="center"/>
                </w:tcPr>
                <w:p w14:paraId="58F11CC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棒条机</w:t>
                  </w:r>
                </w:p>
              </w:tc>
              <w:tc>
                <w:tcPr>
                  <w:tcW w:w="595" w:type="pct"/>
                  <w:shd w:val="clear" w:color="auto" w:fill="auto"/>
                  <w:vAlign w:val="center"/>
                </w:tcPr>
                <w:p w14:paraId="00987ED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BTJ</w:t>
                  </w:r>
                  <w:r>
                    <w:rPr>
                      <w:rFonts w:hint="default" w:ascii="Times New Roman" w:hAnsi="Times New Roman" w:eastAsia="Arial" w:cs="Times New Roman"/>
                      <w:snapToGrid w:val="0"/>
                      <w:color w:val="000000"/>
                      <w:kern w:val="0"/>
                      <w:sz w:val="21"/>
                      <w:szCs w:val="21"/>
                      <w:lang w:val="en-US" w:eastAsia="zh-CN"/>
                    </w:rPr>
                    <w:t>3</w:t>
                  </w:r>
                  <w:r>
                    <w:rPr>
                      <w:rFonts w:hint="default" w:ascii="Times New Roman" w:hAnsi="Times New Roman" w:eastAsia="Arial" w:cs="Times New Roman"/>
                      <w:snapToGrid w:val="0"/>
                      <w:color w:val="000000"/>
                      <w:kern w:val="0"/>
                      <w:sz w:val="21"/>
                      <w:szCs w:val="21"/>
                      <w:lang w:eastAsia="en-US"/>
                    </w:rPr>
                    <w:t>0</w:t>
                  </w:r>
                  <w:r>
                    <w:rPr>
                      <w:rFonts w:hint="default" w:ascii="Times New Roman" w:hAnsi="Times New Roman" w:eastAsia="Arial" w:cs="Times New Roman"/>
                      <w:snapToGrid w:val="0"/>
                      <w:color w:val="000000"/>
                      <w:kern w:val="0"/>
                      <w:sz w:val="21"/>
                      <w:szCs w:val="21"/>
                      <w:lang w:val="en-US" w:eastAsia="zh-CN"/>
                    </w:rPr>
                    <w:t>0</w:t>
                  </w:r>
                  <w:r>
                    <w:rPr>
                      <w:rFonts w:hint="default" w:ascii="Times New Roman" w:hAnsi="Times New Roman" w:eastAsia="Arial" w:cs="Times New Roman"/>
                      <w:snapToGrid w:val="0"/>
                      <w:color w:val="000000"/>
                      <w:kern w:val="0"/>
                      <w:sz w:val="21"/>
                      <w:szCs w:val="21"/>
                      <w:lang w:eastAsia="en-US"/>
                    </w:rPr>
                    <w:t>X400</w:t>
                  </w:r>
                </w:p>
              </w:tc>
              <w:tc>
                <w:tcPr>
                  <w:tcW w:w="2237" w:type="pct"/>
                  <w:shd w:val="clear" w:color="auto" w:fill="auto"/>
                  <w:vAlign w:val="center"/>
                </w:tcPr>
                <w:p w14:paraId="143C49B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棒条螺旋输送机，碳钢材质，壳体壁厚4mm，棒条采用扁钢</w:t>
                  </w:r>
                  <w:r>
                    <w:rPr>
                      <w:rFonts w:hint="eastAsia" w:eastAsia="Arial" w:cs="Times New Roman"/>
                      <w:snapToGrid w:val="0"/>
                      <w:color w:val="000000"/>
                      <w:kern w:val="0"/>
                      <w:sz w:val="21"/>
                      <w:szCs w:val="21"/>
                      <w:lang w:val="en-US" w:eastAsia="zh-CN"/>
                    </w:rPr>
                    <w:t>制作</w:t>
                  </w:r>
                  <w:r>
                    <w:rPr>
                      <w:rFonts w:hint="default" w:ascii="Times New Roman" w:hAnsi="Times New Roman" w:eastAsia="Arial" w:cs="Times New Roman"/>
                      <w:snapToGrid w:val="0"/>
                      <w:color w:val="000000"/>
                      <w:kern w:val="0"/>
                      <w:sz w:val="21"/>
                      <w:szCs w:val="21"/>
                      <w:lang w:val="en-US" w:eastAsia="zh-CN"/>
                    </w:rPr>
                    <w:t>，配国贸国泰摆线减速机，筛网孔一半φ3.5，一半φ4，风力清籽机配套使用，转速130转/min</w:t>
                  </w:r>
                </w:p>
              </w:tc>
              <w:tc>
                <w:tcPr>
                  <w:tcW w:w="286" w:type="pct"/>
                  <w:shd w:val="clear" w:color="auto" w:fill="auto"/>
                  <w:vAlign w:val="center"/>
                </w:tcPr>
                <w:p w14:paraId="7687B55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2B5F85C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76D5D4B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4739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74097E4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4</w:t>
                  </w:r>
                </w:p>
              </w:tc>
              <w:tc>
                <w:tcPr>
                  <w:tcW w:w="686" w:type="pct"/>
                  <w:shd w:val="clear" w:color="auto" w:fill="auto"/>
                  <w:vAlign w:val="center"/>
                </w:tcPr>
                <w:p w14:paraId="29880F5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阶梯筛出料绞龙</w:t>
                  </w:r>
                </w:p>
              </w:tc>
              <w:tc>
                <w:tcPr>
                  <w:tcW w:w="595" w:type="pct"/>
                  <w:shd w:val="clear" w:color="auto" w:fill="auto"/>
                  <w:vAlign w:val="center"/>
                </w:tcPr>
                <w:p w14:paraId="73343A8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LSS32</w:t>
                  </w:r>
                </w:p>
              </w:tc>
              <w:tc>
                <w:tcPr>
                  <w:tcW w:w="2237" w:type="pct"/>
                  <w:shd w:val="clear" w:color="auto" w:fill="auto"/>
                  <w:vAlign w:val="center"/>
                </w:tcPr>
                <w:p w14:paraId="0D04B8A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材质碳钢，壳体4mm，叶片5mm，正反叶片，长度5米</w:t>
                  </w:r>
                </w:p>
              </w:tc>
              <w:tc>
                <w:tcPr>
                  <w:tcW w:w="286" w:type="pct"/>
                  <w:shd w:val="clear" w:color="auto" w:fill="auto"/>
                  <w:vAlign w:val="center"/>
                </w:tcPr>
                <w:p w14:paraId="65F5CD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75832D5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6A4471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4F80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57" w:type="pct"/>
                  <w:shd w:val="clear" w:color="auto" w:fill="auto"/>
                  <w:vAlign w:val="center"/>
                </w:tcPr>
                <w:p w14:paraId="0D2167A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5</w:t>
                  </w:r>
                </w:p>
              </w:tc>
              <w:tc>
                <w:tcPr>
                  <w:tcW w:w="686" w:type="pct"/>
                  <w:shd w:val="clear" w:color="auto" w:fill="auto"/>
                  <w:vAlign w:val="center"/>
                </w:tcPr>
                <w:p w14:paraId="2672E9D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平筛下料阀</w:t>
                  </w:r>
                </w:p>
              </w:tc>
              <w:tc>
                <w:tcPr>
                  <w:tcW w:w="595" w:type="pct"/>
                  <w:shd w:val="clear" w:color="auto" w:fill="auto"/>
                  <w:vAlign w:val="center"/>
                </w:tcPr>
                <w:p w14:paraId="0634EA2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XLF273</w:t>
                  </w:r>
                </w:p>
              </w:tc>
              <w:tc>
                <w:tcPr>
                  <w:tcW w:w="2237" w:type="pct"/>
                  <w:shd w:val="clear" w:color="auto" w:fill="auto"/>
                  <w:vAlign w:val="center"/>
                </w:tcPr>
                <w:p w14:paraId="436B0425">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材质碳钢：壳体厚度4mm，叶片5mm用于棉仁均匀下料，配国茂国泰摆线减速机，变频调速。配齐链轮链条机护罩。</w:t>
                  </w:r>
                </w:p>
              </w:tc>
              <w:tc>
                <w:tcPr>
                  <w:tcW w:w="286" w:type="pct"/>
                  <w:shd w:val="clear" w:color="auto" w:fill="auto"/>
                  <w:vAlign w:val="center"/>
                </w:tcPr>
                <w:p w14:paraId="4C29BC4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w:t>
                  </w:r>
                </w:p>
              </w:tc>
              <w:tc>
                <w:tcPr>
                  <w:tcW w:w="262" w:type="pct"/>
                  <w:shd w:val="clear" w:color="auto" w:fill="auto"/>
                  <w:vAlign w:val="center"/>
                </w:tcPr>
                <w:p w14:paraId="4CBDEC4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c>
                <w:tcPr>
                  <w:tcW w:w="574" w:type="pct"/>
                  <w:shd w:val="clear" w:color="auto" w:fill="auto"/>
                  <w:vAlign w:val="center"/>
                </w:tcPr>
                <w:p w14:paraId="30F3175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61E5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325031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6</w:t>
                  </w:r>
                </w:p>
              </w:tc>
              <w:tc>
                <w:tcPr>
                  <w:tcW w:w="686" w:type="pct"/>
                  <w:shd w:val="clear" w:color="auto" w:fill="auto"/>
                  <w:vAlign w:val="center"/>
                </w:tcPr>
                <w:p w14:paraId="08EB4FA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仁绞龙</w:t>
                  </w:r>
                </w:p>
              </w:tc>
              <w:tc>
                <w:tcPr>
                  <w:tcW w:w="595" w:type="pct"/>
                  <w:shd w:val="clear" w:color="auto" w:fill="auto"/>
                  <w:vAlign w:val="center"/>
                </w:tcPr>
                <w:p w14:paraId="1B91BFE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LSS25</w:t>
                  </w:r>
                </w:p>
              </w:tc>
              <w:tc>
                <w:tcPr>
                  <w:tcW w:w="2237" w:type="pct"/>
                  <w:shd w:val="clear" w:color="auto" w:fill="auto"/>
                  <w:vAlign w:val="center"/>
                </w:tcPr>
                <w:p w14:paraId="496BB3E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材质碳钢，壳体4mm，叶片5mm，</w:t>
                  </w:r>
                  <w:r>
                    <w:rPr>
                      <w:rFonts w:hint="default" w:ascii="Times New Roman" w:hAnsi="Times New Roman" w:eastAsia="Arial" w:cs="Times New Roman"/>
                      <w:snapToGrid w:val="0"/>
                      <w:color w:val="000000"/>
                      <w:kern w:val="0"/>
                      <w:sz w:val="21"/>
                      <w:szCs w:val="21"/>
                      <w:lang w:eastAsia="en-US"/>
                    </w:rPr>
                    <w:t>芯轴无缝管Φ76×4</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长度9米</w:t>
                  </w:r>
                </w:p>
              </w:tc>
              <w:tc>
                <w:tcPr>
                  <w:tcW w:w="286" w:type="pct"/>
                  <w:shd w:val="clear" w:color="auto" w:fill="auto"/>
                  <w:vAlign w:val="center"/>
                </w:tcPr>
                <w:p w14:paraId="7967B1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262" w:type="pct"/>
                  <w:shd w:val="clear" w:color="auto" w:fill="auto"/>
                  <w:vAlign w:val="center"/>
                </w:tcPr>
                <w:p w14:paraId="66F777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c>
                <w:tcPr>
                  <w:tcW w:w="574" w:type="pct"/>
                  <w:shd w:val="clear" w:color="auto" w:fill="auto"/>
                  <w:vAlign w:val="center"/>
                </w:tcPr>
                <w:p w14:paraId="201098C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6BB0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306BDE9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7</w:t>
                  </w:r>
                </w:p>
              </w:tc>
              <w:tc>
                <w:tcPr>
                  <w:tcW w:w="686" w:type="pct"/>
                  <w:shd w:val="clear" w:color="auto" w:fill="auto"/>
                  <w:vAlign w:val="center"/>
                </w:tcPr>
                <w:p w14:paraId="539A9B77">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壳绞龙</w:t>
                  </w:r>
                </w:p>
              </w:tc>
              <w:tc>
                <w:tcPr>
                  <w:tcW w:w="595" w:type="pct"/>
                  <w:shd w:val="clear" w:color="auto" w:fill="auto"/>
                  <w:vAlign w:val="center"/>
                </w:tcPr>
                <w:p w14:paraId="76F9AFE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LSS20</w:t>
                  </w:r>
                </w:p>
              </w:tc>
              <w:tc>
                <w:tcPr>
                  <w:tcW w:w="2237" w:type="pct"/>
                  <w:shd w:val="clear" w:color="auto" w:fill="auto"/>
                  <w:vAlign w:val="center"/>
                </w:tcPr>
                <w:p w14:paraId="7F017E3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长度9.5米</w:t>
                  </w:r>
                  <w:r>
                    <w:rPr>
                      <w:rFonts w:hint="eastAsia" w:eastAsia="Arial" w:cs="Times New Roman"/>
                      <w:snapToGrid w:val="0"/>
                      <w:color w:val="000000"/>
                      <w:kern w:val="0"/>
                      <w:sz w:val="21"/>
                      <w:szCs w:val="21"/>
                      <w:lang w:val="en-US" w:eastAsia="zh-CN"/>
                    </w:rPr>
                    <w:t>。</w:t>
                  </w:r>
                </w:p>
              </w:tc>
              <w:tc>
                <w:tcPr>
                  <w:tcW w:w="286" w:type="pct"/>
                  <w:shd w:val="clear" w:color="auto" w:fill="auto"/>
                  <w:vAlign w:val="center"/>
                </w:tcPr>
                <w:p w14:paraId="12158B1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1</w:t>
                  </w:r>
                </w:p>
              </w:tc>
              <w:tc>
                <w:tcPr>
                  <w:tcW w:w="262" w:type="pct"/>
                  <w:shd w:val="clear" w:color="auto" w:fill="auto"/>
                  <w:vAlign w:val="center"/>
                </w:tcPr>
                <w:p w14:paraId="7C6EBEB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3</w:t>
                  </w:r>
                  <w:r>
                    <w:rPr>
                      <w:rFonts w:hint="default" w:ascii="Times New Roman" w:hAnsi="Times New Roman" w:eastAsia="Arial" w:cs="Times New Roman"/>
                      <w:snapToGrid w:val="0"/>
                      <w:color w:val="000000"/>
                      <w:kern w:val="0"/>
                      <w:sz w:val="21"/>
                      <w:szCs w:val="21"/>
                      <w:lang w:eastAsia="en-US"/>
                    </w:rPr>
                    <w:t>.0</w:t>
                  </w:r>
                </w:p>
              </w:tc>
              <w:tc>
                <w:tcPr>
                  <w:tcW w:w="574" w:type="pct"/>
                  <w:shd w:val="clear" w:color="auto" w:fill="auto"/>
                  <w:vAlign w:val="center"/>
                </w:tcPr>
                <w:p w14:paraId="0E7C31E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p>
              </w:tc>
            </w:tr>
            <w:tr w14:paraId="38AC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480B26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8</w:t>
                  </w:r>
                </w:p>
              </w:tc>
              <w:tc>
                <w:tcPr>
                  <w:tcW w:w="686" w:type="pct"/>
                  <w:shd w:val="clear" w:color="auto" w:fill="auto"/>
                  <w:vAlign w:val="center"/>
                </w:tcPr>
                <w:p w14:paraId="0FD6727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细粉绞龙</w:t>
                  </w:r>
                </w:p>
              </w:tc>
              <w:tc>
                <w:tcPr>
                  <w:tcW w:w="595" w:type="pct"/>
                  <w:shd w:val="clear" w:color="auto" w:fill="auto"/>
                  <w:vAlign w:val="center"/>
                </w:tcPr>
                <w:p w14:paraId="5C304337">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LSS20</w:t>
                  </w:r>
                </w:p>
              </w:tc>
              <w:tc>
                <w:tcPr>
                  <w:tcW w:w="2237" w:type="pct"/>
                  <w:shd w:val="clear" w:color="auto" w:fill="auto"/>
                  <w:vAlign w:val="center"/>
                </w:tcPr>
                <w:p w14:paraId="1BCA102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长度9.6米</w:t>
                  </w:r>
                  <w:r>
                    <w:rPr>
                      <w:rFonts w:hint="eastAsia" w:eastAsia="Arial" w:cs="Times New Roman"/>
                      <w:snapToGrid w:val="0"/>
                      <w:color w:val="000000"/>
                      <w:kern w:val="0"/>
                      <w:sz w:val="21"/>
                      <w:szCs w:val="21"/>
                      <w:lang w:val="en-US" w:eastAsia="zh-CN"/>
                    </w:rPr>
                    <w:t>。</w:t>
                  </w:r>
                </w:p>
              </w:tc>
              <w:tc>
                <w:tcPr>
                  <w:tcW w:w="286" w:type="pct"/>
                  <w:shd w:val="clear" w:color="auto" w:fill="auto"/>
                  <w:vAlign w:val="center"/>
                </w:tcPr>
                <w:p w14:paraId="5B0BEB7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21CB52E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2.2</w:t>
                  </w:r>
                </w:p>
              </w:tc>
              <w:tc>
                <w:tcPr>
                  <w:tcW w:w="574" w:type="pct"/>
                  <w:shd w:val="clear" w:color="auto" w:fill="auto"/>
                  <w:vAlign w:val="center"/>
                </w:tcPr>
                <w:p w14:paraId="67A894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p>
              </w:tc>
            </w:tr>
            <w:tr w14:paraId="213A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57" w:type="pct"/>
                  <w:shd w:val="clear" w:color="auto" w:fill="auto"/>
                  <w:vAlign w:val="center"/>
                </w:tcPr>
                <w:p w14:paraId="7C4EB18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9</w:t>
                  </w:r>
                </w:p>
              </w:tc>
              <w:tc>
                <w:tcPr>
                  <w:tcW w:w="686" w:type="pct"/>
                  <w:shd w:val="clear" w:color="auto" w:fill="auto"/>
                  <w:vAlign w:val="center"/>
                </w:tcPr>
                <w:p w14:paraId="39B3355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仁提升机</w:t>
                  </w:r>
                </w:p>
              </w:tc>
              <w:tc>
                <w:tcPr>
                  <w:tcW w:w="595" w:type="pct"/>
                  <w:shd w:val="clear" w:color="auto" w:fill="auto"/>
                  <w:vAlign w:val="center"/>
                </w:tcPr>
                <w:p w14:paraId="180A5527">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DT41/33</w:t>
                  </w:r>
                </w:p>
              </w:tc>
              <w:tc>
                <w:tcPr>
                  <w:tcW w:w="2237" w:type="pct"/>
                  <w:shd w:val="clear" w:color="auto" w:fill="auto"/>
                  <w:vAlign w:val="center"/>
                </w:tcPr>
                <w:p w14:paraId="4CCF370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提升带选用8层强力帆布带，畚斗D3321选用高密度聚乙烯畚斗，不含塑化剂，机尾+标准节高度11.7米</w:t>
                  </w:r>
                </w:p>
              </w:tc>
              <w:tc>
                <w:tcPr>
                  <w:tcW w:w="286" w:type="pct"/>
                  <w:shd w:val="clear" w:color="auto" w:fill="auto"/>
                  <w:vAlign w:val="center"/>
                </w:tcPr>
                <w:p w14:paraId="71B4C1F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3328AFB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5.5</w:t>
                  </w:r>
                </w:p>
              </w:tc>
              <w:tc>
                <w:tcPr>
                  <w:tcW w:w="574" w:type="pct"/>
                  <w:shd w:val="clear" w:color="auto" w:fill="auto"/>
                  <w:vAlign w:val="center"/>
                </w:tcPr>
                <w:p w14:paraId="17BA270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p>
              </w:tc>
            </w:tr>
            <w:tr w14:paraId="3987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C11A10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10</w:t>
                  </w:r>
                </w:p>
              </w:tc>
              <w:tc>
                <w:tcPr>
                  <w:tcW w:w="686" w:type="pct"/>
                  <w:shd w:val="clear" w:color="auto" w:fill="auto"/>
                  <w:vAlign w:val="center"/>
                </w:tcPr>
                <w:p w14:paraId="481FC58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精分喂料绞龙</w:t>
                  </w:r>
                </w:p>
              </w:tc>
              <w:tc>
                <w:tcPr>
                  <w:tcW w:w="595" w:type="pct"/>
                  <w:shd w:val="clear" w:color="auto" w:fill="auto"/>
                  <w:vAlign w:val="center"/>
                </w:tcPr>
                <w:p w14:paraId="211F46D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LSS25</w:t>
                  </w:r>
                </w:p>
              </w:tc>
              <w:tc>
                <w:tcPr>
                  <w:tcW w:w="2237" w:type="pct"/>
                  <w:shd w:val="clear" w:color="auto" w:fill="auto"/>
                  <w:vAlign w:val="center"/>
                </w:tcPr>
                <w:p w14:paraId="7B896BC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材质碳钢，壳体5mm，叶片6mm，</w:t>
                  </w:r>
                  <w:r>
                    <w:rPr>
                      <w:rFonts w:hint="default" w:ascii="Times New Roman" w:hAnsi="Times New Roman" w:eastAsia="Arial" w:cs="Times New Roman"/>
                      <w:snapToGrid w:val="0"/>
                      <w:color w:val="000000"/>
                      <w:kern w:val="0"/>
                      <w:sz w:val="21"/>
                      <w:szCs w:val="21"/>
                      <w:lang w:eastAsia="en-US"/>
                    </w:rPr>
                    <w:t>芯轴无缝管Φ76×4</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长度11米，设置正反叶片</w:t>
                  </w:r>
                </w:p>
              </w:tc>
              <w:tc>
                <w:tcPr>
                  <w:tcW w:w="286" w:type="pct"/>
                  <w:shd w:val="clear" w:color="auto" w:fill="auto"/>
                  <w:vAlign w:val="center"/>
                </w:tcPr>
                <w:p w14:paraId="3D3F26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3901406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1A751F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17DE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shd w:val="clear" w:color="auto" w:fill="auto"/>
                  <w:vAlign w:val="center"/>
                </w:tcPr>
                <w:p w14:paraId="54E6A4A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11</w:t>
                  </w:r>
                </w:p>
              </w:tc>
              <w:tc>
                <w:tcPr>
                  <w:tcW w:w="686" w:type="pct"/>
                  <w:shd w:val="clear" w:color="auto" w:fill="auto"/>
                  <w:vAlign w:val="center"/>
                </w:tcPr>
                <w:p w14:paraId="7EEA38E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正压精分器</w:t>
                  </w:r>
                </w:p>
              </w:tc>
              <w:tc>
                <w:tcPr>
                  <w:tcW w:w="595" w:type="pct"/>
                  <w:shd w:val="clear" w:color="auto" w:fill="auto"/>
                  <w:vAlign w:val="center"/>
                </w:tcPr>
                <w:p w14:paraId="698C4B3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JFQ100.0</w:t>
                  </w:r>
                </w:p>
              </w:tc>
              <w:tc>
                <w:tcPr>
                  <w:tcW w:w="2237" w:type="pct"/>
                  <w:shd w:val="clear" w:color="auto" w:fill="auto"/>
                  <w:vAlign w:val="center"/>
                </w:tcPr>
                <w:p w14:paraId="719D7BC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设备宽度1.2米，配φ100mm罗拉喂料辊，采用冷板制作。配国贸国泰摆线减速机</w:t>
                  </w:r>
                </w:p>
              </w:tc>
              <w:tc>
                <w:tcPr>
                  <w:tcW w:w="286" w:type="pct"/>
                  <w:shd w:val="clear" w:color="auto" w:fill="auto"/>
                  <w:vAlign w:val="center"/>
                </w:tcPr>
                <w:p w14:paraId="4ED2D48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262" w:type="pct"/>
                  <w:shd w:val="clear" w:color="auto" w:fill="auto"/>
                  <w:vAlign w:val="center"/>
                </w:tcPr>
                <w:p w14:paraId="007D663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1.5</w:t>
                  </w:r>
                </w:p>
              </w:tc>
              <w:tc>
                <w:tcPr>
                  <w:tcW w:w="574" w:type="pct"/>
                  <w:shd w:val="clear" w:color="auto" w:fill="auto"/>
                  <w:vAlign w:val="center"/>
                </w:tcPr>
                <w:p w14:paraId="6DCC7F3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D54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E5CCE8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12</w:t>
                  </w:r>
                </w:p>
              </w:tc>
              <w:tc>
                <w:tcPr>
                  <w:tcW w:w="686" w:type="pct"/>
                  <w:shd w:val="clear" w:color="auto" w:fill="auto"/>
                  <w:vAlign w:val="center"/>
                </w:tcPr>
                <w:p w14:paraId="412B20A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负压精分器</w:t>
                  </w:r>
                </w:p>
              </w:tc>
              <w:tc>
                <w:tcPr>
                  <w:tcW w:w="595" w:type="pct"/>
                  <w:shd w:val="clear" w:color="auto" w:fill="auto"/>
                  <w:vAlign w:val="center"/>
                </w:tcPr>
                <w:p w14:paraId="582CD8E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JFQ80.0</w:t>
                  </w:r>
                </w:p>
              </w:tc>
              <w:tc>
                <w:tcPr>
                  <w:tcW w:w="2237" w:type="pct"/>
                  <w:shd w:val="clear" w:color="auto" w:fill="auto"/>
                  <w:vAlign w:val="center"/>
                </w:tcPr>
                <w:p w14:paraId="63868EC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设备宽度0.8米，配φ100mm罗拉喂料辊，采用冷板制作。配国贸国泰摆线减速机</w:t>
                  </w:r>
                </w:p>
              </w:tc>
              <w:tc>
                <w:tcPr>
                  <w:tcW w:w="286" w:type="pct"/>
                  <w:shd w:val="clear" w:color="auto" w:fill="auto"/>
                  <w:vAlign w:val="center"/>
                </w:tcPr>
                <w:p w14:paraId="14D653E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262" w:type="pct"/>
                  <w:shd w:val="clear" w:color="auto" w:fill="auto"/>
                  <w:vAlign w:val="center"/>
                </w:tcPr>
                <w:p w14:paraId="6F03FB5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1.5</w:t>
                  </w:r>
                </w:p>
              </w:tc>
              <w:tc>
                <w:tcPr>
                  <w:tcW w:w="574" w:type="pct"/>
                  <w:shd w:val="clear" w:color="auto" w:fill="auto"/>
                  <w:vAlign w:val="center"/>
                </w:tcPr>
                <w:p w14:paraId="671351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1696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5A16B58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13</w:t>
                  </w:r>
                </w:p>
              </w:tc>
              <w:tc>
                <w:tcPr>
                  <w:tcW w:w="686" w:type="pct"/>
                  <w:shd w:val="clear" w:color="auto" w:fill="auto"/>
                  <w:vAlign w:val="center"/>
                </w:tcPr>
                <w:p w14:paraId="51622A1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细粉精分器</w:t>
                  </w:r>
                </w:p>
              </w:tc>
              <w:tc>
                <w:tcPr>
                  <w:tcW w:w="595" w:type="pct"/>
                  <w:shd w:val="clear" w:color="auto" w:fill="auto"/>
                  <w:vAlign w:val="center"/>
                </w:tcPr>
                <w:p w14:paraId="1572270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JFQ80.0</w:t>
                  </w:r>
                </w:p>
              </w:tc>
              <w:tc>
                <w:tcPr>
                  <w:tcW w:w="2237" w:type="pct"/>
                  <w:shd w:val="clear" w:color="auto" w:fill="auto"/>
                  <w:vAlign w:val="center"/>
                </w:tcPr>
                <w:p w14:paraId="3E00F06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设备宽度0.8米，配φ100mm罗拉喂料辊，采用冷板制作。配国贸国泰摆线减速机</w:t>
                  </w:r>
                </w:p>
              </w:tc>
              <w:tc>
                <w:tcPr>
                  <w:tcW w:w="286" w:type="pct"/>
                  <w:shd w:val="clear" w:color="auto" w:fill="auto"/>
                  <w:vAlign w:val="center"/>
                </w:tcPr>
                <w:p w14:paraId="11F95F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77E4C8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1.5</w:t>
                  </w:r>
                </w:p>
              </w:tc>
              <w:tc>
                <w:tcPr>
                  <w:tcW w:w="574" w:type="pct"/>
                  <w:shd w:val="clear" w:color="auto" w:fill="auto"/>
                  <w:vAlign w:val="center"/>
                </w:tcPr>
                <w:p w14:paraId="242252B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678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5939FEF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14</w:t>
                  </w:r>
                </w:p>
              </w:tc>
              <w:tc>
                <w:tcPr>
                  <w:tcW w:w="686" w:type="pct"/>
                  <w:shd w:val="clear" w:color="auto" w:fill="auto"/>
                  <w:vAlign w:val="center"/>
                </w:tcPr>
                <w:p w14:paraId="2A402AF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精分上层仁绞龙</w:t>
                  </w:r>
                </w:p>
              </w:tc>
              <w:tc>
                <w:tcPr>
                  <w:tcW w:w="595" w:type="pct"/>
                  <w:shd w:val="clear" w:color="auto" w:fill="auto"/>
                  <w:vAlign w:val="center"/>
                </w:tcPr>
                <w:p w14:paraId="35BD1E0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LSS25</w:t>
                  </w:r>
                </w:p>
              </w:tc>
              <w:tc>
                <w:tcPr>
                  <w:tcW w:w="2237" w:type="pct"/>
                  <w:shd w:val="clear" w:color="auto" w:fill="auto"/>
                  <w:vAlign w:val="center"/>
                </w:tcPr>
                <w:p w14:paraId="0AE8B8B7">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质碳钢，壳体4mm，叶片5mm，</w:t>
                  </w:r>
                  <w:r>
                    <w:rPr>
                      <w:rFonts w:hint="default" w:ascii="Times New Roman" w:hAnsi="Times New Roman" w:eastAsia="Arial" w:cs="Times New Roman"/>
                      <w:snapToGrid w:val="0"/>
                      <w:color w:val="000000"/>
                      <w:kern w:val="0"/>
                      <w:sz w:val="21"/>
                      <w:szCs w:val="21"/>
                      <w:lang w:eastAsia="en-US"/>
                    </w:rPr>
                    <w:t>芯轴无缝管Φ76×4</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长度11米，设置正反叶片</w:t>
                  </w:r>
                </w:p>
              </w:tc>
              <w:tc>
                <w:tcPr>
                  <w:tcW w:w="286" w:type="pct"/>
                  <w:shd w:val="clear" w:color="auto" w:fill="auto"/>
                  <w:vAlign w:val="center"/>
                </w:tcPr>
                <w:p w14:paraId="0544CC3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05484E9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07BD13A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6FBD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5FB29DA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15</w:t>
                  </w:r>
                </w:p>
              </w:tc>
              <w:tc>
                <w:tcPr>
                  <w:tcW w:w="686" w:type="pct"/>
                  <w:shd w:val="clear" w:color="auto" w:fill="auto"/>
                  <w:vAlign w:val="center"/>
                </w:tcPr>
                <w:p w14:paraId="6238FF7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精分进色选仁绞龙</w:t>
                  </w:r>
                </w:p>
              </w:tc>
              <w:tc>
                <w:tcPr>
                  <w:tcW w:w="595" w:type="pct"/>
                  <w:shd w:val="clear" w:color="auto" w:fill="auto"/>
                  <w:vAlign w:val="center"/>
                </w:tcPr>
                <w:p w14:paraId="04786C4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LSS20</w:t>
                  </w:r>
                </w:p>
              </w:tc>
              <w:tc>
                <w:tcPr>
                  <w:tcW w:w="2237" w:type="pct"/>
                  <w:shd w:val="clear" w:color="auto" w:fill="auto"/>
                  <w:vAlign w:val="center"/>
                </w:tcPr>
                <w:p w14:paraId="6928E10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质碳钢，壳体4mm，叶片5mm，</w:t>
                  </w:r>
                  <w:r>
                    <w:rPr>
                      <w:rFonts w:hint="default" w:ascii="Times New Roman" w:hAnsi="Times New Roman" w:eastAsia="Arial" w:cs="Times New Roman"/>
                      <w:snapToGrid w:val="0"/>
                      <w:color w:val="000000"/>
                      <w:kern w:val="0"/>
                      <w:sz w:val="21"/>
                      <w:szCs w:val="21"/>
                      <w:lang w:eastAsia="en-US"/>
                    </w:rPr>
                    <w:t>芯轴无缝管Φ76×4</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长度13米，设置正反叶片</w:t>
                  </w:r>
                </w:p>
              </w:tc>
              <w:tc>
                <w:tcPr>
                  <w:tcW w:w="286" w:type="pct"/>
                  <w:shd w:val="clear" w:color="auto" w:fill="auto"/>
                  <w:vAlign w:val="center"/>
                </w:tcPr>
                <w:p w14:paraId="08C4A2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595371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004AA47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6C04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221D5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16</w:t>
                  </w:r>
                </w:p>
              </w:tc>
              <w:tc>
                <w:tcPr>
                  <w:tcW w:w="686" w:type="pct"/>
                  <w:shd w:val="clear" w:color="auto" w:fill="auto"/>
                  <w:vAlign w:val="center"/>
                </w:tcPr>
                <w:p w14:paraId="3118830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精分沙克龙汇集绞龙</w:t>
                  </w:r>
                </w:p>
              </w:tc>
              <w:tc>
                <w:tcPr>
                  <w:tcW w:w="595" w:type="pct"/>
                  <w:shd w:val="clear" w:color="auto" w:fill="auto"/>
                  <w:vAlign w:val="center"/>
                </w:tcPr>
                <w:p w14:paraId="611B8E1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LSS20</w:t>
                  </w:r>
                </w:p>
              </w:tc>
              <w:tc>
                <w:tcPr>
                  <w:tcW w:w="2237" w:type="pct"/>
                  <w:shd w:val="clear" w:color="auto" w:fill="auto"/>
                  <w:vAlign w:val="center"/>
                </w:tcPr>
                <w:p w14:paraId="7ACBC82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6</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长度10米</w:t>
                  </w:r>
                </w:p>
              </w:tc>
              <w:tc>
                <w:tcPr>
                  <w:tcW w:w="286" w:type="pct"/>
                  <w:shd w:val="clear" w:color="auto" w:fill="auto"/>
                  <w:vAlign w:val="center"/>
                </w:tcPr>
                <w:p w14:paraId="2045771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1967383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47FD4F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77C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 w:type="pct"/>
                  <w:shd w:val="clear" w:color="auto" w:fill="auto"/>
                  <w:vAlign w:val="center"/>
                </w:tcPr>
                <w:p w14:paraId="20BFBF1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17</w:t>
                  </w:r>
                </w:p>
              </w:tc>
              <w:tc>
                <w:tcPr>
                  <w:tcW w:w="686" w:type="pct"/>
                  <w:shd w:val="clear" w:color="auto" w:fill="auto"/>
                  <w:vAlign w:val="center"/>
                </w:tcPr>
                <w:p w14:paraId="4625C87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棒条机</w:t>
                  </w:r>
                </w:p>
              </w:tc>
              <w:tc>
                <w:tcPr>
                  <w:tcW w:w="595" w:type="pct"/>
                  <w:shd w:val="clear" w:color="auto" w:fill="auto"/>
                  <w:vAlign w:val="center"/>
                </w:tcPr>
                <w:p w14:paraId="2061736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BTJ</w:t>
                  </w:r>
                  <w:r>
                    <w:rPr>
                      <w:rFonts w:hint="default" w:ascii="Times New Roman" w:hAnsi="Times New Roman" w:eastAsia="Arial" w:cs="Times New Roman"/>
                      <w:snapToGrid w:val="0"/>
                      <w:color w:val="000000"/>
                      <w:kern w:val="0"/>
                      <w:sz w:val="21"/>
                      <w:szCs w:val="21"/>
                      <w:lang w:val="en-US" w:eastAsia="zh-CN"/>
                    </w:rPr>
                    <w:t>3</w:t>
                  </w:r>
                  <w:r>
                    <w:rPr>
                      <w:rFonts w:hint="default" w:ascii="Times New Roman" w:hAnsi="Times New Roman" w:eastAsia="Arial" w:cs="Times New Roman"/>
                      <w:snapToGrid w:val="0"/>
                      <w:color w:val="000000"/>
                      <w:kern w:val="0"/>
                      <w:sz w:val="21"/>
                      <w:szCs w:val="21"/>
                      <w:lang w:eastAsia="en-US"/>
                    </w:rPr>
                    <w:t>0</w:t>
                  </w:r>
                  <w:r>
                    <w:rPr>
                      <w:rFonts w:hint="default" w:ascii="Times New Roman" w:hAnsi="Times New Roman" w:eastAsia="Arial" w:cs="Times New Roman"/>
                      <w:snapToGrid w:val="0"/>
                      <w:color w:val="000000"/>
                      <w:kern w:val="0"/>
                      <w:sz w:val="21"/>
                      <w:szCs w:val="21"/>
                      <w:lang w:val="en-US" w:eastAsia="zh-CN"/>
                    </w:rPr>
                    <w:t>0</w:t>
                  </w:r>
                  <w:r>
                    <w:rPr>
                      <w:rFonts w:hint="default" w:ascii="Times New Roman" w:hAnsi="Times New Roman" w:eastAsia="Arial" w:cs="Times New Roman"/>
                      <w:snapToGrid w:val="0"/>
                      <w:color w:val="000000"/>
                      <w:kern w:val="0"/>
                      <w:sz w:val="21"/>
                      <w:szCs w:val="21"/>
                      <w:lang w:eastAsia="en-US"/>
                    </w:rPr>
                    <w:t>X</w:t>
                  </w:r>
                  <w:r>
                    <w:rPr>
                      <w:rFonts w:hint="default" w:ascii="Times New Roman" w:hAnsi="Times New Roman" w:eastAsia="Arial" w:cs="Times New Roman"/>
                      <w:snapToGrid w:val="0"/>
                      <w:color w:val="000000"/>
                      <w:kern w:val="0"/>
                      <w:sz w:val="21"/>
                      <w:szCs w:val="21"/>
                      <w:lang w:val="en-US" w:eastAsia="zh-CN"/>
                    </w:rPr>
                    <w:t>3</w:t>
                  </w:r>
                  <w:r>
                    <w:rPr>
                      <w:rFonts w:hint="default" w:ascii="Times New Roman" w:hAnsi="Times New Roman" w:eastAsia="Arial" w:cs="Times New Roman"/>
                      <w:snapToGrid w:val="0"/>
                      <w:color w:val="000000"/>
                      <w:kern w:val="0"/>
                      <w:sz w:val="21"/>
                      <w:szCs w:val="21"/>
                      <w:lang w:eastAsia="en-US"/>
                    </w:rPr>
                    <w:t>00</w:t>
                  </w:r>
                  <w:r>
                    <w:rPr>
                      <w:rFonts w:hint="default" w:ascii="Times New Roman" w:hAnsi="Times New Roman" w:eastAsia="Arial" w:cs="Times New Roman"/>
                      <w:snapToGrid w:val="0"/>
                      <w:color w:val="000000"/>
                      <w:kern w:val="0"/>
                      <w:sz w:val="21"/>
                      <w:szCs w:val="21"/>
                      <w:lang w:val="en-US" w:eastAsia="zh-CN"/>
                    </w:rPr>
                    <w:t>0</w:t>
                  </w:r>
                </w:p>
              </w:tc>
              <w:tc>
                <w:tcPr>
                  <w:tcW w:w="2237" w:type="pct"/>
                  <w:shd w:val="clear" w:color="auto" w:fill="auto"/>
                  <w:vAlign w:val="center"/>
                </w:tcPr>
                <w:p w14:paraId="6D509BC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棒条螺旋输送机，碳钢材质，壳体壁厚4mm，棒条采用扁钢</w:t>
                  </w:r>
                  <w:r>
                    <w:rPr>
                      <w:rFonts w:hint="eastAsia" w:eastAsia="Arial" w:cs="Times New Roman"/>
                      <w:snapToGrid w:val="0"/>
                      <w:color w:val="000000"/>
                      <w:kern w:val="0"/>
                      <w:sz w:val="21"/>
                      <w:szCs w:val="21"/>
                      <w:lang w:val="en-US" w:eastAsia="zh-CN"/>
                    </w:rPr>
                    <w:t>制作</w:t>
                  </w:r>
                  <w:r>
                    <w:rPr>
                      <w:rFonts w:hint="default" w:ascii="Times New Roman" w:hAnsi="Times New Roman" w:eastAsia="Arial" w:cs="Times New Roman"/>
                      <w:snapToGrid w:val="0"/>
                      <w:color w:val="000000"/>
                      <w:kern w:val="0"/>
                      <w:sz w:val="21"/>
                      <w:szCs w:val="21"/>
                      <w:lang w:val="en-US" w:eastAsia="zh-CN"/>
                    </w:rPr>
                    <w:t>，配国贸国泰摆线减速机，筛网孔φ1.5mm，精分沙克龙出料使用，转速130转/min</w:t>
                  </w:r>
                </w:p>
              </w:tc>
              <w:tc>
                <w:tcPr>
                  <w:tcW w:w="286" w:type="pct"/>
                  <w:shd w:val="clear" w:color="auto" w:fill="auto"/>
                  <w:vAlign w:val="center"/>
                </w:tcPr>
                <w:p w14:paraId="438CFB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683AC49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122041E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C6D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4E09DC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18</w:t>
                  </w:r>
                </w:p>
              </w:tc>
              <w:tc>
                <w:tcPr>
                  <w:tcW w:w="686" w:type="pct"/>
                  <w:shd w:val="clear" w:color="auto" w:fill="auto"/>
                  <w:vAlign w:val="center"/>
                </w:tcPr>
                <w:p w14:paraId="46DF525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进色选提升机</w:t>
                  </w:r>
                </w:p>
              </w:tc>
              <w:tc>
                <w:tcPr>
                  <w:tcW w:w="595" w:type="pct"/>
                  <w:shd w:val="clear" w:color="auto" w:fill="auto"/>
                  <w:vAlign w:val="center"/>
                </w:tcPr>
                <w:p w14:paraId="6B5C4A7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DT36/23</w:t>
                  </w:r>
                </w:p>
              </w:tc>
              <w:tc>
                <w:tcPr>
                  <w:tcW w:w="2237" w:type="pct"/>
                  <w:shd w:val="clear" w:color="auto" w:fill="auto"/>
                  <w:vAlign w:val="center"/>
                </w:tcPr>
                <w:p w14:paraId="58EED5C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提升带选用8层强力帆布带，畚斗D2314，选用高密度聚乙烯畚斗，不含塑化剂，机尾+标准节高度9.5米</w:t>
                  </w:r>
                </w:p>
              </w:tc>
              <w:tc>
                <w:tcPr>
                  <w:tcW w:w="286" w:type="pct"/>
                  <w:shd w:val="clear" w:color="auto" w:fill="auto"/>
                  <w:vAlign w:val="center"/>
                </w:tcPr>
                <w:p w14:paraId="4A0AAC1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262" w:type="pct"/>
                  <w:shd w:val="clear" w:color="auto" w:fill="auto"/>
                  <w:vAlign w:val="center"/>
                </w:tcPr>
                <w:p w14:paraId="039DAA0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5C4E96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599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24D888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19</w:t>
                  </w:r>
                </w:p>
              </w:tc>
              <w:tc>
                <w:tcPr>
                  <w:tcW w:w="686" w:type="pct"/>
                  <w:shd w:val="clear" w:color="auto" w:fill="auto"/>
                  <w:vAlign w:val="center"/>
                </w:tcPr>
                <w:p w14:paraId="38E43DA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仁绞龙</w:t>
                  </w:r>
                </w:p>
              </w:tc>
              <w:tc>
                <w:tcPr>
                  <w:tcW w:w="595" w:type="pct"/>
                  <w:shd w:val="clear" w:color="auto" w:fill="auto"/>
                  <w:vAlign w:val="center"/>
                </w:tcPr>
                <w:p w14:paraId="37798BA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LSS20</w:t>
                  </w:r>
                </w:p>
              </w:tc>
              <w:tc>
                <w:tcPr>
                  <w:tcW w:w="2237" w:type="pct"/>
                  <w:shd w:val="clear" w:color="auto" w:fill="auto"/>
                  <w:vAlign w:val="center"/>
                </w:tcPr>
                <w:p w14:paraId="4AF96E5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长度8.5米</w:t>
                  </w:r>
                </w:p>
              </w:tc>
              <w:tc>
                <w:tcPr>
                  <w:tcW w:w="286" w:type="pct"/>
                  <w:shd w:val="clear" w:color="auto" w:fill="auto"/>
                  <w:vAlign w:val="center"/>
                </w:tcPr>
                <w:p w14:paraId="7DA280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5944F3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4B5F60D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5807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71570A0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20</w:t>
                  </w:r>
                </w:p>
              </w:tc>
              <w:tc>
                <w:tcPr>
                  <w:tcW w:w="686" w:type="pct"/>
                  <w:shd w:val="clear" w:color="auto" w:fill="auto"/>
                  <w:vAlign w:val="center"/>
                </w:tcPr>
                <w:p w14:paraId="0A48D62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壳绞龙</w:t>
                  </w:r>
                </w:p>
              </w:tc>
              <w:tc>
                <w:tcPr>
                  <w:tcW w:w="595" w:type="pct"/>
                  <w:shd w:val="clear" w:color="auto" w:fill="auto"/>
                  <w:vAlign w:val="center"/>
                </w:tcPr>
                <w:p w14:paraId="5755D6F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LSS20</w:t>
                  </w:r>
                </w:p>
              </w:tc>
              <w:tc>
                <w:tcPr>
                  <w:tcW w:w="2237" w:type="pct"/>
                  <w:shd w:val="clear" w:color="auto" w:fill="auto"/>
                  <w:vAlign w:val="center"/>
                </w:tcPr>
                <w:p w14:paraId="11E1DEA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长度10米</w:t>
                  </w:r>
                </w:p>
              </w:tc>
              <w:tc>
                <w:tcPr>
                  <w:tcW w:w="286" w:type="pct"/>
                  <w:shd w:val="clear" w:color="auto" w:fill="auto"/>
                  <w:vAlign w:val="center"/>
                </w:tcPr>
                <w:p w14:paraId="0791BC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28E0630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58A36A4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614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shd w:val="clear" w:color="auto" w:fill="auto"/>
                  <w:vAlign w:val="center"/>
                </w:tcPr>
                <w:p w14:paraId="335392F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21</w:t>
                  </w:r>
                </w:p>
              </w:tc>
              <w:tc>
                <w:tcPr>
                  <w:tcW w:w="686" w:type="pct"/>
                  <w:shd w:val="clear" w:color="auto" w:fill="auto"/>
                  <w:vAlign w:val="center"/>
                </w:tcPr>
                <w:p w14:paraId="55C29D0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细粉绞龙</w:t>
                  </w:r>
                </w:p>
              </w:tc>
              <w:tc>
                <w:tcPr>
                  <w:tcW w:w="595" w:type="pct"/>
                  <w:shd w:val="clear" w:color="auto" w:fill="auto"/>
                  <w:vAlign w:val="center"/>
                </w:tcPr>
                <w:p w14:paraId="17C5228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LSS20</w:t>
                  </w:r>
                </w:p>
              </w:tc>
              <w:tc>
                <w:tcPr>
                  <w:tcW w:w="2237" w:type="pct"/>
                  <w:shd w:val="clear" w:color="auto" w:fill="auto"/>
                  <w:vAlign w:val="center"/>
                </w:tcPr>
                <w:p w14:paraId="46063085">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长度10米</w:t>
                  </w:r>
                </w:p>
              </w:tc>
              <w:tc>
                <w:tcPr>
                  <w:tcW w:w="286" w:type="pct"/>
                  <w:shd w:val="clear" w:color="auto" w:fill="auto"/>
                  <w:vAlign w:val="center"/>
                </w:tcPr>
                <w:p w14:paraId="38D26F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1DC0DC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581AB4C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5F96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56FE446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22</w:t>
                  </w:r>
                </w:p>
              </w:tc>
              <w:tc>
                <w:tcPr>
                  <w:tcW w:w="686" w:type="pct"/>
                  <w:shd w:val="clear" w:color="auto" w:fill="auto"/>
                  <w:vAlign w:val="center"/>
                </w:tcPr>
                <w:p w14:paraId="26FE03F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循环提升机</w:t>
                  </w:r>
                </w:p>
              </w:tc>
              <w:tc>
                <w:tcPr>
                  <w:tcW w:w="595" w:type="pct"/>
                  <w:shd w:val="clear" w:color="auto" w:fill="auto"/>
                  <w:vAlign w:val="center"/>
                </w:tcPr>
                <w:p w14:paraId="0BF61CE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DT36/23</w:t>
                  </w:r>
                </w:p>
              </w:tc>
              <w:tc>
                <w:tcPr>
                  <w:tcW w:w="2237" w:type="pct"/>
                  <w:shd w:val="clear" w:color="auto" w:fill="auto"/>
                  <w:vAlign w:val="center"/>
                </w:tcPr>
                <w:p w14:paraId="72CFAC9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提升带选用8层强力帆布带，畚斗D2314，选用高密度聚乙烯畚斗，不含塑化剂，机尾+标准节高度9.5米</w:t>
                  </w:r>
                </w:p>
              </w:tc>
              <w:tc>
                <w:tcPr>
                  <w:tcW w:w="286" w:type="pct"/>
                  <w:shd w:val="clear" w:color="auto" w:fill="auto"/>
                  <w:vAlign w:val="center"/>
                </w:tcPr>
                <w:p w14:paraId="1AD7B9F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262" w:type="pct"/>
                  <w:shd w:val="clear" w:color="auto" w:fill="auto"/>
                  <w:vAlign w:val="center"/>
                </w:tcPr>
                <w:p w14:paraId="02F2A2F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1CEF85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D2D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32ADC31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23</w:t>
                  </w:r>
                </w:p>
              </w:tc>
              <w:tc>
                <w:tcPr>
                  <w:tcW w:w="686" w:type="pct"/>
                  <w:shd w:val="clear" w:color="auto" w:fill="auto"/>
                  <w:vAlign w:val="center"/>
                </w:tcPr>
                <w:p w14:paraId="0903282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细粉汇集绞龙</w:t>
                  </w:r>
                </w:p>
              </w:tc>
              <w:tc>
                <w:tcPr>
                  <w:tcW w:w="595" w:type="pct"/>
                  <w:shd w:val="clear" w:color="auto" w:fill="auto"/>
                  <w:vAlign w:val="center"/>
                </w:tcPr>
                <w:p w14:paraId="7A4308B7">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LSS20</w:t>
                  </w:r>
                </w:p>
              </w:tc>
              <w:tc>
                <w:tcPr>
                  <w:tcW w:w="2237" w:type="pct"/>
                  <w:shd w:val="clear" w:color="auto" w:fill="auto"/>
                  <w:vAlign w:val="center"/>
                </w:tcPr>
                <w:p w14:paraId="4642A19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6</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长度4.6米</w:t>
                  </w:r>
                </w:p>
              </w:tc>
              <w:tc>
                <w:tcPr>
                  <w:tcW w:w="286" w:type="pct"/>
                  <w:shd w:val="clear" w:color="auto" w:fill="auto"/>
                  <w:vAlign w:val="center"/>
                </w:tcPr>
                <w:p w14:paraId="7FD457E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0FDE18A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2.2</w:t>
                  </w:r>
                </w:p>
              </w:tc>
              <w:tc>
                <w:tcPr>
                  <w:tcW w:w="574" w:type="pct"/>
                  <w:shd w:val="clear" w:color="auto" w:fill="auto"/>
                  <w:vAlign w:val="center"/>
                </w:tcPr>
                <w:p w14:paraId="44EEA2C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F4F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4EBDB9C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24</w:t>
                  </w:r>
                </w:p>
              </w:tc>
              <w:tc>
                <w:tcPr>
                  <w:tcW w:w="686" w:type="pct"/>
                  <w:shd w:val="clear" w:color="auto" w:fill="auto"/>
                  <w:vAlign w:val="center"/>
                </w:tcPr>
                <w:p w14:paraId="3DBA0A6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细粉提升机</w:t>
                  </w:r>
                </w:p>
              </w:tc>
              <w:tc>
                <w:tcPr>
                  <w:tcW w:w="595" w:type="pct"/>
                  <w:shd w:val="clear" w:color="auto" w:fill="auto"/>
                  <w:vAlign w:val="center"/>
                </w:tcPr>
                <w:p w14:paraId="1FB8160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DT36/23</w:t>
                  </w:r>
                </w:p>
              </w:tc>
              <w:tc>
                <w:tcPr>
                  <w:tcW w:w="2237" w:type="pct"/>
                  <w:shd w:val="clear" w:color="auto" w:fill="auto"/>
                  <w:vAlign w:val="center"/>
                </w:tcPr>
                <w:p w14:paraId="667D8CF5">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提升带选用8层强力帆布带，畚斗D2314，选用高密度聚乙烯畚斗，不含塑化剂，机尾+标准节高度11.7米</w:t>
                  </w:r>
                </w:p>
              </w:tc>
              <w:tc>
                <w:tcPr>
                  <w:tcW w:w="286" w:type="pct"/>
                  <w:shd w:val="clear" w:color="auto" w:fill="auto"/>
                  <w:vAlign w:val="center"/>
                </w:tcPr>
                <w:p w14:paraId="01AF18A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09F053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39394AC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5355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1FFFEF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25</w:t>
                  </w:r>
                </w:p>
              </w:tc>
              <w:tc>
                <w:tcPr>
                  <w:tcW w:w="686" w:type="pct"/>
                  <w:shd w:val="clear" w:color="auto" w:fill="auto"/>
                  <w:vAlign w:val="center"/>
                </w:tcPr>
                <w:p w14:paraId="7F83F7A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进色选输送绞龙</w:t>
                  </w:r>
                </w:p>
              </w:tc>
              <w:tc>
                <w:tcPr>
                  <w:tcW w:w="595" w:type="pct"/>
                  <w:shd w:val="clear" w:color="auto" w:fill="auto"/>
                  <w:vAlign w:val="center"/>
                </w:tcPr>
                <w:p w14:paraId="6E77478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LSS25</w:t>
                  </w:r>
                </w:p>
              </w:tc>
              <w:tc>
                <w:tcPr>
                  <w:tcW w:w="2237" w:type="pct"/>
                  <w:shd w:val="clear" w:color="auto" w:fill="auto"/>
                  <w:vAlign w:val="center"/>
                </w:tcPr>
                <w:p w14:paraId="0A6E3E0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长度5.5米</w:t>
                  </w:r>
                </w:p>
              </w:tc>
              <w:tc>
                <w:tcPr>
                  <w:tcW w:w="286" w:type="pct"/>
                  <w:shd w:val="clear" w:color="auto" w:fill="auto"/>
                  <w:vAlign w:val="center"/>
                </w:tcPr>
                <w:p w14:paraId="5B222ED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262" w:type="pct"/>
                  <w:shd w:val="clear" w:color="auto" w:fill="auto"/>
                  <w:vAlign w:val="center"/>
                </w:tcPr>
                <w:p w14:paraId="7A4ECE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4E9B441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B24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238DD8D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26</w:t>
                  </w:r>
                </w:p>
              </w:tc>
              <w:tc>
                <w:tcPr>
                  <w:tcW w:w="686" w:type="pct"/>
                  <w:shd w:val="clear" w:color="auto" w:fill="auto"/>
                  <w:vAlign w:val="center"/>
                </w:tcPr>
                <w:p w14:paraId="75D4766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色选喂料绞龙</w:t>
                  </w:r>
                </w:p>
              </w:tc>
              <w:tc>
                <w:tcPr>
                  <w:tcW w:w="595" w:type="pct"/>
                  <w:shd w:val="clear" w:color="auto" w:fill="auto"/>
                  <w:vAlign w:val="center"/>
                </w:tcPr>
                <w:p w14:paraId="0A8D035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LSS25</w:t>
                  </w:r>
                </w:p>
              </w:tc>
              <w:tc>
                <w:tcPr>
                  <w:tcW w:w="2237" w:type="pct"/>
                  <w:shd w:val="clear" w:color="auto" w:fill="auto"/>
                  <w:vAlign w:val="center"/>
                </w:tcPr>
                <w:p w14:paraId="431E40C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6</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长度13米，设置正反叶片</w:t>
                  </w:r>
                  <w:r>
                    <w:rPr>
                      <w:rFonts w:hint="eastAsia" w:eastAsia="Arial" w:cs="Times New Roman"/>
                      <w:snapToGrid w:val="0"/>
                      <w:color w:val="000000"/>
                      <w:kern w:val="0"/>
                      <w:sz w:val="21"/>
                      <w:szCs w:val="21"/>
                      <w:lang w:val="en-US" w:eastAsia="zh-CN"/>
                    </w:rPr>
                    <w:t>。</w:t>
                  </w:r>
                </w:p>
              </w:tc>
              <w:tc>
                <w:tcPr>
                  <w:tcW w:w="286" w:type="pct"/>
                  <w:shd w:val="clear" w:color="auto" w:fill="auto"/>
                  <w:vAlign w:val="center"/>
                </w:tcPr>
                <w:p w14:paraId="7CE0526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1DC9164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0185822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611A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67C7B9A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27</w:t>
                  </w:r>
                </w:p>
              </w:tc>
              <w:tc>
                <w:tcPr>
                  <w:tcW w:w="686" w:type="pct"/>
                  <w:shd w:val="clear" w:color="auto" w:fill="auto"/>
                  <w:vAlign w:val="center"/>
                </w:tcPr>
                <w:p w14:paraId="1E17D31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both"/>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rPr>
                    <w:t>压缩空气储罐</w:t>
                  </w:r>
                </w:p>
              </w:tc>
              <w:tc>
                <w:tcPr>
                  <w:tcW w:w="595" w:type="pct"/>
                  <w:shd w:val="clear" w:color="auto" w:fill="auto"/>
                  <w:vAlign w:val="center"/>
                </w:tcPr>
                <w:p w14:paraId="6261F3F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both"/>
                    <w:textAlignment w:val="center"/>
                    <w:rPr>
                      <w:rFonts w:hint="default" w:ascii="Times New Roman" w:hAnsi="Times New Roman" w:eastAsia="宋体" w:cs="Times New Roman"/>
                      <w:i w:val="0"/>
                      <w:iCs w:val="0"/>
                      <w:snapToGrid w:val="0"/>
                      <w:color w:val="000000"/>
                      <w:kern w:val="0"/>
                      <w:sz w:val="21"/>
                      <w:szCs w:val="21"/>
                      <w:u w:val="none"/>
                      <w:lang w:val="en-US" w:eastAsia="zh-CN"/>
                    </w:rPr>
                  </w:pPr>
                  <w:r>
                    <w:rPr>
                      <w:rFonts w:hint="default" w:ascii="Times New Roman" w:hAnsi="Times New Roman" w:eastAsia="宋体" w:cs="Times New Roman"/>
                      <w:i w:val="0"/>
                      <w:iCs w:val="0"/>
                      <w:snapToGrid w:val="0"/>
                      <w:color w:val="000000"/>
                      <w:kern w:val="2"/>
                      <w:sz w:val="21"/>
                      <w:szCs w:val="21"/>
                      <w:u w:val="none"/>
                      <w:lang w:val="en-US" w:eastAsia="zh-CN" w:bidi="ar-SA"/>
                    </w:rPr>
                    <w:t>φ1200×1500</w:t>
                  </w:r>
                </w:p>
              </w:tc>
              <w:tc>
                <w:tcPr>
                  <w:tcW w:w="2237" w:type="pct"/>
                  <w:shd w:val="clear" w:color="auto" w:fill="auto"/>
                  <w:vAlign w:val="center"/>
                </w:tcPr>
                <w:p w14:paraId="79EE26B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both"/>
                    <w:textAlignment w:val="center"/>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i w:val="0"/>
                      <w:iCs w:val="0"/>
                      <w:snapToGrid w:val="0"/>
                      <w:color w:val="000000"/>
                      <w:kern w:val="2"/>
                      <w:sz w:val="21"/>
                      <w:szCs w:val="21"/>
                      <w:u w:val="none"/>
                      <w:lang w:val="en-US" w:eastAsia="zh-CN" w:bidi="ar-SA"/>
                    </w:rPr>
                    <w:t>I类压力容器，下上封头，设计压力1.0Mpa，全容积2立方，带压力容器资料</w:t>
                  </w:r>
                  <w:r>
                    <w:rPr>
                      <w:rFonts w:hint="eastAsia" w:cs="Times New Roman"/>
                      <w:i w:val="0"/>
                      <w:iCs w:val="0"/>
                      <w:snapToGrid w:val="0"/>
                      <w:color w:val="000000"/>
                      <w:kern w:val="2"/>
                      <w:sz w:val="21"/>
                      <w:szCs w:val="21"/>
                      <w:u w:val="none"/>
                      <w:lang w:val="en-US" w:eastAsia="zh-CN" w:bidi="ar-SA"/>
                    </w:rPr>
                    <w:t>。</w:t>
                  </w:r>
                </w:p>
              </w:tc>
              <w:tc>
                <w:tcPr>
                  <w:tcW w:w="286" w:type="pct"/>
                  <w:shd w:val="clear" w:color="auto" w:fill="auto"/>
                  <w:vAlign w:val="center"/>
                </w:tcPr>
                <w:p w14:paraId="1A7AA11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000000"/>
                      <w:kern w:val="2"/>
                      <w:sz w:val="21"/>
                      <w:szCs w:val="21"/>
                      <w:lang w:val="en-US" w:eastAsia="zh-CN" w:bidi="ar-SA"/>
                    </w:rPr>
                  </w:pPr>
                  <w:r>
                    <w:rPr>
                      <w:rFonts w:hint="default" w:ascii="Times New Roman" w:hAnsi="Times New Roman" w:eastAsia="宋体" w:cs="Times New Roman"/>
                      <w:b w:val="0"/>
                      <w:bCs w:val="0"/>
                      <w:snapToGrid w:val="0"/>
                      <w:color w:val="000000"/>
                      <w:kern w:val="2"/>
                      <w:sz w:val="21"/>
                      <w:szCs w:val="21"/>
                      <w:lang w:val="en-US" w:eastAsia="zh-CN" w:bidi="ar-SA"/>
                    </w:rPr>
                    <w:t>2</w:t>
                  </w:r>
                </w:p>
              </w:tc>
              <w:tc>
                <w:tcPr>
                  <w:tcW w:w="262" w:type="pct"/>
                  <w:shd w:val="clear" w:color="auto" w:fill="auto"/>
                  <w:vAlign w:val="center"/>
                </w:tcPr>
                <w:p w14:paraId="0C8426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0</w:t>
                  </w:r>
                </w:p>
              </w:tc>
              <w:tc>
                <w:tcPr>
                  <w:tcW w:w="574" w:type="pct"/>
                  <w:shd w:val="clear" w:color="auto" w:fill="auto"/>
                  <w:vAlign w:val="center"/>
                </w:tcPr>
                <w:p w14:paraId="74D8D87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Arial" w:cs="Times New Roman"/>
                      <w:snapToGrid w:val="0"/>
                      <w:color w:val="000000"/>
                      <w:kern w:val="0"/>
                      <w:sz w:val="21"/>
                      <w:szCs w:val="21"/>
                      <w:lang w:eastAsia="en-US"/>
                    </w:rPr>
                  </w:pPr>
                </w:p>
              </w:tc>
            </w:tr>
            <w:tr w14:paraId="781D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shd w:val="clear" w:color="auto" w:fill="auto"/>
                  <w:vAlign w:val="center"/>
                </w:tcPr>
                <w:p w14:paraId="16680A3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28</w:t>
                  </w:r>
                </w:p>
              </w:tc>
              <w:tc>
                <w:tcPr>
                  <w:tcW w:w="686" w:type="pct"/>
                  <w:shd w:val="clear" w:color="auto" w:fill="auto"/>
                  <w:vAlign w:val="center"/>
                </w:tcPr>
                <w:p w14:paraId="416DEDF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色选出仁绞龙</w:t>
                  </w:r>
                </w:p>
              </w:tc>
              <w:tc>
                <w:tcPr>
                  <w:tcW w:w="595" w:type="pct"/>
                  <w:shd w:val="clear" w:color="auto" w:fill="auto"/>
                  <w:vAlign w:val="center"/>
                </w:tcPr>
                <w:p w14:paraId="39921E7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LSS25</w:t>
                  </w:r>
                </w:p>
              </w:tc>
              <w:tc>
                <w:tcPr>
                  <w:tcW w:w="2237" w:type="pct"/>
                  <w:shd w:val="clear" w:color="auto" w:fill="auto"/>
                  <w:vAlign w:val="center"/>
                </w:tcPr>
                <w:p w14:paraId="43E844F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长度11米</w:t>
                  </w:r>
                </w:p>
              </w:tc>
              <w:tc>
                <w:tcPr>
                  <w:tcW w:w="286" w:type="pct"/>
                  <w:shd w:val="clear" w:color="auto" w:fill="auto"/>
                  <w:vAlign w:val="center"/>
                </w:tcPr>
                <w:p w14:paraId="1D0CFCE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1E79492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3622D7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40C3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7BF39A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29</w:t>
                  </w:r>
                </w:p>
              </w:tc>
              <w:tc>
                <w:tcPr>
                  <w:tcW w:w="686" w:type="pct"/>
                  <w:shd w:val="clear" w:color="auto" w:fill="auto"/>
                  <w:vAlign w:val="center"/>
                </w:tcPr>
                <w:p w14:paraId="75F2AC6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色选出杂绞龙</w:t>
                  </w:r>
                </w:p>
              </w:tc>
              <w:tc>
                <w:tcPr>
                  <w:tcW w:w="595" w:type="pct"/>
                  <w:shd w:val="clear" w:color="auto" w:fill="auto"/>
                  <w:vAlign w:val="center"/>
                </w:tcPr>
                <w:p w14:paraId="0E6DFD89">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LSS20</w:t>
                  </w:r>
                </w:p>
              </w:tc>
              <w:tc>
                <w:tcPr>
                  <w:tcW w:w="2237" w:type="pct"/>
                  <w:shd w:val="clear" w:color="auto" w:fill="auto"/>
                  <w:vAlign w:val="center"/>
                </w:tcPr>
                <w:p w14:paraId="3E1051F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长度11米</w:t>
                  </w:r>
                  <w:r>
                    <w:rPr>
                      <w:rFonts w:hint="eastAsia" w:eastAsia="Arial" w:cs="Times New Roman"/>
                      <w:snapToGrid w:val="0"/>
                      <w:color w:val="000000"/>
                      <w:kern w:val="0"/>
                      <w:sz w:val="21"/>
                      <w:szCs w:val="21"/>
                      <w:lang w:val="en-US" w:eastAsia="zh-CN"/>
                    </w:rPr>
                    <w:t>。</w:t>
                  </w:r>
                </w:p>
              </w:tc>
              <w:tc>
                <w:tcPr>
                  <w:tcW w:w="286" w:type="pct"/>
                  <w:shd w:val="clear" w:color="auto" w:fill="auto"/>
                  <w:vAlign w:val="center"/>
                </w:tcPr>
                <w:p w14:paraId="317BC9B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29C9358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636A48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E8F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3E1F287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30</w:t>
                  </w:r>
                </w:p>
              </w:tc>
              <w:tc>
                <w:tcPr>
                  <w:tcW w:w="686" w:type="pct"/>
                  <w:shd w:val="clear" w:color="auto" w:fill="auto"/>
                  <w:vAlign w:val="center"/>
                </w:tcPr>
                <w:p w14:paraId="1D93284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色选除尘绞龙</w:t>
                  </w:r>
                </w:p>
              </w:tc>
              <w:tc>
                <w:tcPr>
                  <w:tcW w:w="595" w:type="pct"/>
                  <w:shd w:val="clear" w:color="auto" w:fill="auto"/>
                  <w:vAlign w:val="center"/>
                </w:tcPr>
                <w:p w14:paraId="58389DA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LSS20</w:t>
                  </w:r>
                </w:p>
              </w:tc>
              <w:tc>
                <w:tcPr>
                  <w:tcW w:w="2237" w:type="pct"/>
                  <w:shd w:val="clear" w:color="auto" w:fill="auto"/>
                  <w:vAlign w:val="center"/>
                </w:tcPr>
                <w:p w14:paraId="155D416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长度9米</w:t>
                  </w:r>
                  <w:r>
                    <w:rPr>
                      <w:rFonts w:hint="eastAsia" w:eastAsia="Arial" w:cs="Times New Roman"/>
                      <w:snapToGrid w:val="0"/>
                      <w:color w:val="000000"/>
                      <w:kern w:val="0"/>
                      <w:sz w:val="21"/>
                      <w:szCs w:val="21"/>
                      <w:lang w:val="en-US" w:eastAsia="zh-CN"/>
                    </w:rPr>
                    <w:t>。</w:t>
                  </w:r>
                </w:p>
              </w:tc>
              <w:tc>
                <w:tcPr>
                  <w:tcW w:w="286" w:type="pct"/>
                  <w:shd w:val="clear" w:color="auto" w:fill="auto"/>
                  <w:vAlign w:val="center"/>
                </w:tcPr>
                <w:p w14:paraId="74CC9B8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7CFD4B6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2.2</w:t>
                  </w:r>
                </w:p>
              </w:tc>
              <w:tc>
                <w:tcPr>
                  <w:tcW w:w="574" w:type="pct"/>
                  <w:shd w:val="clear" w:color="auto" w:fill="auto"/>
                  <w:vAlign w:val="center"/>
                </w:tcPr>
                <w:p w14:paraId="600BF95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1E0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57" w:type="pct"/>
                  <w:shd w:val="clear" w:color="auto" w:fill="auto"/>
                  <w:vAlign w:val="center"/>
                </w:tcPr>
                <w:p w14:paraId="7AE9097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31</w:t>
                  </w:r>
                </w:p>
              </w:tc>
              <w:tc>
                <w:tcPr>
                  <w:tcW w:w="686" w:type="pct"/>
                  <w:shd w:val="clear" w:color="auto" w:fill="auto"/>
                  <w:vAlign w:val="center"/>
                </w:tcPr>
                <w:p w14:paraId="33074AE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总仁汇集绞龙</w:t>
                  </w:r>
                </w:p>
              </w:tc>
              <w:tc>
                <w:tcPr>
                  <w:tcW w:w="595" w:type="pct"/>
                  <w:shd w:val="clear" w:color="auto" w:fill="auto"/>
                  <w:vAlign w:val="center"/>
                </w:tcPr>
                <w:p w14:paraId="680E8BD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LSS32</w:t>
                  </w:r>
                </w:p>
              </w:tc>
              <w:tc>
                <w:tcPr>
                  <w:tcW w:w="2237" w:type="pct"/>
                  <w:shd w:val="clear" w:color="auto" w:fill="auto"/>
                  <w:vAlign w:val="center"/>
                </w:tcPr>
                <w:p w14:paraId="0DFF48A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长度9米</w:t>
                  </w:r>
                  <w:r>
                    <w:rPr>
                      <w:rFonts w:hint="eastAsia"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设置正反叶片</w:t>
                  </w:r>
                </w:p>
              </w:tc>
              <w:tc>
                <w:tcPr>
                  <w:tcW w:w="286" w:type="pct"/>
                  <w:shd w:val="clear" w:color="auto" w:fill="auto"/>
                  <w:vAlign w:val="center"/>
                </w:tcPr>
                <w:p w14:paraId="466DC0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4F310E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74" w:type="pct"/>
                  <w:shd w:val="clear" w:color="auto" w:fill="auto"/>
                  <w:vAlign w:val="center"/>
                </w:tcPr>
                <w:p w14:paraId="3B5350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520D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24BAE4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32</w:t>
                  </w:r>
                </w:p>
              </w:tc>
              <w:tc>
                <w:tcPr>
                  <w:tcW w:w="686" w:type="pct"/>
                  <w:shd w:val="clear" w:color="auto" w:fill="auto"/>
                  <w:vAlign w:val="center"/>
                </w:tcPr>
                <w:p w14:paraId="039341E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杂汇集绞龙</w:t>
                  </w:r>
                </w:p>
              </w:tc>
              <w:tc>
                <w:tcPr>
                  <w:tcW w:w="595" w:type="pct"/>
                  <w:shd w:val="clear" w:color="auto" w:fill="auto"/>
                  <w:vAlign w:val="center"/>
                </w:tcPr>
                <w:p w14:paraId="73D1E9B7">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LSS20</w:t>
                  </w:r>
                </w:p>
              </w:tc>
              <w:tc>
                <w:tcPr>
                  <w:tcW w:w="2237" w:type="pct"/>
                  <w:shd w:val="clear" w:color="auto" w:fill="auto"/>
                  <w:vAlign w:val="center"/>
                </w:tcPr>
                <w:p w14:paraId="13B38D0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mm、壳体4mm、芯轴无缝管Φ</w:t>
                  </w:r>
                  <w:r>
                    <w:rPr>
                      <w:rFonts w:hint="default" w:ascii="Times New Roman" w:hAnsi="Times New Roman" w:eastAsia="Arial" w:cs="Times New Roman"/>
                      <w:snapToGrid w:val="0"/>
                      <w:color w:val="000000"/>
                      <w:kern w:val="0"/>
                      <w:sz w:val="21"/>
                      <w:szCs w:val="21"/>
                      <w:lang w:val="en-US" w:eastAsia="zh-CN"/>
                    </w:rPr>
                    <w:t>60</w:t>
                  </w:r>
                  <w:r>
                    <w:rPr>
                      <w:rFonts w:hint="default" w:ascii="Times New Roman" w:hAnsi="Times New Roman" w:eastAsia="Arial" w:cs="Times New Roman"/>
                      <w:snapToGrid w:val="0"/>
                      <w:color w:val="000000"/>
                      <w:kern w:val="0"/>
                      <w:sz w:val="21"/>
                      <w:szCs w:val="21"/>
                      <w:lang w:eastAsia="en-US"/>
                    </w:rPr>
                    <w:t>×4，硬齿面减速机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长度9.5米</w:t>
                  </w:r>
                </w:p>
              </w:tc>
              <w:tc>
                <w:tcPr>
                  <w:tcW w:w="286" w:type="pct"/>
                  <w:shd w:val="clear" w:color="auto" w:fill="auto"/>
                  <w:vAlign w:val="center"/>
                </w:tcPr>
                <w:p w14:paraId="5C2F88C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77F3F8D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7E6DFA5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92B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 w:type="pct"/>
                  <w:shd w:val="clear" w:color="auto" w:fill="auto"/>
                  <w:vAlign w:val="center"/>
                </w:tcPr>
                <w:p w14:paraId="433CF1F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33</w:t>
                  </w:r>
                </w:p>
              </w:tc>
              <w:tc>
                <w:tcPr>
                  <w:tcW w:w="686" w:type="pct"/>
                  <w:shd w:val="clear" w:color="auto" w:fill="auto"/>
                  <w:vAlign w:val="center"/>
                </w:tcPr>
                <w:p w14:paraId="082CA29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双轴加水绞龙</w:t>
                  </w:r>
                </w:p>
              </w:tc>
              <w:tc>
                <w:tcPr>
                  <w:tcW w:w="595" w:type="pct"/>
                  <w:shd w:val="clear" w:color="auto" w:fill="auto"/>
                  <w:vAlign w:val="center"/>
                </w:tcPr>
                <w:p w14:paraId="0D21BAC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LSS20</w:t>
                  </w:r>
                </w:p>
              </w:tc>
              <w:tc>
                <w:tcPr>
                  <w:tcW w:w="2237" w:type="pct"/>
                  <w:shd w:val="clear" w:color="auto" w:fill="auto"/>
                  <w:vAlign w:val="center"/>
                </w:tcPr>
                <w:p w14:paraId="28303E3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桨叶式双轴加水绞龙，转速100r/min，长度5米</w:t>
                  </w:r>
                </w:p>
              </w:tc>
              <w:tc>
                <w:tcPr>
                  <w:tcW w:w="286" w:type="pct"/>
                  <w:shd w:val="clear" w:color="auto" w:fill="auto"/>
                  <w:vAlign w:val="center"/>
                </w:tcPr>
                <w:p w14:paraId="523A444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79F0359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144A418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166B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trPr>
              <w:tc>
                <w:tcPr>
                  <w:tcW w:w="357" w:type="pct"/>
                  <w:shd w:val="clear" w:color="auto" w:fill="auto"/>
                  <w:vAlign w:val="center"/>
                </w:tcPr>
                <w:p w14:paraId="59BAC62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34</w:t>
                  </w:r>
                </w:p>
              </w:tc>
              <w:tc>
                <w:tcPr>
                  <w:tcW w:w="686" w:type="pct"/>
                  <w:shd w:val="clear" w:color="auto" w:fill="auto"/>
                  <w:vAlign w:val="center"/>
                </w:tcPr>
                <w:p w14:paraId="3E76335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平板烘干机</w:t>
                  </w:r>
                </w:p>
              </w:tc>
              <w:tc>
                <w:tcPr>
                  <w:tcW w:w="595" w:type="pct"/>
                  <w:shd w:val="clear" w:color="auto" w:fill="auto"/>
                  <w:vAlign w:val="center"/>
                </w:tcPr>
                <w:p w14:paraId="1C23539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CHGP200.3</w:t>
                  </w:r>
                </w:p>
              </w:tc>
              <w:tc>
                <w:tcPr>
                  <w:tcW w:w="2237" w:type="pct"/>
                  <w:shd w:val="clear" w:color="auto" w:fill="auto"/>
                  <w:vAlign w:val="center"/>
                </w:tcPr>
                <w:p w14:paraId="0367423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加热面积200平方，进出料口为异向出料，最上层为回链条单板，加热层11层，冷风层1层，底部设备回料绞龙，绞龙规格LSS20，绞龙密封段2D。</w:t>
                  </w:r>
                  <w:r>
                    <w:rPr>
                      <w:rFonts w:hint="eastAsia" w:eastAsia="Arial" w:cs="Times New Roman"/>
                      <w:snapToGrid w:val="0"/>
                      <w:color w:val="000000"/>
                      <w:kern w:val="0"/>
                      <w:sz w:val="21"/>
                      <w:szCs w:val="21"/>
                      <w:lang w:val="en-US" w:eastAsia="zh-CN"/>
                    </w:rPr>
                    <w:t>“双减”</w:t>
                  </w:r>
                  <w:r>
                    <w:rPr>
                      <w:rFonts w:hint="default" w:ascii="Times New Roman" w:hAnsi="Times New Roman" w:eastAsia="Arial" w:cs="Times New Roman"/>
                      <w:snapToGrid w:val="0"/>
                      <w:color w:val="000000"/>
                      <w:kern w:val="0"/>
                      <w:sz w:val="21"/>
                      <w:szCs w:val="21"/>
                      <w:lang w:val="en-US" w:eastAsia="zh-CN"/>
                    </w:rPr>
                    <w:t>速减传动</w:t>
                  </w:r>
                </w:p>
              </w:tc>
              <w:tc>
                <w:tcPr>
                  <w:tcW w:w="286" w:type="pct"/>
                  <w:shd w:val="clear" w:color="auto" w:fill="auto"/>
                  <w:vAlign w:val="center"/>
                </w:tcPr>
                <w:p w14:paraId="62001F2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2EA5B9F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5.5×2</w:t>
                  </w:r>
                </w:p>
              </w:tc>
              <w:tc>
                <w:tcPr>
                  <w:tcW w:w="574" w:type="pct"/>
                  <w:shd w:val="clear" w:color="auto" w:fill="auto"/>
                  <w:vAlign w:val="center"/>
                </w:tcPr>
                <w:p w14:paraId="6FF056C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净重48吨，链条260米，配两台减速机</w:t>
                  </w:r>
                </w:p>
              </w:tc>
            </w:tr>
            <w:tr w14:paraId="2DA1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5ACC0E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35</w:t>
                  </w:r>
                </w:p>
              </w:tc>
              <w:tc>
                <w:tcPr>
                  <w:tcW w:w="686" w:type="pct"/>
                  <w:shd w:val="clear" w:color="auto" w:fill="auto"/>
                  <w:vAlign w:val="center"/>
                </w:tcPr>
                <w:p w14:paraId="33A1253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平板进料绞龙</w:t>
                  </w:r>
                </w:p>
              </w:tc>
              <w:tc>
                <w:tcPr>
                  <w:tcW w:w="595" w:type="pct"/>
                  <w:shd w:val="clear" w:color="auto" w:fill="auto"/>
                  <w:vAlign w:val="center"/>
                </w:tcPr>
                <w:p w14:paraId="488E285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LSS32</w:t>
                  </w:r>
                </w:p>
              </w:tc>
              <w:tc>
                <w:tcPr>
                  <w:tcW w:w="2237" w:type="pct"/>
                  <w:shd w:val="clear" w:color="auto" w:fill="auto"/>
                  <w:vAlign w:val="center"/>
                </w:tcPr>
                <w:p w14:paraId="7E0C66E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材质SS304不锈钢，长度4米</w:t>
                  </w:r>
                </w:p>
              </w:tc>
              <w:tc>
                <w:tcPr>
                  <w:tcW w:w="286" w:type="pct"/>
                  <w:shd w:val="clear" w:color="auto" w:fill="auto"/>
                  <w:vAlign w:val="center"/>
                </w:tcPr>
                <w:p w14:paraId="523ED4C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38DA8C1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74" w:type="pct"/>
                  <w:shd w:val="clear" w:color="auto" w:fill="auto"/>
                  <w:vAlign w:val="center"/>
                </w:tcPr>
                <w:p w14:paraId="5DC242C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1197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23B4916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36</w:t>
                  </w:r>
                </w:p>
              </w:tc>
              <w:tc>
                <w:tcPr>
                  <w:tcW w:w="686" w:type="pct"/>
                  <w:shd w:val="clear" w:color="auto" w:fill="auto"/>
                  <w:vAlign w:val="center"/>
                </w:tcPr>
                <w:p w14:paraId="7B53D160">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改造进料埋刮板</w:t>
                  </w:r>
                </w:p>
              </w:tc>
              <w:tc>
                <w:tcPr>
                  <w:tcW w:w="595" w:type="pct"/>
                  <w:shd w:val="clear" w:color="auto" w:fill="auto"/>
                  <w:vAlign w:val="center"/>
                </w:tcPr>
                <w:p w14:paraId="29531C1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MS32</w:t>
                  </w:r>
                </w:p>
              </w:tc>
              <w:tc>
                <w:tcPr>
                  <w:tcW w:w="2237" w:type="pct"/>
                  <w:shd w:val="clear" w:color="auto" w:fill="auto"/>
                  <w:vAlign w:val="center"/>
                </w:tcPr>
                <w:p w14:paraId="310A3DE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现场改造，弯曲段力邦制作（测量准确尺寸出图），减速机使用原有</w:t>
                  </w:r>
                </w:p>
              </w:tc>
              <w:tc>
                <w:tcPr>
                  <w:tcW w:w="286" w:type="pct"/>
                  <w:shd w:val="clear" w:color="auto" w:fill="auto"/>
                  <w:vAlign w:val="center"/>
                </w:tcPr>
                <w:p w14:paraId="276AAB6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4477A7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5.5</w:t>
                  </w:r>
                </w:p>
              </w:tc>
              <w:tc>
                <w:tcPr>
                  <w:tcW w:w="574" w:type="pct"/>
                  <w:shd w:val="clear" w:color="auto" w:fill="auto"/>
                  <w:vAlign w:val="center"/>
                </w:tcPr>
                <w:p w14:paraId="35238F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弯曲段</w:t>
                  </w:r>
                </w:p>
              </w:tc>
            </w:tr>
            <w:tr w14:paraId="53DE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shd w:val="clear" w:color="auto" w:fill="auto"/>
                  <w:vAlign w:val="center"/>
                </w:tcPr>
                <w:p w14:paraId="40E0DFC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37</w:t>
                  </w:r>
                </w:p>
              </w:tc>
              <w:tc>
                <w:tcPr>
                  <w:tcW w:w="686" w:type="pct"/>
                  <w:shd w:val="clear" w:color="auto" w:fill="auto"/>
                  <w:vAlign w:val="center"/>
                </w:tcPr>
                <w:p w14:paraId="3CBF053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改造出料埋刮板</w:t>
                  </w:r>
                </w:p>
              </w:tc>
              <w:tc>
                <w:tcPr>
                  <w:tcW w:w="595" w:type="pct"/>
                  <w:shd w:val="clear" w:color="auto" w:fill="auto"/>
                  <w:vAlign w:val="center"/>
                </w:tcPr>
                <w:p w14:paraId="06ACD59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MS32</w:t>
                  </w:r>
                </w:p>
              </w:tc>
              <w:tc>
                <w:tcPr>
                  <w:tcW w:w="2237" w:type="pct"/>
                  <w:shd w:val="clear" w:color="auto" w:fill="auto"/>
                  <w:vAlign w:val="center"/>
                </w:tcPr>
                <w:p w14:paraId="2E2B17F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现场改造，弯曲段力邦制作（测量准确尺寸出图），减速机使用原有</w:t>
                  </w:r>
                </w:p>
              </w:tc>
              <w:tc>
                <w:tcPr>
                  <w:tcW w:w="286" w:type="pct"/>
                  <w:shd w:val="clear" w:color="auto" w:fill="auto"/>
                  <w:vAlign w:val="center"/>
                </w:tcPr>
                <w:p w14:paraId="47A0418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262" w:type="pct"/>
                  <w:shd w:val="clear" w:color="auto" w:fill="auto"/>
                  <w:vAlign w:val="center"/>
                </w:tcPr>
                <w:p w14:paraId="10C37E6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5.5</w:t>
                  </w:r>
                </w:p>
              </w:tc>
              <w:tc>
                <w:tcPr>
                  <w:tcW w:w="574" w:type="pct"/>
                  <w:shd w:val="clear" w:color="auto" w:fill="auto"/>
                  <w:vAlign w:val="center"/>
                </w:tcPr>
                <w:p w14:paraId="0911A38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弯曲段</w:t>
                  </w:r>
                </w:p>
              </w:tc>
            </w:tr>
            <w:tr w14:paraId="160D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57" w:type="pct"/>
                  <w:shd w:val="clear" w:color="auto" w:fill="auto"/>
                  <w:vAlign w:val="center"/>
                </w:tcPr>
                <w:p w14:paraId="331373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38</w:t>
                  </w:r>
                </w:p>
              </w:tc>
              <w:tc>
                <w:tcPr>
                  <w:tcW w:w="686" w:type="pct"/>
                  <w:shd w:val="clear" w:color="auto" w:fill="auto"/>
                  <w:vAlign w:val="center"/>
                </w:tcPr>
                <w:p w14:paraId="6FC7B0C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冷凝汽回收罐</w:t>
                  </w:r>
                </w:p>
              </w:tc>
              <w:tc>
                <w:tcPr>
                  <w:tcW w:w="595" w:type="pct"/>
                  <w:shd w:val="clear" w:color="auto" w:fill="auto"/>
                  <w:vAlign w:val="center"/>
                </w:tcPr>
                <w:p w14:paraId="6FE0BA4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LNG120</w:t>
                  </w:r>
                </w:p>
              </w:tc>
              <w:tc>
                <w:tcPr>
                  <w:tcW w:w="2237" w:type="pct"/>
                  <w:shd w:val="clear" w:color="auto" w:fill="auto"/>
                  <w:vAlign w:val="center"/>
                </w:tcPr>
                <w:p w14:paraId="5B96152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壳体不锈钢6mm，含水封管</w:t>
                  </w:r>
                </w:p>
              </w:tc>
              <w:tc>
                <w:tcPr>
                  <w:tcW w:w="286" w:type="pct"/>
                  <w:shd w:val="clear" w:color="auto" w:fill="auto"/>
                  <w:vAlign w:val="center"/>
                </w:tcPr>
                <w:p w14:paraId="2569444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2</w:t>
                  </w:r>
                </w:p>
              </w:tc>
              <w:tc>
                <w:tcPr>
                  <w:tcW w:w="262" w:type="pct"/>
                  <w:shd w:val="clear" w:color="auto" w:fill="auto"/>
                  <w:vAlign w:val="center"/>
                </w:tcPr>
                <w:p w14:paraId="609A692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0</w:t>
                  </w:r>
                </w:p>
              </w:tc>
              <w:tc>
                <w:tcPr>
                  <w:tcW w:w="574" w:type="pct"/>
                  <w:shd w:val="clear" w:color="auto" w:fill="auto"/>
                  <w:vAlign w:val="center"/>
                </w:tcPr>
                <w:p w14:paraId="0A788D1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52D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57" w:type="pct"/>
                  <w:shd w:val="clear" w:color="auto" w:fill="auto"/>
                  <w:vAlign w:val="center"/>
                </w:tcPr>
                <w:p w14:paraId="41AE2E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39</w:t>
                  </w:r>
                </w:p>
              </w:tc>
              <w:tc>
                <w:tcPr>
                  <w:tcW w:w="686" w:type="pct"/>
                  <w:shd w:val="clear" w:color="auto" w:fill="auto"/>
                  <w:vAlign w:val="center"/>
                </w:tcPr>
                <w:p w14:paraId="6C62540D">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捕集水塔</w:t>
                  </w:r>
                </w:p>
              </w:tc>
              <w:tc>
                <w:tcPr>
                  <w:tcW w:w="595" w:type="pct"/>
                  <w:shd w:val="clear" w:color="auto" w:fill="auto"/>
                  <w:vAlign w:val="center"/>
                </w:tcPr>
                <w:p w14:paraId="25F0C57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SBJ30</w:t>
                  </w:r>
                </w:p>
              </w:tc>
              <w:tc>
                <w:tcPr>
                  <w:tcW w:w="2237" w:type="pct"/>
                  <w:shd w:val="clear" w:color="auto" w:fill="auto"/>
                  <w:vAlign w:val="center"/>
                </w:tcPr>
                <w:p w14:paraId="7044958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碳钢壳体，不锈钢填料</w:t>
                  </w:r>
                </w:p>
              </w:tc>
              <w:tc>
                <w:tcPr>
                  <w:tcW w:w="286" w:type="pct"/>
                  <w:shd w:val="clear" w:color="auto" w:fill="auto"/>
                  <w:vAlign w:val="center"/>
                </w:tcPr>
                <w:p w14:paraId="11ABC4A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1</w:t>
                  </w:r>
                </w:p>
              </w:tc>
              <w:tc>
                <w:tcPr>
                  <w:tcW w:w="262" w:type="pct"/>
                  <w:shd w:val="clear" w:color="auto" w:fill="auto"/>
                  <w:vAlign w:val="center"/>
                </w:tcPr>
                <w:p w14:paraId="4A98FC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0</w:t>
                  </w:r>
                </w:p>
              </w:tc>
              <w:tc>
                <w:tcPr>
                  <w:tcW w:w="574" w:type="pct"/>
                  <w:shd w:val="clear" w:color="auto" w:fill="auto"/>
                  <w:vAlign w:val="center"/>
                </w:tcPr>
                <w:p w14:paraId="4818807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bl>
          <w:p w14:paraId="62772BF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b/>
                <w:snapToGrid w:val="0"/>
                <w:color w:val="000000"/>
                <w:kern w:val="0"/>
                <w:sz w:val="21"/>
                <w:szCs w:val="21"/>
                <w:u w:val="none"/>
                <w:lang w:val="en-US" w:eastAsia="zh-CN"/>
              </w:rPr>
            </w:pPr>
            <w:r>
              <w:rPr>
                <w:rFonts w:hint="eastAsia" w:ascii="黑体" w:hAnsi="黑体" w:eastAsia="黑体" w:cs="黑体"/>
                <w:b w:val="0"/>
                <w:bCs/>
                <w:snapToGrid w:val="0"/>
                <w:color w:val="000000"/>
                <w:kern w:val="0"/>
                <w:sz w:val="21"/>
                <w:szCs w:val="21"/>
                <w:u w:val="none"/>
                <w:lang w:val="en-US" w:eastAsia="zh-CN"/>
              </w:rPr>
              <w:t>表2-3   浸出车间自制</w:t>
            </w:r>
            <w:r>
              <w:rPr>
                <w:rFonts w:hint="eastAsia" w:ascii="黑体" w:hAnsi="黑体" w:eastAsia="黑体" w:cs="黑体"/>
                <w:b w:val="0"/>
                <w:bCs/>
                <w:snapToGrid w:val="0"/>
                <w:color w:val="000000"/>
                <w:kern w:val="0"/>
                <w:sz w:val="21"/>
                <w:szCs w:val="21"/>
                <w:u w:val="none"/>
                <w:lang w:eastAsia="en-US"/>
              </w:rPr>
              <w:t>设备清单</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3"/>
              <w:gridCol w:w="932"/>
              <w:gridCol w:w="669"/>
              <w:gridCol w:w="3228"/>
              <w:gridCol w:w="463"/>
              <w:gridCol w:w="556"/>
              <w:gridCol w:w="619"/>
              <w:gridCol w:w="634"/>
            </w:tblGrid>
            <w:tr w14:paraId="64BC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blHeader/>
              </w:trPr>
              <w:tc>
                <w:tcPr>
                  <w:tcW w:w="281" w:type="pct"/>
                  <w:shd w:val="clear" w:color="auto" w:fill="auto"/>
                  <w:vAlign w:val="center"/>
                </w:tcPr>
                <w:p w14:paraId="7DB081E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序号</w:t>
                  </w:r>
                </w:p>
              </w:tc>
              <w:tc>
                <w:tcPr>
                  <w:tcW w:w="619" w:type="pct"/>
                  <w:shd w:val="clear" w:color="auto" w:fill="auto"/>
                  <w:vAlign w:val="center"/>
                </w:tcPr>
                <w:p w14:paraId="04ACDA5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设备名称</w:t>
                  </w:r>
                </w:p>
              </w:tc>
              <w:tc>
                <w:tcPr>
                  <w:tcW w:w="444" w:type="pct"/>
                  <w:shd w:val="clear" w:color="auto" w:fill="auto"/>
                  <w:vAlign w:val="center"/>
                </w:tcPr>
                <w:p w14:paraId="2B4178C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规格型号</w:t>
                  </w:r>
                </w:p>
              </w:tc>
              <w:tc>
                <w:tcPr>
                  <w:tcW w:w="2145" w:type="pct"/>
                  <w:shd w:val="clear" w:color="auto" w:fill="auto"/>
                  <w:vAlign w:val="center"/>
                </w:tcPr>
                <w:p w14:paraId="02D331D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性能描述</w:t>
                  </w:r>
                </w:p>
              </w:tc>
              <w:tc>
                <w:tcPr>
                  <w:tcW w:w="307" w:type="pct"/>
                  <w:shd w:val="clear" w:color="auto" w:fill="auto"/>
                  <w:vAlign w:val="center"/>
                </w:tcPr>
                <w:p w14:paraId="18E4F8C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数量</w:t>
                  </w:r>
                </w:p>
              </w:tc>
              <w:tc>
                <w:tcPr>
                  <w:tcW w:w="369" w:type="pct"/>
                  <w:shd w:val="clear" w:color="auto" w:fill="auto"/>
                  <w:vAlign w:val="center"/>
                </w:tcPr>
                <w:p w14:paraId="5012D8A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动力</w:t>
                  </w:r>
                </w:p>
                <w:p w14:paraId="7FE432C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kW</w:t>
                  </w:r>
                </w:p>
              </w:tc>
              <w:tc>
                <w:tcPr>
                  <w:tcW w:w="411" w:type="pct"/>
                  <w:shd w:val="clear" w:color="auto" w:fill="auto"/>
                  <w:vAlign w:val="center"/>
                </w:tcPr>
                <w:p w14:paraId="133AF72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价格</w:t>
                  </w:r>
                </w:p>
                <w:p w14:paraId="780CD46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万元</w:t>
                  </w:r>
                </w:p>
              </w:tc>
              <w:tc>
                <w:tcPr>
                  <w:tcW w:w="421" w:type="pct"/>
                  <w:shd w:val="clear" w:color="auto" w:fill="auto"/>
                  <w:vAlign w:val="center"/>
                </w:tcPr>
                <w:p w14:paraId="5579583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备注</w:t>
                  </w:r>
                </w:p>
              </w:tc>
            </w:tr>
            <w:tr w14:paraId="46AC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81" w:type="pct"/>
                  <w:shd w:val="clear" w:color="auto" w:fill="auto"/>
                  <w:vAlign w:val="center"/>
                </w:tcPr>
                <w:p w14:paraId="3AD55609">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w:t>
                  </w:r>
                </w:p>
              </w:tc>
              <w:tc>
                <w:tcPr>
                  <w:tcW w:w="619" w:type="pct"/>
                  <w:shd w:val="clear" w:color="auto" w:fill="auto"/>
                  <w:vAlign w:val="center"/>
                </w:tcPr>
                <w:p w14:paraId="60AF877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浸出器喂料刮板改造</w:t>
                  </w:r>
                </w:p>
              </w:tc>
              <w:tc>
                <w:tcPr>
                  <w:tcW w:w="444" w:type="pct"/>
                  <w:shd w:val="clear" w:color="auto" w:fill="auto"/>
                  <w:vAlign w:val="center"/>
                </w:tcPr>
                <w:p w14:paraId="3C7C203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MC</w:t>
                  </w:r>
                  <w:r>
                    <w:rPr>
                      <w:rFonts w:hint="default" w:ascii="Times New Roman" w:hAnsi="Times New Roman" w:eastAsia="Arial" w:cs="Times New Roman"/>
                      <w:snapToGrid w:val="0"/>
                      <w:color w:val="000000"/>
                      <w:kern w:val="0"/>
                      <w:sz w:val="21"/>
                      <w:szCs w:val="21"/>
                      <w:lang w:val="en-US" w:eastAsia="zh-CN"/>
                    </w:rPr>
                    <w:t>32</w:t>
                  </w:r>
                </w:p>
              </w:tc>
              <w:tc>
                <w:tcPr>
                  <w:tcW w:w="2145" w:type="pct"/>
                  <w:shd w:val="clear" w:color="auto" w:fill="auto"/>
                  <w:vAlign w:val="center"/>
                </w:tcPr>
                <w:p w14:paraId="32B65F6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利用现有刮板改造，力邦制作弯曲段，（测量准确尺寸出图），减速机使用原有</w:t>
                  </w:r>
                </w:p>
              </w:tc>
              <w:tc>
                <w:tcPr>
                  <w:tcW w:w="307" w:type="pct"/>
                  <w:shd w:val="clear" w:color="auto" w:fill="auto"/>
                  <w:vAlign w:val="center"/>
                </w:tcPr>
                <w:p w14:paraId="7860403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1</w:t>
                  </w:r>
                </w:p>
              </w:tc>
              <w:tc>
                <w:tcPr>
                  <w:tcW w:w="369" w:type="pct"/>
                  <w:shd w:val="clear" w:color="auto" w:fill="auto"/>
                  <w:vAlign w:val="center"/>
                </w:tcPr>
                <w:p w14:paraId="36B6DC5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c>
                <w:tcPr>
                  <w:tcW w:w="411" w:type="pct"/>
                  <w:shd w:val="clear" w:color="auto" w:fill="auto"/>
                  <w:vAlign w:val="center"/>
                </w:tcPr>
                <w:p w14:paraId="7659F91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0.6</w:t>
                  </w:r>
                </w:p>
              </w:tc>
              <w:tc>
                <w:tcPr>
                  <w:tcW w:w="421" w:type="pct"/>
                  <w:shd w:val="clear" w:color="auto" w:fill="auto"/>
                  <w:vAlign w:val="center"/>
                </w:tcPr>
                <w:p w14:paraId="12F7520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弯曲段</w:t>
                  </w:r>
                </w:p>
              </w:tc>
            </w:tr>
            <w:tr w14:paraId="3FDF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788002FC">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w:t>
                  </w:r>
                </w:p>
              </w:tc>
              <w:tc>
                <w:tcPr>
                  <w:tcW w:w="619" w:type="pct"/>
                  <w:shd w:val="clear" w:color="auto" w:fill="auto"/>
                  <w:vAlign w:val="center"/>
                </w:tcPr>
                <w:p w14:paraId="361CA78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浸出器</w:t>
                  </w:r>
                  <w:r>
                    <w:rPr>
                      <w:rFonts w:hint="default" w:ascii="Times New Roman" w:hAnsi="Times New Roman" w:eastAsia="Arial" w:cs="Times New Roman"/>
                      <w:snapToGrid w:val="0"/>
                      <w:color w:val="000000"/>
                      <w:kern w:val="0"/>
                      <w:sz w:val="21"/>
                      <w:szCs w:val="21"/>
                      <w:lang w:val="en-US" w:eastAsia="zh-CN"/>
                    </w:rPr>
                    <w:t>改造</w:t>
                  </w:r>
                </w:p>
              </w:tc>
              <w:tc>
                <w:tcPr>
                  <w:tcW w:w="444" w:type="pct"/>
                  <w:shd w:val="clear" w:color="auto" w:fill="auto"/>
                  <w:vAlign w:val="center"/>
                </w:tcPr>
                <w:p w14:paraId="4ADD858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YJCX</w:t>
                  </w:r>
                  <w:r>
                    <w:rPr>
                      <w:rFonts w:hint="default" w:ascii="Times New Roman" w:hAnsi="Times New Roman" w:eastAsia="Arial" w:cs="Times New Roman"/>
                      <w:snapToGrid w:val="0"/>
                      <w:color w:val="000000"/>
                      <w:kern w:val="0"/>
                      <w:sz w:val="21"/>
                      <w:szCs w:val="21"/>
                      <w:lang w:val="en-US" w:eastAsia="zh-CN"/>
                    </w:rPr>
                    <w:t>180</w:t>
                  </w:r>
                </w:p>
              </w:tc>
              <w:tc>
                <w:tcPr>
                  <w:tcW w:w="2145" w:type="pct"/>
                  <w:shd w:val="clear" w:color="auto" w:fill="auto"/>
                  <w:vAlign w:val="center"/>
                </w:tcPr>
                <w:p w14:paraId="5027FB6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浸出器改造力邦制作：浸出器壳体加长5米，筛板增加10米，链条增加20米，带半节链条2节，根据现有链条</w:t>
                  </w:r>
                  <w:r>
                    <w:rPr>
                      <w:rFonts w:hint="eastAsia" w:eastAsia="Arial" w:cs="Times New Roman"/>
                      <w:snapToGrid w:val="0"/>
                      <w:color w:val="000000"/>
                      <w:kern w:val="0"/>
                      <w:sz w:val="21"/>
                      <w:szCs w:val="21"/>
                      <w:lang w:val="en-US" w:eastAsia="zh-CN"/>
                    </w:rPr>
                    <w:t>配置</w:t>
                  </w:r>
                  <w:r>
                    <w:rPr>
                      <w:rFonts w:hint="default" w:ascii="Times New Roman" w:hAnsi="Times New Roman" w:eastAsia="Arial" w:cs="Times New Roman"/>
                      <w:snapToGrid w:val="0"/>
                      <w:color w:val="000000"/>
                      <w:kern w:val="0"/>
                      <w:sz w:val="21"/>
                      <w:szCs w:val="21"/>
                      <w:lang w:val="en-US" w:eastAsia="zh-CN"/>
                    </w:rPr>
                    <w:t>，刮板增加16个，外调节式喷淋槽30套（219手孔46套），喷淋管增加8个，制作料耙4套，调节料层闸门1套，传动轴4支，改填料轴承座方式，张紧改现用双张紧结构，增加支腿2套。5米壳体及包含件整体力邦制作，其他配件力邦制作好，现场改造。（设备拆开，现场测量尺寸，出图制作）</w:t>
                  </w:r>
                </w:p>
              </w:tc>
              <w:tc>
                <w:tcPr>
                  <w:tcW w:w="307" w:type="pct"/>
                  <w:shd w:val="clear" w:color="auto" w:fill="auto"/>
                  <w:vAlign w:val="center"/>
                </w:tcPr>
                <w:p w14:paraId="1D1C669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1</w:t>
                  </w:r>
                </w:p>
              </w:tc>
              <w:tc>
                <w:tcPr>
                  <w:tcW w:w="369" w:type="pct"/>
                  <w:shd w:val="clear" w:color="auto" w:fill="auto"/>
                  <w:vAlign w:val="center"/>
                </w:tcPr>
                <w:p w14:paraId="0489FA2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c>
                <w:tcPr>
                  <w:tcW w:w="411" w:type="pct"/>
                  <w:shd w:val="clear" w:color="auto" w:fill="auto"/>
                  <w:vAlign w:val="center"/>
                </w:tcPr>
                <w:p w14:paraId="4FBD9C3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25.0</w:t>
                  </w:r>
                </w:p>
              </w:tc>
              <w:tc>
                <w:tcPr>
                  <w:tcW w:w="421" w:type="pct"/>
                  <w:shd w:val="clear" w:color="auto" w:fill="auto"/>
                  <w:vAlign w:val="center"/>
                </w:tcPr>
                <w:p w14:paraId="177C2B7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预估，没细算</w:t>
                  </w:r>
                </w:p>
              </w:tc>
            </w:tr>
            <w:tr w14:paraId="2B4B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095E3E62">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w:t>
                  </w:r>
                </w:p>
              </w:tc>
              <w:tc>
                <w:tcPr>
                  <w:tcW w:w="619" w:type="pct"/>
                  <w:shd w:val="clear" w:color="auto" w:fill="auto"/>
                  <w:vAlign w:val="center"/>
                </w:tcPr>
                <w:p w14:paraId="0B02A65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1#湿粕刮板</w:t>
                  </w:r>
                </w:p>
              </w:tc>
              <w:tc>
                <w:tcPr>
                  <w:tcW w:w="444" w:type="pct"/>
                  <w:shd w:val="clear" w:color="auto" w:fill="auto"/>
                  <w:vAlign w:val="center"/>
                </w:tcPr>
                <w:p w14:paraId="6039336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MCF</w:t>
                  </w:r>
                  <w:r>
                    <w:rPr>
                      <w:rFonts w:hint="default" w:ascii="Times New Roman" w:hAnsi="Times New Roman" w:eastAsia="Arial" w:cs="Times New Roman"/>
                      <w:snapToGrid w:val="0"/>
                      <w:color w:val="000000"/>
                      <w:kern w:val="0"/>
                      <w:sz w:val="21"/>
                      <w:szCs w:val="21"/>
                      <w:lang w:val="en-US" w:eastAsia="zh-CN"/>
                    </w:rPr>
                    <w:t>40</w:t>
                  </w:r>
                </w:p>
              </w:tc>
              <w:tc>
                <w:tcPr>
                  <w:tcW w:w="2145" w:type="pct"/>
                  <w:shd w:val="clear" w:color="auto" w:fill="auto"/>
                  <w:vAlign w:val="center"/>
                </w:tcPr>
                <w:p w14:paraId="3C6DC7C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气密型埋刮板，材质Q235，输送介质：连接法兰及盖板12mm，重载弯板链，耐磨高分子板，线速度0.2m/s-0.25m/s，硬齿面减速机，气体防爆电机</w:t>
                  </w:r>
                </w:p>
              </w:tc>
              <w:tc>
                <w:tcPr>
                  <w:tcW w:w="307" w:type="pct"/>
                  <w:shd w:val="clear" w:color="auto" w:fill="auto"/>
                  <w:vAlign w:val="center"/>
                </w:tcPr>
                <w:p w14:paraId="4FF53DB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1</w:t>
                  </w:r>
                </w:p>
              </w:tc>
              <w:tc>
                <w:tcPr>
                  <w:tcW w:w="369" w:type="pct"/>
                  <w:shd w:val="clear" w:color="auto" w:fill="auto"/>
                  <w:vAlign w:val="center"/>
                </w:tcPr>
                <w:p w14:paraId="1C07860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11</w:t>
                  </w:r>
                </w:p>
              </w:tc>
              <w:tc>
                <w:tcPr>
                  <w:tcW w:w="411" w:type="pct"/>
                  <w:shd w:val="clear" w:color="auto" w:fill="auto"/>
                  <w:vAlign w:val="center"/>
                </w:tcPr>
                <w:p w14:paraId="23C0D56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7.5</w:t>
                  </w:r>
                </w:p>
              </w:tc>
              <w:tc>
                <w:tcPr>
                  <w:tcW w:w="421" w:type="pct"/>
                  <w:shd w:val="clear" w:color="auto" w:fill="auto"/>
                  <w:vAlign w:val="center"/>
                </w:tcPr>
                <w:p w14:paraId="58B968F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p>
              </w:tc>
            </w:tr>
            <w:tr w14:paraId="3BDA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72EECC7D">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4</w:t>
                  </w:r>
                </w:p>
              </w:tc>
              <w:tc>
                <w:tcPr>
                  <w:tcW w:w="619" w:type="pct"/>
                  <w:shd w:val="clear" w:color="auto" w:fill="auto"/>
                  <w:vAlign w:val="center"/>
                </w:tcPr>
                <w:p w14:paraId="2737AA6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旋液分离器</w:t>
                  </w:r>
                </w:p>
              </w:tc>
              <w:tc>
                <w:tcPr>
                  <w:tcW w:w="444" w:type="pct"/>
                  <w:shd w:val="clear" w:color="auto" w:fill="auto"/>
                  <w:vAlign w:val="center"/>
                </w:tcPr>
                <w:p w14:paraId="252ED72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YXF20</w:t>
                  </w:r>
                </w:p>
              </w:tc>
              <w:tc>
                <w:tcPr>
                  <w:tcW w:w="2145" w:type="pct"/>
                  <w:shd w:val="clear" w:color="auto" w:fill="auto"/>
                  <w:vAlign w:val="center"/>
                </w:tcPr>
                <w:p w14:paraId="79E1377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旋流式分离器；</w:t>
                  </w:r>
                  <w:r>
                    <w:rPr>
                      <w:rFonts w:hint="default" w:ascii="Times New Roman" w:hAnsi="Times New Roman" w:eastAsia="Arial" w:cs="Times New Roman"/>
                      <w:snapToGrid w:val="0"/>
                      <w:color w:val="000000"/>
                      <w:kern w:val="0"/>
                      <w:sz w:val="21"/>
                      <w:szCs w:val="21"/>
                      <w:lang w:val="en-US" w:eastAsia="zh-CN"/>
                    </w:rPr>
                    <w:t>不锈钢</w:t>
                  </w:r>
                  <w:r>
                    <w:rPr>
                      <w:rFonts w:hint="default" w:ascii="Times New Roman" w:hAnsi="Times New Roman" w:eastAsia="Arial" w:cs="Times New Roman"/>
                      <w:snapToGrid w:val="0"/>
                      <w:color w:val="000000"/>
                      <w:kern w:val="0"/>
                      <w:sz w:val="21"/>
                      <w:szCs w:val="21"/>
                      <w:lang w:eastAsia="en-US"/>
                    </w:rPr>
                    <w:t>厚度4mm</w:t>
                  </w:r>
                </w:p>
              </w:tc>
              <w:tc>
                <w:tcPr>
                  <w:tcW w:w="307" w:type="pct"/>
                  <w:shd w:val="clear" w:color="auto" w:fill="auto"/>
                  <w:vAlign w:val="center"/>
                </w:tcPr>
                <w:p w14:paraId="708DE13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369" w:type="pct"/>
                  <w:shd w:val="clear" w:color="auto" w:fill="auto"/>
                  <w:vAlign w:val="center"/>
                </w:tcPr>
                <w:p w14:paraId="5A55F89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6168BC6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0.3</w:t>
                  </w:r>
                </w:p>
              </w:tc>
              <w:tc>
                <w:tcPr>
                  <w:tcW w:w="421" w:type="pct"/>
                  <w:shd w:val="clear" w:color="auto" w:fill="auto"/>
                  <w:vAlign w:val="center"/>
                </w:tcPr>
                <w:p w14:paraId="45F3264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E52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4B5B2F42">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5</w:t>
                  </w:r>
                </w:p>
              </w:tc>
              <w:tc>
                <w:tcPr>
                  <w:tcW w:w="619" w:type="pct"/>
                  <w:shd w:val="clear" w:color="auto" w:fill="auto"/>
                  <w:vAlign w:val="center"/>
                </w:tcPr>
                <w:p w14:paraId="54014BE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旋液分离器</w:t>
                  </w:r>
                </w:p>
              </w:tc>
              <w:tc>
                <w:tcPr>
                  <w:tcW w:w="444" w:type="pct"/>
                  <w:shd w:val="clear" w:color="auto" w:fill="auto"/>
                  <w:vAlign w:val="center"/>
                </w:tcPr>
                <w:p w14:paraId="48A6659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YXF30</w:t>
                  </w:r>
                </w:p>
              </w:tc>
              <w:tc>
                <w:tcPr>
                  <w:tcW w:w="2145" w:type="pct"/>
                  <w:shd w:val="clear" w:color="auto" w:fill="auto"/>
                  <w:vAlign w:val="center"/>
                </w:tcPr>
                <w:p w14:paraId="16BCC27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旋流式分离器；</w:t>
                  </w:r>
                  <w:r>
                    <w:rPr>
                      <w:rFonts w:hint="default" w:ascii="Times New Roman" w:hAnsi="Times New Roman" w:eastAsia="Arial" w:cs="Times New Roman"/>
                      <w:snapToGrid w:val="0"/>
                      <w:color w:val="000000"/>
                      <w:kern w:val="0"/>
                      <w:sz w:val="21"/>
                      <w:szCs w:val="21"/>
                      <w:lang w:val="en-US" w:eastAsia="zh-CN"/>
                    </w:rPr>
                    <w:t>不锈钢</w:t>
                  </w:r>
                  <w:r>
                    <w:rPr>
                      <w:rFonts w:hint="default" w:ascii="Times New Roman" w:hAnsi="Times New Roman" w:eastAsia="Arial" w:cs="Times New Roman"/>
                      <w:snapToGrid w:val="0"/>
                      <w:color w:val="000000"/>
                      <w:kern w:val="0"/>
                      <w:sz w:val="21"/>
                      <w:szCs w:val="21"/>
                      <w:lang w:eastAsia="en-US"/>
                    </w:rPr>
                    <w:t>厚度4mm</w:t>
                  </w:r>
                </w:p>
              </w:tc>
              <w:tc>
                <w:tcPr>
                  <w:tcW w:w="307" w:type="pct"/>
                  <w:shd w:val="clear" w:color="auto" w:fill="auto"/>
                  <w:vAlign w:val="center"/>
                </w:tcPr>
                <w:p w14:paraId="5BA073D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369" w:type="pct"/>
                  <w:shd w:val="clear" w:color="auto" w:fill="auto"/>
                  <w:vAlign w:val="center"/>
                </w:tcPr>
                <w:p w14:paraId="1BF8784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5C71ABE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0.4</w:t>
                  </w:r>
                </w:p>
              </w:tc>
              <w:tc>
                <w:tcPr>
                  <w:tcW w:w="421" w:type="pct"/>
                  <w:shd w:val="clear" w:color="auto" w:fill="auto"/>
                  <w:vAlign w:val="center"/>
                </w:tcPr>
                <w:p w14:paraId="21B0D1F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9C6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68708120">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6</w:t>
                  </w:r>
                </w:p>
              </w:tc>
              <w:tc>
                <w:tcPr>
                  <w:tcW w:w="619" w:type="pct"/>
                  <w:shd w:val="clear" w:color="auto" w:fill="auto"/>
                  <w:vAlign w:val="center"/>
                </w:tcPr>
                <w:p w14:paraId="5856A57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脱酚脱糖器</w:t>
                  </w:r>
                </w:p>
              </w:tc>
              <w:tc>
                <w:tcPr>
                  <w:tcW w:w="444" w:type="pct"/>
                  <w:shd w:val="clear" w:color="auto" w:fill="auto"/>
                  <w:vAlign w:val="center"/>
                </w:tcPr>
                <w:p w14:paraId="00EC11B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Φ2200×4500</w:t>
                  </w:r>
                </w:p>
              </w:tc>
              <w:tc>
                <w:tcPr>
                  <w:tcW w:w="2145" w:type="pct"/>
                  <w:shd w:val="clear" w:color="auto" w:fill="auto"/>
                  <w:vAlign w:val="center"/>
                </w:tcPr>
                <w:p w14:paraId="410ED1F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密闭式设备，六层结构，上传动结构，材质Q235，板厚8mm，框式搅刀结构，层高600mm，框式搅刀8等分，高度H=260.硬齿面减速机，气体防爆电机，每分钟0.2转，变频控制</w:t>
                  </w:r>
                </w:p>
              </w:tc>
              <w:tc>
                <w:tcPr>
                  <w:tcW w:w="307" w:type="pct"/>
                  <w:shd w:val="clear" w:color="auto" w:fill="auto"/>
                  <w:vAlign w:val="center"/>
                </w:tcPr>
                <w:p w14:paraId="2357C42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3A5A714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11</w:t>
                  </w:r>
                </w:p>
              </w:tc>
              <w:tc>
                <w:tcPr>
                  <w:tcW w:w="411" w:type="pct"/>
                  <w:shd w:val="clear" w:color="auto" w:fill="auto"/>
                  <w:vAlign w:val="center"/>
                </w:tcPr>
                <w:p w14:paraId="6CA269E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11.5</w:t>
                  </w:r>
                </w:p>
              </w:tc>
              <w:tc>
                <w:tcPr>
                  <w:tcW w:w="421" w:type="pct"/>
                  <w:shd w:val="clear" w:color="auto" w:fill="auto"/>
                  <w:vAlign w:val="center"/>
                </w:tcPr>
                <w:p w14:paraId="229E8C3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C32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2291D345">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7</w:t>
                  </w:r>
                </w:p>
              </w:tc>
              <w:tc>
                <w:tcPr>
                  <w:tcW w:w="619" w:type="pct"/>
                  <w:shd w:val="clear" w:color="auto" w:fill="auto"/>
                  <w:vAlign w:val="center"/>
                </w:tcPr>
                <w:p w14:paraId="667A70F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2</w:t>
                  </w:r>
                  <w:r>
                    <w:rPr>
                      <w:rFonts w:hint="default" w:ascii="Times New Roman" w:hAnsi="Times New Roman" w:eastAsia="Arial" w:cs="Times New Roman"/>
                      <w:snapToGrid w:val="0"/>
                      <w:color w:val="000000"/>
                      <w:kern w:val="0"/>
                      <w:sz w:val="21"/>
                      <w:szCs w:val="21"/>
                      <w:lang w:eastAsia="en-US"/>
                    </w:rPr>
                    <w:t>#湿粕刮板</w:t>
                  </w:r>
                </w:p>
              </w:tc>
              <w:tc>
                <w:tcPr>
                  <w:tcW w:w="444" w:type="pct"/>
                  <w:shd w:val="clear" w:color="auto" w:fill="auto"/>
                  <w:vAlign w:val="center"/>
                </w:tcPr>
                <w:p w14:paraId="7AE84F4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MCF</w:t>
                  </w:r>
                  <w:r>
                    <w:rPr>
                      <w:rFonts w:hint="default" w:ascii="Times New Roman" w:hAnsi="Times New Roman" w:eastAsia="Arial" w:cs="Times New Roman"/>
                      <w:snapToGrid w:val="0"/>
                      <w:color w:val="000000"/>
                      <w:kern w:val="0"/>
                      <w:sz w:val="21"/>
                      <w:szCs w:val="21"/>
                      <w:lang w:val="en-US" w:eastAsia="zh-CN"/>
                    </w:rPr>
                    <w:t>40</w:t>
                  </w:r>
                </w:p>
              </w:tc>
              <w:tc>
                <w:tcPr>
                  <w:tcW w:w="2145" w:type="pct"/>
                  <w:shd w:val="clear" w:color="auto" w:fill="auto"/>
                  <w:vAlign w:val="center"/>
                </w:tcPr>
                <w:p w14:paraId="296D464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气密型埋刮板，材质Q235，输送介质：棉籽胚片，连接法兰及盖板12mm，重载弯板链，耐磨高分子板，线速度0.2m/s-0.25m/s，硬齿面减速机，气体防爆电机</w:t>
                  </w:r>
                </w:p>
              </w:tc>
              <w:tc>
                <w:tcPr>
                  <w:tcW w:w="307" w:type="pct"/>
                  <w:shd w:val="clear" w:color="auto" w:fill="auto"/>
                  <w:vAlign w:val="center"/>
                </w:tcPr>
                <w:p w14:paraId="4A9E2B7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1</w:t>
                  </w:r>
                </w:p>
              </w:tc>
              <w:tc>
                <w:tcPr>
                  <w:tcW w:w="369" w:type="pct"/>
                  <w:shd w:val="clear" w:color="auto" w:fill="auto"/>
                  <w:vAlign w:val="center"/>
                </w:tcPr>
                <w:p w14:paraId="79D9C1E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11</w:t>
                  </w:r>
                </w:p>
              </w:tc>
              <w:tc>
                <w:tcPr>
                  <w:tcW w:w="411" w:type="pct"/>
                  <w:shd w:val="clear" w:color="auto" w:fill="auto"/>
                  <w:vAlign w:val="center"/>
                </w:tcPr>
                <w:p w14:paraId="569389F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bidi="ar-SA"/>
                    </w:rPr>
                    <w:t>7.5</w:t>
                  </w:r>
                </w:p>
              </w:tc>
              <w:tc>
                <w:tcPr>
                  <w:tcW w:w="421" w:type="pct"/>
                  <w:shd w:val="clear" w:color="auto" w:fill="auto"/>
                  <w:vAlign w:val="center"/>
                </w:tcPr>
                <w:p w14:paraId="05027BD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BEE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7BC6DA82">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8</w:t>
                  </w:r>
                </w:p>
              </w:tc>
              <w:tc>
                <w:tcPr>
                  <w:tcW w:w="619" w:type="pct"/>
                  <w:shd w:val="clear" w:color="auto" w:fill="auto"/>
                  <w:vAlign w:val="center"/>
                </w:tcPr>
                <w:p w14:paraId="5C68173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挤压机喂料绞龙</w:t>
                  </w:r>
                </w:p>
              </w:tc>
              <w:tc>
                <w:tcPr>
                  <w:tcW w:w="444" w:type="pct"/>
                  <w:shd w:val="clear" w:color="auto" w:fill="auto"/>
                  <w:vAlign w:val="center"/>
                </w:tcPr>
                <w:p w14:paraId="3F80AD3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2"/>
                      <w:sz w:val="21"/>
                      <w:szCs w:val="21"/>
                      <w:lang w:val="en-US" w:eastAsia="zh-CN" w:bidi="ar-SA"/>
                    </w:rPr>
                    <w:t>FLSS25.0</w:t>
                  </w:r>
                </w:p>
              </w:tc>
              <w:tc>
                <w:tcPr>
                  <w:tcW w:w="2145" w:type="pct"/>
                  <w:shd w:val="clear" w:color="auto" w:fill="auto"/>
                  <w:vAlign w:val="center"/>
                </w:tcPr>
                <w:p w14:paraId="4D0AEDF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气密型输送绞龙，传动轴采用厚壁无缝管，传动液压马达传动，法兰连接，易拆装检修，液压站气体防爆，防爆等级Exd ⅡB T4，防护等级IP55，包含液压马达链轮及传动链条</w:t>
                  </w:r>
                </w:p>
              </w:tc>
              <w:tc>
                <w:tcPr>
                  <w:tcW w:w="307" w:type="pct"/>
                  <w:shd w:val="clear" w:color="auto" w:fill="auto"/>
                  <w:vAlign w:val="center"/>
                </w:tcPr>
                <w:p w14:paraId="7679567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369" w:type="pct"/>
                  <w:shd w:val="clear" w:color="auto" w:fill="auto"/>
                  <w:vAlign w:val="center"/>
                </w:tcPr>
                <w:p w14:paraId="486E4C2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298D949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3.0</w:t>
                  </w:r>
                </w:p>
              </w:tc>
              <w:tc>
                <w:tcPr>
                  <w:tcW w:w="421" w:type="pct"/>
                  <w:shd w:val="clear" w:color="auto" w:fill="auto"/>
                  <w:vAlign w:val="center"/>
                </w:tcPr>
                <w:p w14:paraId="4B42B08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277F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48474220">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9</w:t>
                  </w:r>
                </w:p>
              </w:tc>
              <w:tc>
                <w:tcPr>
                  <w:tcW w:w="619" w:type="pct"/>
                  <w:shd w:val="clear" w:color="auto" w:fill="auto"/>
                  <w:vAlign w:val="center"/>
                </w:tcPr>
                <w:p w14:paraId="382FCFB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3</w:t>
                  </w:r>
                  <w:r>
                    <w:rPr>
                      <w:rFonts w:hint="default" w:ascii="Times New Roman" w:hAnsi="Times New Roman" w:eastAsia="Arial" w:cs="Times New Roman"/>
                      <w:snapToGrid w:val="0"/>
                      <w:color w:val="000000"/>
                      <w:kern w:val="0"/>
                      <w:sz w:val="21"/>
                      <w:szCs w:val="21"/>
                      <w:lang w:eastAsia="en-US"/>
                    </w:rPr>
                    <w:t>#湿粕刮板</w:t>
                  </w:r>
                </w:p>
              </w:tc>
              <w:tc>
                <w:tcPr>
                  <w:tcW w:w="444" w:type="pct"/>
                  <w:shd w:val="clear" w:color="auto" w:fill="auto"/>
                  <w:vAlign w:val="center"/>
                </w:tcPr>
                <w:p w14:paraId="6F80D09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MCF</w:t>
                  </w:r>
                  <w:r>
                    <w:rPr>
                      <w:rFonts w:hint="default" w:ascii="Times New Roman" w:hAnsi="Times New Roman" w:eastAsia="Arial" w:cs="Times New Roman"/>
                      <w:snapToGrid w:val="0"/>
                      <w:color w:val="000000"/>
                      <w:kern w:val="0"/>
                      <w:sz w:val="21"/>
                      <w:szCs w:val="21"/>
                      <w:lang w:val="en-US" w:eastAsia="zh-CN"/>
                    </w:rPr>
                    <w:t>32</w:t>
                  </w:r>
                </w:p>
              </w:tc>
              <w:tc>
                <w:tcPr>
                  <w:tcW w:w="2145" w:type="pct"/>
                  <w:shd w:val="clear" w:color="auto" w:fill="auto"/>
                  <w:vAlign w:val="center"/>
                </w:tcPr>
                <w:p w14:paraId="1D1F3F9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气密型埋刮板，材质Q235，输送介质：棉籽胚片，连接法兰及盖板12mm，重载弯板链，耐磨高分子板，线速度0.34m/s，硬齿面减速机，气体防爆电机</w:t>
                  </w:r>
                </w:p>
              </w:tc>
              <w:tc>
                <w:tcPr>
                  <w:tcW w:w="307" w:type="pct"/>
                  <w:shd w:val="clear" w:color="auto" w:fill="auto"/>
                  <w:vAlign w:val="center"/>
                </w:tcPr>
                <w:p w14:paraId="46712A7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1</w:t>
                  </w:r>
                </w:p>
              </w:tc>
              <w:tc>
                <w:tcPr>
                  <w:tcW w:w="369" w:type="pct"/>
                  <w:shd w:val="clear" w:color="auto" w:fill="auto"/>
                  <w:vAlign w:val="center"/>
                </w:tcPr>
                <w:p w14:paraId="29DAD46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11</w:t>
                  </w:r>
                </w:p>
              </w:tc>
              <w:tc>
                <w:tcPr>
                  <w:tcW w:w="411" w:type="pct"/>
                  <w:shd w:val="clear" w:color="auto" w:fill="auto"/>
                  <w:vAlign w:val="center"/>
                </w:tcPr>
                <w:p w14:paraId="6AC4495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bidi="ar-SA"/>
                    </w:rPr>
                    <w:t>7.5</w:t>
                  </w:r>
                </w:p>
              </w:tc>
              <w:tc>
                <w:tcPr>
                  <w:tcW w:w="421" w:type="pct"/>
                  <w:shd w:val="clear" w:color="auto" w:fill="auto"/>
                  <w:vAlign w:val="center"/>
                </w:tcPr>
                <w:p w14:paraId="65E01A0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0E7F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7F320250">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10</w:t>
                  </w:r>
                </w:p>
              </w:tc>
              <w:tc>
                <w:tcPr>
                  <w:tcW w:w="619" w:type="pct"/>
                  <w:shd w:val="clear" w:color="auto" w:fill="auto"/>
                  <w:vAlign w:val="center"/>
                </w:tcPr>
                <w:p w14:paraId="2ECBE2B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烘干机喂料绞龙</w:t>
                  </w:r>
                </w:p>
              </w:tc>
              <w:tc>
                <w:tcPr>
                  <w:tcW w:w="444" w:type="pct"/>
                  <w:shd w:val="clear" w:color="auto" w:fill="auto"/>
                  <w:vAlign w:val="center"/>
                </w:tcPr>
                <w:p w14:paraId="2041699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LSSF30.0</w:t>
                  </w:r>
                </w:p>
              </w:tc>
              <w:tc>
                <w:tcPr>
                  <w:tcW w:w="2145" w:type="pct"/>
                  <w:shd w:val="clear" w:color="auto" w:fill="auto"/>
                  <w:vAlign w:val="center"/>
                </w:tcPr>
                <w:p w14:paraId="7406A68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气密型输送绞龙，绞龙材质SS304，配硬齿面减速机，气体防爆电机，绞龙长度3米，出料端1.5D密封段</w:t>
                  </w:r>
                </w:p>
              </w:tc>
              <w:tc>
                <w:tcPr>
                  <w:tcW w:w="307" w:type="pct"/>
                  <w:shd w:val="clear" w:color="auto" w:fill="auto"/>
                  <w:vAlign w:val="center"/>
                </w:tcPr>
                <w:p w14:paraId="1ECE620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45D398A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411" w:type="pct"/>
                  <w:shd w:val="clear" w:color="auto" w:fill="auto"/>
                  <w:vAlign w:val="center"/>
                </w:tcPr>
                <w:p w14:paraId="67F0F01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bidi="ar-SA"/>
                    </w:rPr>
                    <w:t>2.8</w:t>
                  </w:r>
                </w:p>
              </w:tc>
              <w:tc>
                <w:tcPr>
                  <w:tcW w:w="421" w:type="pct"/>
                  <w:shd w:val="clear" w:color="auto" w:fill="auto"/>
                  <w:vAlign w:val="center"/>
                </w:tcPr>
                <w:p w14:paraId="21192DB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7328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2" w:hRule="atLeast"/>
              </w:trPr>
              <w:tc>
                <w:tcPr>
                  <w:tcW w:w="281" w:type="pct"/>
                  <w:shd w:val="clear" w:color="auto" w:fill="auto"/>
                  <w:vAlign w:val="center"/>
                </w:tcPr>
                <w:p w14:paraId="435542FB">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11</w:t>
                  </w:r>
                </w:p>
              </w:tc>
              <w:tc>
                <w:tcPr>
                  <w:tcW w:w="619" w:type="pct"/>
                  <w:shd w:val="clear" w:color="auto" w:fill="auto"/>
                  <w:vAlign w:val="center"/>
                </w:tcPr>
                <w:p w14:paraId="4A1B862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1#盘式烘干机</w:t>
                  </w:r>
                </w:p>
              </w:tc>
              <w:tc>
                <w:tcPr>
                  <w:tcW w:w="444" w:type="pct"/>
                  <w:shd w:val="clear" w:color="auto" w:fill="auto"/>
                  <w:vAlign w:val="center"/>
                </w:tcPr>
                <w:p w14:paraId="7CCCC08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YPH380.0</w:t>
                  </w:r>
                </w:p>
              </w:tc>
              <w:tc>
                <w:tcPr>
                  <w:tcW w:w="2145" w:type="pct"/>
                  <w:shd w:val="clear" w:color="auto" w:fill="auto"/>
                  <w:vAlign w:val="center"/>
                </w:tcPr>
                <w:p w14:paraId="4168875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压力容器，立式盘式烘干机，工作压力0.8Mpa，22层，大盘10层，小盘10层；烘干面积120平方，大盘φ3000，小盘φ2500，双进气疏水，接管SS304不锈钢，法兰Q235，烘干盘Q235，壳体Q235，厚度10mm，工业齿箱，气体防爆电机，动力30KW，设计转速13r/min</w:t>
                  </w:r>
                  <w:r>
                    <w:rPr>
                      <w:rFonts w:hint="default" w:ascii="Times New Roman" w:hAnsi="Times New Roman" w:eastAsia="宋体" w:cs="Times New Roman"/>
                      <w:snapToGrid w:val="0"/>
                      <w:color w:val="auto"/>
                      <w:kern w:val="0"/>
                      <w:sz w:val="21"/>
                      <w:szCs w:val="21"/>
                      <w:lang w:val="en-US" w:eastAsia="zh-CN"/>
                    </w:rPr>
                    <w:t>，变频控制调速。顶盖材质SS304不锈钢，板厚5mm进汽及疏水方式从上到下</w:t>
                  </w:r>
                  <w:r>
                    <w:rPr>
                      <w:rFonts w:hint="default" w:ascii="Times New Roman" w:hAnsi="Times New Roman" w:eastAsia="宋体" w:cs="Times New Roman"/>
                      <w:snapToGrid w:val="0"/>
                      <w:color w:val="000000"/>
                      <w:kern w:val="0"/>
                      <w:sz w:val="21"/>
                      <w:szCs w:val="21"/>
                      <w:lang w:val="en-US" w:eastAsia="zh-CN"/>
                    </w:rPr>
                    <w:t>4、4、4、5、5，进汽疏水每单元独立设置</w:t>
                  </w:r>
                </w:p>
              </w:tc>
              <w:tc>
                <w:tcPr>
                  <w:tcW w:w="307" w:type="pct"/>
                  <w:shd w:val="clear" w:color="auto" w:fill="auto"/>
                  <w:vAlign w:val="center"/>
                </w:tcPr>
                <w:p w14:paraId="30B87B6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396411C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30</w:t>
                  </w:r>
                </w:p>
              </w:tc>
              <w:tc>
                <w:tcPr>
                  <w:tcW w:w="411" w:type="pct"/>
                  <w:shd w:val="clear" w:color="auto" w:fill="auto"/>
                  <w:vAlign w:val="center"/>
                </w:tcPr>
                <w:p w14:paraId="73FDCA1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49.0</w:t>
                  </w:r>
                </w:p>
              </w:tc>
              <w:tc>
                <w:tcPr>
                  <w:tcW w:w="421" w:type="pct"/>
                  <w:shd w:val="clear" w:color="auto" w:fill="auto"/>
                  <w:vAlign w:val="center"/>
                </w:tcPr>
                <w:p w14:paraId="62A54F9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净重45吨，配减速机，现场组装</w:t>
                  </w:r>
                </w:p>
              </w:tc>
            </w:tr>
            <w:tr w14:paraId="6FA4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1B34C2CA">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12</w:t>
                  </w:r>
                </w:p>
              </w:tc>
              <w:tc>
                <w:tcPr>
                  <w:tcW w:w="619" w:type="pct"/>
                  <w:shd w:val="clear" w:color="auto" w:fill="auto"/>
                  <w:vAlign w:val="center"/>
                </w:tcPr>
                <w:p w14:paraId="1801306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4</w:t>
                  </w:r>
                  <w:r>
                    <w:rPr>
                      <w:rFonts w:hint="default" w:ascii="Times New Roman" w:hAnsi="Times New Roman" w:eastAsia="Arial" w:cs="Times New Roman"/>
                      <w:snapToGrid w:val="0"/>
                      <w:color w:val="000000"/>
                      <w:kern w:val="0"/>
                      <w:sz w:val="21"/>
                      <w:szCs w:val="21"/>
                      <w:lang w:eastAsia="en-US"/>
                    </w:rPr>
                    <w:t>#湿粕刮板</w:t>
                  </w:r>
                </w:p>
              </w:tc>
              <w:tc>
                <w:tcPr>
                  <w:tcW w:w="444" w:type="pct"/>
                  <w:shd w:val="clear" w:color="auto" w:fill="auto"/>
                  <w:vAlign w:val="center"/>
                </w:tcPr>
                <w:p w14:paraId="614D975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MCF</w:t>
                  </w:r>
                  <w:r>
                    <w:rPr>
                      <w:rFonts w:hint="default" w:ascii="Times New Roman" w:hAnsi="Times New Roman" w:eastAsia="Arial" w:cs="Times New Roman"/>
                      <w:snapToGrid w:val="0"/>
                      <w:color w:val="000000"/>
                      <w:kern w:val="0"/>
                      <w:sz w:val="21"/>
                      <w:szCs w:val="21"/>
                      <w:lang w:val="en-US" w:eastAsia="zh-CN"/>
                    </w:rPr>
                    <w:t>32</w:t>
                  </w:r>
                </w:p>
              </w:tc>
              <w:tc>
                <w:tcPr>
                  <w:tcW w:w="2145" w:type="pct"/>
                  <w:shd w:val="clear" w:color="auto" w:fill="auto"/>
                  <w:vAlign w:val="center"/>
                </w:tcPr>
                <w:p w14:paraId="22CB213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气密型埋刮板，材质Q235，输送介质：棉籽胚片，连接法兰及盖板12mm，重载弯板链，耐磨高分子板，线速度0.34m/s，硬齿面减速机，气体防爆电机</w:t>
                  </w:r>
                </w:p>
              </w:tc>
              <w:tc>
                <w:tcPr>
                  <w:tcW w:w="307" w:type="pct"/>
                  <w:shd w:val="clear" w:color="auto" w:fill="auto"/>
                  <w:vAlign w:val="center"/>
                </w:tcPr>
                <w:p w14:paraId="01D3558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4570B77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7.5</w:t>
                  </w:r>
                </w:p>
              </w:tc>
              <w:tc>
                <w:tcPr>
                  <w:tcW w:w="411" w:type="pct"/>
                  <w:shd w:val="clear" w:color="auto" w:fill="auto"/>
                  <w:vAlign w:val="center"/>
                </w:tcPr>
                <w:p w14:paraId="7A5298D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7.2</w:t>
                  </w:r>
                </w:p>
              </w:tc>
              <w:tc>
                <w:tcPr>
                  <w:tcW w:w="421" w:type="pct"/>
                  <w:shd w:val="clear" w:color="auto" w:fill="auto"/>
                  <w:vAlign w:val="center"/>
                </w:tcPr>
                <w:p w14:paraId="42DB9F5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FC3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6FC2E06F">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13</w:t>
                  </w:r>
                </w:p>
              </w:tc>
              <w:tc>
                <w:tcPr>
                  <w:tcW w:w="619" w:type="pct"/>
                  <w:shd w:val="clear" w:color="auto" w:fill="auto"/>
                  <w:vAlign w:val="center"/>
                </w:tcPr>
                <w:p w14:paraId="61A0543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烘干机喂料绞龙</w:t>
                  </w:r>
                </w:p>
              </w:tc>
              <w:tc>
                <w:tcPr>
                  <w:tcW w:w="444" w:type="pct"/>
                  <w:shd w:val="clear" w:color="auto" w:fill="auto"/>
                  <w:vAlign w:val="center"/>
                </w:tcPr>
                <w:p w14:paraId="22B0AE6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LSSF30.0</w:t>
                  </w:r>
                </w:p>
              </w:tc>
              <w:tc>
                <w:tcPr>
                  <w:tcW w:w="2145" w:type="pct"/>
                  <w:shd w:val="clear" w:color="auto" w:fill="auto"/>
                  <w:vAlign w:val="center"/>
                </w:tcPr>
                <w:p w14:paraId="034C43E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气密型输送绞龙，绞龙材质SS304，配硬齿面减速机，气体防爆电机，绞龙长度3米。出料端1.5D密封段</w:t>
                  </w:r>
                </w:p>
              </w:tc>
              <w:tc>
                <w:tcPr>
                  <w:tcW w:w="307" w:type="pct"/>
                  <w:shd w:val="clear" w:color="auto" w:fill="auto"/>
                  <w:vAlign w:val="center"/>
                </w:tcPr>
                <w:p w14:paraId="75FB021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2E49152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3</w:t>
                  </w:r>
                </w:p>
              </w:tc>
              <w:tc>
                <w:tcPr>
                  <w:tcW w:w="411" w:type="pct"/>
                  <w:shd w:val="clear" w:color="auto" w:fill="auto"/>
                  <w:vAlign w:val="center"/>
                </w:tcPr>
                <w:p w14:paraId="549BDB6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bidi="ar-SA"/>
                    </w:rPr>
                    <w:t>2.8</w:t>
                  </w:r>
                </w:p>
              </w:tc>
              <w:tc>
                <w:tcPr>
                  <w:tcW w:w="421" w:type="pct"/>
                  <w:shd w:val="clear" w:color="auto" w:fill="auto"/>
                  <w:vAlign w:val="center"/>
                </w:tcPr>
                <w:p w14:paraId="0127B4B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7B16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046BE2AB">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14</w:t>
                  </w:r>
                </w:p>
              </w:tc>
              <w:tc>
                <w:tcPr>
                  <w:tcW w:w="619" w:type="pct"/>
                  <w:shd w:val="clear" w:color="auto" w:fill="auto"/>
                  <w:vAlign w:val="center"/>
                </w:tcPr>
                <w:p w14:paraId="6AA434A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2#盘式烘干机</w:t>
                  </w:r>
                </w:p>
              </w:tc>
              <w:tc>
                <w:tcPr>
                  <w:tcW w:w="444" w:type="pct"/>
                  <w:shd w:val="clear" w:color="auto" w:fill="auto"/>
                  <w:vAlign w:val="center"/>
                </w:tcPr>
                <w:p w14:paraId="7DFD91C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YPH380.0</w:t>
                  </w:r>
                </w:p>
              </w:tc>
              <w:tc>
                <w:tcPr>
                  <w:tcW w:w="2145" w:type="pct"/>
                  <w:shd w:val="clear" w:color="auto" w:fill="auto"/>
                  <w:vAlign w:val="center"/>
                </w:tcPr>
                <w:p w14:paraId="5437E48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压力容器，立式盘式烘干机，工作压力0.8Mpa，22层，大盘10层，小盘10层；烘干面积120平方，大盘φ3000，小盘φ2500，双进气疏水，接管SS304不锈钢，法兰Q235，烘干盘Q235，下层壳体Q235，厚度10mm，最上层壳体SS304不锈钢，板厚8mm，工业齿箱，气体防爆电机，动力30KW，设计转速13r/min，变频控制调速。顶盖材质SS304不锈钢，板厚5mm进汽及疏水方式从上到下4、4、4、5、5，进汽疏水每单元独立设置</w:t>
                  </w:r>
                </w:p>
              </w:tc>
              <w:tc>
                <w:tcPr>
                  <w:tcW w:w="307" w:type="pct"/>
                  <w:shd w:val="clear" w:color="auto" w:fill="auto"/>
                  <w:vAlign w:val="center"/>
                </w:tcPr>
                <w:p w14:paraId="5FD8174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2F95D73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30</w:t>
                  </w:r>
                </w:p>
              </w:tc>
              <w:tc>
                <w:tcPr>
                  <w:tcW w:w="411" w:type="pct"/>
                  <w:shd w:val="clear" w:color="auto" w:fill="auto"/>
                  <w:vAlign w:val="center"/>
                </w:tcPr>
                <w:p w14:paraId="41F9811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bidi="ar-SA"/>
                    </w:rPr>
                    <w:t>49.0</w:t>
                  </w:r>
                </w:p>
              </w:tc>
              <w:tc>
                <w:tcPr>
                  <w:tcW w:w="421" w:type="pct"/>
                  <w:shd w:val="clear" w:color="auto" w:fill="auto"/>
                  <w:vAlign w:val="center"/>
                </w:tcPr>
                <w:p w14:paraId="2801DF9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5CF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81" w:type="pct"/>
                  <w:shd w:val="clear" w:color="auto" w:fill="auto"/>
                  <w:vAlign w:val="center"/>
                </w:tcPr>
                <w:p w14:paraId="351339D5">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15</w:t>
                  </w:r>
                </w:p>
              </w:tc>
              <w:tc>
                <w:tcPr>
                  <w:tcW w:w="619" w:type="pct"/>
                  <w:shd w:val="clear" w:color="auto" w:fill="auto"/>
                  <w:vAlign w:val="center"/>
                </w:tcPr>
                <w:p w14:paraId="0E366BD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烘干机出料密封绞龙</w:t>
                  </w:r>
                </w:p>
              </w:tc>
              <w:tc>
                <w:tcPr>
                  <w:tcW w:w="444" w:type="pct"/>
                  <w:shd w:val="clear" w:color="auto" w:fill="auto"/>
                  <w:vAlign w:val="center"/>
                </w:tcPr>
                <w:p w14:paraId="50A35E8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LSSF20.0</w:t>
                  </w:r>
                </w:p>
              </w:tc>
              <w:tc>
                <w:tcPr>
                  <w:tcW w:w="2145" w:type="pct"/>
                  <w:shd w:val="clear" w:color="auto" w:fill="auto"/>
                  <w:vAlign w:val="center"/>
                </w:tcPr>
                <w:p w14:paraId="2DE4DAD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气密型输送绞龙，绞龙材质SS304，配硬齿面减速机，气体防爆电机，绞龙长度3.5米。出料端2.0D密封段</w:t>
                  </w:r>
                </w:p>
              </w:tc>
              <w:tc>
                <w:tcPr>
                  <w:tcW w:w="307" w:type="pct"/>
                  <w:shd w:val="clear" w:color="auto" w:fill="auto"/>
                  <w:vAlign w:val="center"/>
                </w:tcPr>
                <w:p w14:paraId="12BAAA2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474A2E9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411" w:type="pct"/>
                  <w:shd w:val="clear" w:color="auto" w:fill="auto"/>
                  <w:vAlign w:val="center"/>
                </w:tcPr>
                <w:p w14:paraId="3E9393B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2.2</w:t>
                  </w:r>
                </w:p>
              </w:tc>
              <w:tc>
                <w:tcPr>
                  <w:tcW w:w="421" w:type="pct"/>
                  <w:shd w:val="clear" w:color="auto" w:fill="auto"/>
                  <w:vAlign w:val="center"/>
                </w:tcPr>
                <w:p w14:paraId="732B2B6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F4C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72810689">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16</w:t>
                  </w:r>
                </w:p>
              </w:tc>
              <w:tc>
                <w:tcPr>
                  <w:tcW w:w="619" w:type="pct"/>
                  <w:shd w:val="clear" w:color="auto" w:fill="auto"/>
                  <w:vAlign w:val="center"/>
                </w:tcPr>
                <w:p w14:paraId="711B71A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烘干机出料刮板</w:t>
                  </w:r>
                </w:p>
              </w:tc>
              <w:tc>
                <w:tcPr>
                  <w:tcW w:w="444" w:type="pct"/>
                  <w:shd w:val="clear" w:color="auto" w:fill="auto"/>
                  <w:vAlign w:val="center"/>
                </w:tcPr>
                <w:p w14:paraId="2A9D616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eastAsia="en-US"/>
                    </w:rPr>
                    <w:t>MCF</w:t>
                  </w:r>
                  <w:r>
                    <w:rPr>
                      <w:rFonts w:hint="default" w:ascii="Times New Roman" w:hAnsi="Times New Roman" w:eastAsia="Arial" w:cs="Times New Roman"/>
                      <w:snapToGrid w:val="0"/>
                      <w:color w:val="000000"/>
                      <w:kern w:val="0"/>
                      <w:sz w:val="21"/>
                      <w:szCs w:val="21"/>
                      <w:lang w:val="en-US" w:eastAsia="zh-CN"/>
                    </w:rPr>
                    <w:t>25</w:t>
                  </w:r>
                </w:p>
              </w:tc>
              <w:tc>
                <w:tcPr>
                  <w:tcW w:w="2145" w:type="pct"/>
                  <w:shd w:val="clear" w:color="auto" w:fill="auto"/>
                  <w:vAlign w:val="center"/>
                </w:tcPr>
                <w:p w14:paraId="624FCB9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气密型埋刮板，壳体材质SS304，链轮链条Q235，轴45#，输送介质：棉籽胚片，连接法兰及盖板12mm，重载弯板链，耐磨高分子板，线速度0.34m/s，硬齿面减速机，气体防爆电机</w:t>
                  </w:r>
                </w:p>
              </w:tc>
              <w:tc>
                <w:tcPr>
                  <w:tcW w:w="307" w:type="pct"/>
                  <w:shd w:val="clear" w:color="auto" w:fill="auto"/>
                  <w:vAlign w:val="center"/>
                </w:tcPr>
                <w:p w14:paraId="6D4EC7D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1B45AC2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5.5</w:t>
                  </w:r>
                </w:p>
              </w:tc>
              <w:tc>
                <w:tcPr>
                  <w:tcW w:w="411" w:type="pct"/>
                  <w:shd w:val="clear" w:color="auto" w:fill="auto"/>
                  <w:vAlign w:val="center"/>
                </w:tcPr>
                <w:p w14:paraId="1505894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5.6</w:t>
                  </w:r>
                </w:p>
              </w:tc>
              <w:tc>
                <w:tcPr>
                  <w:tcW w:w="421" w:type="pct"/>
                  <w:shd w:val="clear" w:color="auto" w:fill="auto"/>
                  <w:vAlign w:val="center"/>
                </w:tcPr>
                <w:p w14:paraId="67536C2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6A03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1D38D57B">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17</w:t>
                  </w:r>
                </w:p>
              </w:tc>
              <w:tc>
                <w:tcPr>
                  <w:tcW w:w="619" w:type="pct"/>
                  <w:shd w:val="clear" w:color="auto" w:fill="auto"/>
                  <w:vAlign w:val="center"/>
                </w:tcPr>
                <w:p w14:paraId="5A5EF47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蒸汽分配器</w:t>
                  </w:r>
                </w:p>
              </w:tc>
              <w:tc>
                <w:tcPr>
                  <w:tcW w:w="444" w:type="pct"/>
                  <w:shd w:val="clear" w:color="auto" w:fill="auto"/>
                  <w:vAlign w:val="center"/>
                </w:tcPr>
                <w:p w14:paraId="50D01BF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b/>
                      <w:bCs/>
                      <w:snapToGrid w:val="0"/>
                      <w:color w:val="000000"/>
                      <w:kern w:val="0"/>
                      <w:sz w:val="21"/>
                      <w:szCs w:val="21"/>
                      <w:lang w:val="en-US" w:eastAsia="zh-CN"/>
                    </w:rPr>
                  </w:pPr>
                  <w:r>
                    <w:rPr>
                      <w:rFonts w:hint="default" w:ascii="Times New Roman" w:hAnsi="Times New Roman" w:eastAsia="Arial" w:cs="Times New Roman"/>
                      <w:b w:val="0"/>
                      <w:bCs w:val="0"/>
                      <w:snapToGrid w:val="0"/>
                      <w:color w:val="000000"/>
                      <w:kern w:val="0"/>
                      <w:sz w:val="21"/>
                      <w:szCs w:val="21"/>
                      <w:lang w:val="en-US" w:eastAsia="zh-CN"/>
                    </w:rPr>
                    <w:t>Φ273×8</w:t>
                  </w:r>
                </w:p>
              </w:tc>
              <w:tc>
                <w:tcPr>
                  <w:tcW w:w="2145" w:type="pct"/>
                  <w:shd w:val="clear" w:color="auto" w:fill="auto"/>
                  <w:vAlign w:val="center"/>
                </w:tcPr>
                <w:p w14:paraId="2183FCE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Ⅰ类压力容器，</w:t>
                  </w:r>
                  <w:r>
                    <w:rPr>
                      <w:rFonts w:hint="eastAsia" w:cs="Times New Roman"/>
                      <w:snapToGrid w:val="0"/>
                      <w:color w:val="000000"/>
                      <w:kern w:val="0"/>
                      <w:sz w:val="21"/>
                      <w:szCs w:val="21"/>
                      <w:lang w:val="en-US" w:eastAsia="zh-CN"/>
                    </w:rPr>
                    <w:t>材质</w:t>
                  </w:r>
                  <w:r>
                    <w:rPr>
                      <w:rFonts w:hint="default" w:ascii="Times New Roman" w:hAnsi="Times New Roman" w:eastAsia="宋体" w:cs="Times New Roman"/>
                      <w:snapToGrid w:val="0"/>
                      <w:color w:val="000000"/>
                      <w:kern w:val="0"/>
                      <w:sz w:val="21"/>
                      <w:szCs w:val="21"/>
                      <w:lang w:val="en-US" w:eastAsia="zh-CN"/>
                    </w:rPr>
                    <w:t>20#，壁厚8mm，预处理使用</w:t>
                  </w:r>
                </w:p>
              </w:tc>
              <w:tc>
                <w:tcPr>
                  <w:tcW w:w="307" w:type="pct"/>
                  <w:shd w:val="clear" w:color="auto" w:fill="auto"/>
                  <w:vAlign w:val="center"/>
                </w:tcPr>
                <w:p w14:paraId="7606D4A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716CB00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0D00D89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1.0</w:t>
                  </w:r>
                </w:p>
              </w:tc>
              <w:tc>
                <w:tcPr>
                  <w:tcW w:w="421" w:type="pct"/>
                  <w:shd w:val="clear" w:color="auto" w:fill="auto"/>
                  <w:vAlign w:val="center"/>
                </w:tcPr>
                <w:p w14:paraId="240B1E6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61BD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0B2E80D2">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18</w:t>
                  </w:r>
                </w:p>
              </w:tc>
              <w:tc>
                <w:tcPr>
                  <w:tcW w:w="619" w:type="pct"/>
                  <w:shd w:val="clear" w:color="auto" w:fill="auto"/>
                  <w:vAlign w:val="center"/>
                </w:tcPr>
                <w:p w14:paraId="6E211BF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蒸汽分配器</w:t>
                  </w:r>
                </w:p>
              </w:tc>
              <w:tc>
                <w:tcPr>
                  <w:tcW w:w="444" w:type="pct"/>
                  <w:shd w:val="clear" w:color="auto" w:fill="auto"/>
                  <w:vAlign w:val="center"/>
                </w:tcPr>
                <w:p w14:paraId="0552B70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Φ377×8</w:t>
                  </w:r>
                </w:p>
              </w:tc>
              <w:tc>
                <w:tcPr>
                  <w:tcW w:w="2145" w:type="pct"/>
                  <w:shd w:val="clear" w:color="auto" w:fill="auto"/>
                  <w:vAlign w:val="center"/>
                </w:tcPr>
                <w:p w14:paraId="7EF3E48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Ⅰ类压力容器，</w:t>
                  </w:r>
                  <w:r>
                    <w:rPr>
                      <w:rFonts w:hint="eastAsia" w:cs="Times New Roman"/>
                      <w:snapToGrid w:val="0"/>
                      <w:color w:val="000000"/>
                      <w:kern w:val="0"/>
                      <w:sz w:val="21"/>
                      <w:szCs w:val="21"/>
                      <w:lang w:val="en-US" w:eastAsia="zh-CN"/>
                    </w:rPr>
                    <w:t>材质</w:t>
                  </w:r>
                  <w:r>
                    <w:rPr>
                      <w:rFonts w:hint="default" w:ascii="Times New Roman" w:hAnsi="Times New Roman" w:eastAsia="宋体" w:cs="Times New Roman"/>
                      <w:snapToGrid w:val="0"/>
                      <w:color w:val="000000"/>
                      <w:kern w:val="0"/>
                      <w:sz w:val="21"/>
                      <w:szCs w:val="21"/>
                      <w:lang w:val="en-US" w:eastAsia="zh-CN"/>
                    </w:rPr>
                    <w:t>20#，壁厚8mm，浸出主分配器</w:t>
                  </w:r>
                </w:p>
              </w:tc>
              <w:tc>
                <w:tcPr>
                  <w:tcW w:w="307" w:type="pct"/>
                  <w:shd w:val="clear" w:color="auto" w:fill="auto"/>
                  <w:vAlign w:val="center"/>
                </w:tcPr>
                <w:p w14:paraId="632E459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7F06474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4966843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1.2</w:t>
                  </w:r>
                </w:p>
              </w:tc>
              <w:tc>
                <w:tcPr>
                  <w:tcW w:w="421" w:type="pct"/>
                  <w:shd w:val="clear" w:color="auto" w:fill="auto"/>
                  <w:vAlign w:val="center"/>
                </w:tcPr>
                <w:p w14:paraId="1E8E028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4765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172A7C45">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19</w:t>
                  </w:r>
                </w:p>
              </w:tc>
              <w:tc>
                <w:tcPr>
                  <w:tcW w:w="619" w:type="pct"/>
                  <w:shd w:val="clear" w:color="auto" w:fill="auto"/>
                  <w:vAlign w:val="center"/>
                </w:tcPr>
                <w:p w14:paraId="56BC86B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蒸汽分配器</w:t>
                  </w:r>
                </w:p>
              </w:tc>
              <w:tc>
                <w:tcPr>
                  <w:tcW w:w="444" w:type="pct"/>
                  <w:shd w:val="clear" w:color="auto" w:fill="auto"/>
                  <w:vAlign w:val="center"/>
                </w:tcPr>
                <w:p w14:paraId="0DBF351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Φ273×8</w:t>
                  </w:r>
                </w:p>
              </w:tc>
              <w:tc>
                <w:tcPr>
                  <w:tcW w:w="2145" w:type="pct"/>
                  <w:shd w:val="clear" w:color="auto" w:fill="auto"/>
                  <w:vAlign w:val="center"/>
                </w:tcPr>
                <w:p w14:paraId="6F8155A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Ⅰ类压力容器，材质器20#，壁厚8mm，浸出烘干机分配器</w:t>
                  </w:r>
                </w:p>
              </w:tc>
              <w:tc>
                <w:tcPr>
                  <w:tcW w:w="307" w:type="pct"/>
                  <w:shd w:val="clear" w:color="auto" w:fill="auto"/>
                  <w:vAlign w:val="center"/>
                </w:tcPr>
                <w:p w14:paraId="279A811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13D9DE8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6B2D6C3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1.0</w:t>
                  </w:r>
                </w:p>
              </w:tc>
              <w:tc>
                <w:tcPr>
                  <w:tcW w:w="421" w:type="pct"/>
                  <w:shd w:val="clear" w:color="auto" w:fill="auto"/>
                  <w:vAlign w:val="center"/>
                </w:tcPr>
                <w:p w14:paraId="31A5118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C39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65EE965F">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20</w:t>
                  </w:r>
                </w:p>
              </w:tc>
              <w:tc>
                <w:tcPr>
                  <w:tcW w:w="619" w:type="pct"/>
                  <w:shd w:val="clear" w:color="auto" w:fill="auto"/>
                  <w:vAlign w:val="center"/>
                </w:tcPr>
                <w:p w14:paraId="32872DC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蒸汽分配器</w:t>
                  </w:r>
                </w:p>
              </w:tc>
              <w:tc>
                <w:tcPr>
                  <w:tcW w:w="444" w:type="pct"/>
                  <w:shd w:val="clear" w:color="auto" w:fill="auto"/>
                  <w:vAlign w:val="center"/>
                </w:tcPr>
                <w:p w14:paraId="398467C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Φ219×8</w:t>
                  </w:r>
                </w:p>
              </w:tc>
              <w:tc>
                <w:tcPr>
                  <w:tcW w:w="2145" w:type="pct"/>
                  <w:shd w:val="clear" w:color="auto" w:fill="auto"/>
                  <w:vAlign w:val="center"/>
                </w:tcPr>
                <w:p w14:paraId="23F0A0A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Ⅰ类压力容器，材质器20#，壁厚8mm，蒸发一台，精馏一台，精炼车间1台</w:t>
                  </w:r>
                </w:p>
              </w:tc>
              <w:tc>
                <w:tcPr>
                  <w:tcW w:w="307" w:type="pct"/>
                  <w:shd w:val="clear" w:color="auto" w:fill="auto"/>
                  <w:vAlign w:val="center"/>
                </w:tcPr>
                <w:p w14:paraId="5F9305A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369" w:type="pct"/>
                  <w:shd w:val="clear" w:color="auto" w:fill="auto"/>
                  <w:vAlign w:val="center"/>
                </w:tcPr>
                <w:p w14:paraId="468BEC8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3DBA70C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2.4</w:t>
                  </w:r>
                </w:p>
              </w:tc>
              <w:tc>
                <w:tcPr>
                  <w:tcW w:w="421" w:type="pct"/>
                  <w:shd w:val="clear" w:color="auto" w:fill="auto"/>
                  <w:vAlign w:val="center"/>
                </w:tcPr>
                <w:p w14:paraId="6519731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0F3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44EA00BD">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21</w:t>
                  </w:r>
                </w:p>
              </w:tc>
              <w:tc>
                <w:tcPr>
                  <w:tcW w:w="619" w:type="pct"/>
                  <w:shd w:val="clear" w:color="auto" w:fill="auto"/>
                  <w:vAlign w:val="center"/>
                </w:tcPr>
                <w:p w14:paraId="43E6383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湿式捕集器</w:t>
                  </w:r>
                </w:p>
              </w:tc>
              <w:tc>
                <w:tcPr>
                  <w:tcW w:w="444" w:type="pct"/>
                  <w:shd w:val="clear" w:color="auto" w:fill="auto"/>
                  <w:vAlign w:val="center"/>
                </w:tcPr>
                <w:p w14:paraId="5ACAF70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YBJ140</w:t>
                  </w:r>
                </w:p>
              </w:tc>
              <w:tc>
                <w:tcPr>
                  <w:tcW w:w="2145" w:type="pct"/>
                  <w:shd w:val="clear" w:color="auto" w:fill="auto"/>
                  <w:vAlign w:val="center"/>
                </w:tcPr>
                <w:p w14:paraId="243917C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逆流湿式捕集器，全不锈钢材质，壳体厚度4mm，内部导流板厚度4mm，导流板底部壳体开视镜</w:t>
                  </w:r>
                </w:p>
              </w:tc>
              <w:tc>
                <w:tcPr>
                  <w:tcW w:w="307" w:type="pct"/>
                  <w:shd w:val="clear" w:color="auto" w:fill="auto"/>
                  <w:vAlign w:val="center"/>
                </w:tcPr>
                <w:p w14:paraId="0B3484A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369" w:type="pct"/>
                  <w:shd w:val="clear" w:color="auto" w:fill="auto"/>
                  <w:vAlign w:val="center"/>
                </w:tcPr>
                <w:p w14:paraId="3CDAE29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3FB4BA0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12.0</w:t>
                  </w:r>
                </w:p>
              </w:tc>
              <w:tc>
                <w:tcPr>
                  <w:tcW w:w="421" w:type="pct"/>
                  <w:shd w:val="clear" w:color="auto" w:fill="auto"/>
                  <w:vAlign w:val="center"/>
                </w:tcPr>
                <w:p w14:paraId="419CE3D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05E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3B8D7785">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22</w:t>
                  </w:r>
                </w:p>
              </w:tc>
              <w:tc>
                <w:tcPr>
                  <w:tcW w:w="619" w:type="pct"/>
                  <w:shd w:val="clear" w:color="auto" w:fill="auto"/>
                  <w:vAlign w:val="center"/>
                </w:tcPr>
                <w:p w14:paraId="37321FC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精馏塔</w:t>
                  </w:r>
                </w:p>
              </w:tc>
              <w:tc>
                <w:tcPr>
                  <w:tcW w:w="444" w:type="pct"/>
                  <w:shd w:val="clear" w:color="auto" w:fill="auto"/>
                  <w:vAlign w:val="center"/>
                </w:tcPr>
                <w:p w14:paraId="480E40C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Φ180×100</w:t>
                  </w:r>
                </w:p>
              </w:tc>
              <w:tc>
                <w:tcPr>
                  <w:tcW w:w="2145" w:type="pct"/>
                  <w:shd w:val="clear" w:color="auto" w:fill="auto"/>
                  <w:vAlign w:val="center"/>
                </w:tcPr>
                <w:p w14:paraId="0F0BB48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填料式精馏塔，填料分三节填装，底部设置再沸器；再沸器加热面积60平方，塔体采用碳钢材质制做，壳体厚度6mm，填料采用不锈钢304材质波纹板规整填料，再沸器采用U型列管加热器，列管采用Φ25×1.5mm不锈钢无缝管制做，共两组加热器，精馏塔下封头采用W型设计，减少底部存液，精馏塔塔釜设置防沸溢消泡装置</w:t>
                  </w:r>
                </w:p>
              </w:tc>
              <w:tc>
                <w:tcPr>
                  <w:tcW w:w="307" w:type="pct"/>
                  <w:shd w:val="clear" w:color="auto" w:fill="auto"/>
                  <w:vAlign w:val="center"/>
                </w:tcPr>
                <w:p w14:paraId="62F3D88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42B4F9F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0D0B6AE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20.0</w:t>
                  </w:r>
                </w:p>
              </w:tc>
              <w:tc>
                <w:tcPr>
                  <w:tcW w:w="421" w:type="pct"/>
                  <w:shd w:val="clear" w:color="auto" w:fill="auto"/>
                  <w:vAlign w:val="center"/>
                </w:tcPr>
                <w:p w14:paraId="203A8FF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DDB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1C200632">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23</w:t>
                  </w:r>
                </w:p>
              </w:tc>
              <w:tc>
                <w:tcPr>
                  <w:tcW w:w="619" w:type="pct"/>
                  <w:shd w:val="clear" w:color="auto" w:fill="auto"/>
                  <w:vAlign w:val="center"/>
                </w:tcPr>
                <w:p w14:paraId="00EC77D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精馏蒸煮罐</w:t>
                  </w:r>
                </w:p>
              </w:tc>
              <w:tc>
                <w:tcPr>
                  <w:tcW w:w="444" w:type="pct"/>
                  <w:shd w:val="clear" w:color="auto" w:fill="auto"/>
                  <w:vAlign w:val="center"/>
                </w:tcPr>
                <w:p w14:paraId="4F0934C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YZG180×200</w:t>
                  </w:r>
                </w:p>
              </w:tc>
              <w:tc>
                <w:tcPr>
                  <w:tcW w:w="2145" w:type="pct"/>
                  <w:shd w:val="clear" w:color="auto" w:fill="auto"/>
                  <w:vAlign w:val="center"/>
                </w:tcPr>
                <w:p w14:paraId="41ECF73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废液蒸煮罐，碳钢材质，壳体壁厚6mm，内部设置间接汽加热管、直接蒸汽喷管，液封管排液口，带除沫器</w:t>
                  </w:r>
                </w:p>
              </w:tc>
              <w:tc>
                <w:tcPr>
                  <w:tcW w:w="307" w:type="pct"/>
                  <w:shd w:val="clear" w:color="auto" w:fill="auto"/>
                  <w:vAlign w:val="center"/>
                </w:tcPr>
                <w:p w14:paraId="6119307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5CEB02D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1580A8A5">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1.2</w:t>
                  </w:r>
                </w:p>
              </w:tc>
              <w:tc>
                <w:tcPr>
                  <w:tcW w:w="421" w:type="pct"/>
                  <w:shd w:val="clear" w:color="auto" w:fill="auto"/>
                  <w:vAlign w:val="center"/>
                </w:tcPr>
                <w:p w14:paraId="6DD5ACC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6F47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31EFDBAF">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24</w:t>
                  </w:r>
                </w:p>
              </w:tc>
              <w:tc>
                <w:tcPr>
                  <w:tcW w:w="619" w:type="pct"/>
                  <w:shd w:val="clear" w:color="auto" w:fill="auto"/>
                  <w:vAlign w:val="center"/>
                </w:tcPr>
                <w:p w14:paraId="27444EC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第一蒸发器</w:t>
                  </w:r>
                </w:p>
              </w:tc>
              <w:tc>
                <w:tcPr>
                  <w:tcW w:w="444" w:type="pct"/>
                  <w:shd w:val="clear" w:color="auto" w:fill="auto"/>
                  <w:vAlign w:val="center"/>
                </w:tcPr>
                <w:p w14:paraId="2F35E18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YZFQ</w:t>
                  </w:r>
                  <w:r>
                    <w:rPr>
                      <w:rFonts w:hint="default" w:ascii="Times New Roman" w:hAnsi="Times New Roman" w:eastAsia="宋体" w:cs="Times New Roman"/>
                      <w:snapToGrid w:val="0"/>
                      <w:color w:val="000000"/>
                      <w:kern w:val="0"/>
                      <w:sz w:val="21"/>
                      <w:szCs w:val="21"/>
                      <w:lang w:val="en-US" w:eastAsia="zh-CN"/>
                    </w:rPr>
                    <w:t>2</w:t>
                  </w:r>
                  <w:r>
                    <w:rPr>
                      <w:rFonts w:hint="default" w:ascii="Times New Roman" w:hAnsi="Times New Roman" w:eastAsia="宋体" w:cs="Times New Roman"/>
                      <w:snapToGrid w:val="0"/>
                      <w:color w:val="000000"/>
                      <w:kern w:val="0"/>
                      <w:sz w:val="21"/>
                      <w:szCs w:val="21"/>
                      <w:lang w:eastAsia="en-US"/>
                    </w:rPr>
                    <w:t>00</w:t>
                  </w:r>
                </w:p>
              </w:tc>
              <w:tc>
                <w:tcPr>
                  <w:tcW w:w="2145" w:type="pct"/>
                  <w:shd w:val="clear" w:color="auto" w:fill="auto"/>
                  <w:vAlign w:val="center"/>
                </w:tcPr>
                <w:p w14:paraId="4589C93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val="en-US" w:eastAsia="zh-CN"/>
                    </w:rPr>
                    <w:t>压力容器，升膜式列管蒸发器，蒸发面积200平方，碳钢壳体，壳体壁厚8mm；换热管采用Φ25×1.5mm不锈钢无缝管；壳程设置膨胀节，换热管长度6m</w:t>
                  </w:r>
                </w:p>
              </w:tc>
              <w:tc>
                <w:tcPr>
                  <w:tcW w:w="307" w:type="pct"/>
                  <w:shd w:val="clear" w:color="auto" w:fill="auto"/>
                  <w:vAlign w:val="center"/>
                </w:tcPr>
                <w:p w14:paraId="08AAEF7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333BE3E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6DAB3E4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16.0</w:t>
                  </w:r>
                </w:p>
              </w:tc>
              <w:tc>
                <w:tcPr>
                  <w:tcW w:w="421" w:type="pct"/>
                  <w:shd w:val="clear" w:color="auto" w:fill="auto"/>
                  <w:vAlign w:val="center"/>
                </w:tcPr>
                <w:p w14:paraId="640B71D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181F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2647C3D7">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25</w:t>
                  </w:r>
                </w:p>
              </w:tc>
              <w:tc>
                <w:tcPr>
                  <w:tcW w:w="619" w:type="pct"/>
                  <w:shd w:val="clear" w:color="auto" w:fill="auto"/>
                  <w:vAlign w:val="center"/>
                </w:tcPr>
                <w:p w14:paraId="0130094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第二蒸发器</w:t>
                  </w:r>
                </w:p>
              </w:tc>
              <w:tc>
                <w:tcPr>
                  <w:tcW w:w="444" w:type="pct"/>
                  <w:shd w:val="clear" w:color="auto" w:fill="auto"/>
                  <w:vAlign w:val="center"/>
                </w:tcPr>
                <w:p w14:paraId="547E706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宋体" w:cs="Times New Roman"/>
                      <w:snapToGrid w:val="0"/>
                      <w:color w:val="000000"/>
                      <w:kern w:val="0"/>
                      <w:sz w:val="21"/>
                      <w:szCs w:val="21"/>
                      <w:lang w:eastAsia="en-US"/>
                    </w:rPr>
                    <w:t>YZFQ</w:t>
                  </w:r>
                  <w:r>
                    <w:rPr>
                      <w:rFonts w:hint="default" w:ascii="Times New Roman" w:hAnsi="Times New Roman" w:eastAsia="宋体" w:cs="Times New Roman"/>
                      <w:snapToGrid w:val="0"/>
                      <w:color w:val="000000"/>
                      <w:kern w:val="0"/>
                      <w:sz w:val="21"/>
                      <w:szCs w:val="21"/>
                      <w:lang w:val="en-US" w:eastAsia="zh-CN"/>
                    </w:rPr>
                    <w:t>120</w:t>
                  </w:r>
                </w:p>
              </w:tc>
              <w:tc>
                <w:tcPr>
                  <w:tcW w:w="2145" w:type="pct"/>
                  <w:shd w:val="clear" w:color="auto" w:fill="auto"/>
                  <w:vAlign w:val="center"/>
                </w:tcPr>
                <w:p w14:paraId="04028ED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压力容器，升膜式列管蒸发器，蒸发面积120平方，碳钢壳体，壳体壁厚8mm；换热管采用Φ25×1.5mm不锈钢无缝管；壳程设置膨胀节，换热管长度6m</w:t>
                  </w:r>
                </w:p>
              </w:tc>
              <w:tc>
                <w:tcPr>
                  <w:tcW w:w="307" w:type="pct"/>
                  <w:shd w:val="clear" w:color="auto" w:fill="auto"/>
                  <w:vAlign w:val="center"/>
                </w:tcPr>
                <w:p w14:paraId="1799274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057727F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132917D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9.6</w:t>
                  </w:r>
                </w:p>
              </w:tc>
              <w:tc>
                <w:tcPr>
                  <w:tcW w:w="421" w:type="pct"/>
                  <w:shd w:val="clear" w:color="auto" w:fill="auto"/>
                  <w:vAlign w:val="center"/>
                </w:tcPr>
                <w:p w14:paraId="5F88867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F12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46FBC075">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26</w:t>
                  </w:r>
                </w:p>
              </w:tc>
              <w:tc>
                <w:tcPr>
                  <w:tcW w:w="619" w:type="pct"/>
                  <w:shd w:val="clear" w:color="auto" w:fill="auto"/>
                  <w:vAlign w:val="center"/>
                </w:tcPr>
                <w:p w14:paraId="411CD2D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单程加热器</w:t>
                  </w:r>
                </w:p>
              </w:tc>
              <w:tc>
                <w:tcPr>
                  <w:tcW w:w="444" w:type="pct"/>
                  <w:shd w:val="clear" w:color="auto" w:fill="auto"/>
                  <w:vAlign w:val="center"/>
                </w:tcPr>
                <w:p w14:paraId="236E820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DCH9</w:t>
                  </w:r>
                </w:p>
              </w:tc>
              <w:tc>
                <w:tcPr>
                  <w:tcW w:w="2145" w:type="pct"/>
                  <w:shd w:val="clear" w:color="auto" w:fill="auto"/>
                  <w:vAlign w:val="center"/>
                </w:tcPr>
                <w:p w14:paraId="35B63ED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采用DN50和DN80的无缝管，设置双排型式，每个跨接管底部设置DN25排空装置</w:t>
                  </w:r>
                </w:p>
              </w:tc>
              <w:tc>
                <w:tcPr>
                  <w:tcW w:w="307" w:type="pct"/>
                  <w:shd w:val="clear" w:color="auto" w:fill="auto"/>
                  <w:vAlign w:val="center"/>
                </w:tcPr>
                <w:p w14:paraId="67AAB1B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369" w:type="pct"/>
                  <w:shd w:val="clear" w:color="auto" w:fill="auto"/>
                  <w:vAlign w:val="center"/>
                </w:tcPr>
                <w:p w14:paraId="0F32AC0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711492F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4.0</w:t>
                  </w:r>
                </w:p>
              </w:tc>
              <w:tc>
                <w:tcPr>
                  <w:tcW w:w="421" w:type="pct"/>
                  <w:shd w:val="clear" w:color="auto" w:fill="auto"/>
                  <w:vAlign w:val="center"/>
                </w:tcPr>
                <w:p w14:paraId="00A52B9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0283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021722D5">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27</w:t>
                  </w:r>
                </w:p>
              </w:tc>
              <w:tc>
                <w:tcPr>
                  <w:tcW w:w="619" w:type="pct"/>
                  <w:shd w:val="clear" w:color="auto" w:fill="auto"/>
                  <w:vAlign w:val="center"/>
                </w:tcPr>
                <w:p w14:paraId="5BAE37A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棉糖闪发箱</w:t>
                  </w:r>
                </w:p>
              </w:tc>
              <w:tc>
                <w:tcPr>
                  <w:tcW w:w="444" w:type="pct"/>
                  <w:shd w:val="clear" w:color="auto" w:fill="auto"/>
                  <w:vAlign w:val="center"/>
                </w:tcPr>
                <w:p w14:paraId="52442E7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YXF110×300</w:t>
                  </w:r>
                </w:p>
              </w:tc>
              <w:tc>
                <w:tcPr>
                  <w:tcW w:w="2145" w:type="pct"/>
                  <w:shd w:val="clear" w:color="auto" w:fill="auto"/>
                  <w:vAlign w:val="center"/>
                </w:tcPr>
                <w:p w14:paraId="0A6D3DD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bCs/>
                      <w:snapToGrid w:val="0"/>
                      <w:color w:val="000000"/>
                      <w:kern w:val="0"/>
                      <w:sz w:val="21"/>
                      <w:szCs w:val="21"/>
                      <w:lang w:eastAsia="en-US" w:bidi="en-US"/>
                    </w:rPr>
                    <w:t>材质：碳钢，立式负压容器，上标准椭圆封头，下部60°锥形封头，板厚6mm</w:t>
                  </w:r>
                  <w:r>
                    <w:rPr>
                      <w:rFonts w:hint="default" w:ascii="Times New Roman" w:hAnsi="Times New Roman" w:eastAsia="宋体" w:cs="Times New Roman"/>
                      <w:bCs/>
                      <w:snapToGrid w:val="0"/>
                      <w:color w:val="000000"/>
                      <w:kern w:val="0"/>
                      <w:sz w:val="21"/>
                      <w:szCs w:val="21"/>
                      <w:lang w:eastAsia="zh-CN" w:bidi="en-US"/>
                    </w:rPr>
                    <w:t>，</w:t>
                  </w:r>
                  <w:r>
                    <w:rPr>
                      <w:rFonts w:hint="default" w:ascii="Times New Roman" w:hAnsi="Times New Roman" w:eastAsia="宋体" w:cs="Times New Roman"/>
                      <w:bCs/>
                      <w:snapToGrid w:val="0"/>
                      <w:color w:val="000000"/>
                      <w:kern w:val="0"/>
                      <w:sz w:val="21"/>
                      <w:szCs w:val="21"/>
                      <w:lang w:val="en-US" w:eastAsia="zh-CN" w:bidi="en-US"/>
                    </w:rPr>
                    <w:t>外置φ108半管</w:t>
                  </w:r>
                </w:p>
              </w:tc>
              <w:tc>
                <w:tcPr>
                  <w:tcW w:w="307" w:type="pct"/>
                  <w:shd w:val="clear" w:color="auto" w:fill="auto"/>
                  <w:vAlign w:val="center"/>
                </w:tcPr>
                <w:p w14:paraId="7DCD124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369" w:type="pct"/>
                  <w:shd w:val="clear" w:color="auto" w:fill="auto"/>
                  <w:vAlign w:val="center"/>
                </w:tcPr>
                <w:p w14:paraId="43AA5C2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758C777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1.5</w:t>
                  </w:r>
                </w:p>
              </w:tc>
              <w:tc>
                <w:tcPr>
                  <w:tcW w:w="421" w:type="pct"/>
                  <w:shd w:val="clear" w:color="auto" w:fill="auto"/>
                  <w:vAlign w:val="center"/>
                </w:tcPr>
                <w:p w14:paraId="0568695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6C04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 w:type="pct"/>
                  <w:shd w:val="clear" w:color="auto" w:fill="auto"/>
                  <w:vAlign w:val="center"/>
                </w:tcPr>
                <w:p w14:paraId="554D8B38">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28</w:t>
                  </w:r>
                </w:p>
              </w:tc>
              <w:tc>
                <w:tcPr>
                  <w:tcW w:w="619" w:type="pct"/>
                  <w:shd w:val="clear" w:color="auto" w:fill="auto"/>
                  <w:vAlign w:val="center"/>
                </w:tcPr>
                <w:p w14:paraId="27D9FAC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气液分离器</w:t>
                  </w:r>
                </w:p>
              </w:tc>
              <w:tc>
                <w:tcPr>
                  <w:tcW w:w="444" w:type="pct"/>
                  <w:shd w:val="clear" w:color="auto" w:fill="auto"/>
                  <w:vAlign w:val="center"/>
                </w:tcPr>
                <w:p w14:paraId="34D2876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YXF80</w:t>
                  </w:r>
                </w:p>
              </w:tc>
              <w:tc>
                <w:tcPr>
                  <w:tcW w:w="2145" w:type="pct"/>
                  <w:shd w:val="clear" w:color="auto" w:fill="auto"/>
                  <w:vAlign w:val="center"/>
                </w:tcPr>
                <w:p w14:paraId="7BF2283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bCs/>
                      <w:snapToGrid w:val="0"/>
                      <w:color w:val="000000"/>
                      <w:kern w:val="0"/>
                      <w:sz w:val="21"/>
                      <w:szCs w:val="21"/>
                      <w:lang w:eastAsia="en-US" w:bidi="en-US"/>
                    </w:rPr>
                    <w:t>材质：碳钢，旋风式汽液分离器，碳钢材质，上椭圆封头，下90°锥，内置花盘，进气位置偏下，壳体板厚6mm</w:t>
                  </w:r>
                </w:p>
              </w:tc>
              <w:tc>
                <w:tcPr>
                  <w:tcW w:w="307" w:type="pct"/>
                  <w:shd w:val="clear" w:color="auto" w:fill="auto"/>
                  <w:vAlign w:val="center"/>
                </w:tcPr>
                <w:p w14:paraId="0A91395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369" w:type="pct"/>
                  <w:shd w:val="clear" w:color="auto" w:fill="auto"/>
                  <w:vAlign w:val="center"/>
                </w:tcPr>
                <w:p w14:paraId="6D3BC30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73F7C55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0.6</w:t>
                  </w:r>
                </w:p>
              </w:tc>
              <w:tc>
                <w:tcPr>
                  <w:tcW w:w="421" w:type="pct"/>
                  <w:shd w:val="clear" w:color="auto" w:fill="auto"/>
                  <w:vAlign w:val="center"/>
                </w:tcPr>
                <w:p w14:paraId="1716A2D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10B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0DECA55D">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29</w:t>
                  </w:r>
                </w:p>
              </w:tc>
              <w:tc>
                <w:tcPr>
                  <w:tcW w:w="619" w:type="pct"/>
                  <w:shd w:val="clear" w:color="auto" w:fill="auto"/>
                  <w:vAlign w:val="center"/>
                </w:tcPr>
                <w:p w14:paraId="2A6E7FE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bCs/>
                      <w:snapToGrid w:val="0"/>
                      <w:color w:val="000000"/>
                      <w:kern w:val="0"/>
                      <w:sz w:val="21"/>
                      <w:szCs w:val="21"/>
                      <w:lang w:val="en-US" w:eastAsia="zh-CN" w:bidi="en-US"/>
                    </w:rPr>
                    <w:t>精馏预热器</w:t>
                  </w:r>
                </w:p>
              </w:tc>
              <w:tc>
                <w:tcPr>
                  <w:tcW w:w="444" w:type="pct"/>
                  <w:shd w:val="clear" w:color="auto" w:fill="auto"/>
                  <w:vAlign w:val="center"/>
                </w:tcPr>
                <w:p w14:paraId="7C506A7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仿宋_GB2312" w:cs="Times New Roman"/>
                      <w:snapToGrid w:val="0"/>
                      <w:color w:val="000000"/>
                      <w:kern w:val="0"/>
                      <w:sz w:val="21"/>
                      <w:szCs w:val="21"/>
                      <w:lang w:val="en-US" w:eastAsia="zh-CN"/>
                    </w:rPr>
                  </w:pPr>
                  <w:r>
                    <w:rPr>
                      <w:rFonts w:hint="default" w:ascii="Times New Roman" w:hAnsi="Times New Roman" w:eastAsia="宋体" w:cs="Times New Roman"/>
                      <w:bCs/>
                      <w:snapToGrid w:val="0"/>
                      <w:color w:val="000000"/>
                      <w:kern w:val="0"/>
                      <w:sz w:val="21"/>
                      <w:szCs w:val="21"/>
                      <w:lang w:eastAsia="en-US" w:bidi="en-US"/>
                    </w:rPr>
                    <w:t>YJRL</w:t>
                  </w:r>
                  <w:r>
                    <w:rPr>
                      <w:rFonts w:hint="default" w:ascii="Times New Roman" w:hAnsi="Times New Roman" w:eastAsia="宋体" w:cs="Times New Roman"/>
                      <w:bCs/>
                      <w:snapToGrid w:val="0"/>
                      <w:color w:val="000000"/>
                      <w:kern w:val="0"/>
                      <w:sz w:val="21"/>
                      <w:szCs w:val="21"/>
                      <w:lang w:val="en-US" w:eastAsia="zh-CN" w:bidi="en-US"/>
                    </w:rPr>
                    <w:t>15</w:t>
                  </w:r>
                </w:p>
              </w:tc>
              <w:tc>
                <w:tcPr>
                  <w:tcW w:w="2145" w:type="pct"/>
                  <w:shd w:val="clear" w:color="auto" w:fill="auto"/>
                  <w:vAlign w:val="center"/>
                </w:tcPr>
                <w:p w14:paraId="15C060B2">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压</w:t>
                  </w:r>
                  <w:r>
                    <w:rPr>
                      <w:rFonts w:hint="default" w:ascii="Times New Roman" w:hAnsi="Times New Roman" w:eastAsia="宋体" w:cs="Times New Roman"/>
                      <w:bCs/>
                      <w:snapToGrid w:val="0"/>
                      <w:color w:val="000000"/>
                      <w:kern w:val="0"/>
                      <w:sz w:val="21"/>
                      <w:szCs w:val="21"/>
                      <w:lang w:val="en-US" w:eastAsia="zh-CN" w:bidi="en-US"/>
                    </w:rPr>
                    <w:t>力容器，</w:t>
                  </w:r>
                  <w:r>
                    <w:rPr>
                      <w:rFonts w:hint="default" w:ascii="Times New Roman" w:hAnsi="Times New Roman" w:eastAsia="宋体" w:cs="Times New Roman"/>
                      <w:bCs/>
                      <w:snapToGrid w:val="0"/>
                      <w:color w:val="000000"/>
                      <w:kern w:val="0"/>
                      <w:sz w:val="21"/>
                      <w:szCs w:val="21"/>
                      <w:lang w:eastAsia="en-US" w:bidi="en-US"/>
                    </w:rPr>
                    <w:t>立式列管加热器，</w:t>
                  </w:r>
                  <w:r>
                    <w:rPr>
                      <w:rFonts w:hint="default" w:ascii="Times New Roman" w:hAnsi="Times New Roman" w:eastAsia="宋体" w:cs="Times New Roman"/>
                      <w:bCs/>
                      <w:snapToGrid w:val="0"/>
                      <w:color w:val="000000"/>
                      <w:kern w:val="0"/>
                      <w:sz w:val="21"/>
                      <w:szCs w:val="21"/>
                      <w:lang w:val="en-US" w:eastAsia="zh-CN" w:bidi="en-US"/>
                    </w:rPr>
                    <w:t>加热面积15平方，</w:t>
                  </w:r>
                  <w:r>
                    <w:rPr>
                      <w:rFonts w:hint="default" w:ascii="Times New Roman" w:hAnsi="Times New Roman" w:eastAsia="宋体" w:cs="Times New Roman"/>
                      <w:bCs/>
                      <w:snapToGrid w:val="0"/>
                      <w:color w:val="000000"/>
                      <w:kern w:val="0"/>
                      <w:sz w:val="21"/>
                      <w:szCs w:val="21"/>
                      <w:lang w:eastAsia="en-US" w:bidi="en-US"/>
                    </w:rPr>
                    <w:t>碳钢壳体，壳体壁厚6mm；换热管采用Φ25×1.5mm不锈钢无缝管；多程设计，壳程设置膨胀节</w:t>
                  </w:r>
                </w:p>
              </w:tc>
              <w:tc>
                <w:tcPr>
                  <w:tcW w:w="307" w:type="pct"/>
                  <w:shd w:val="clear" w:color="auto" w:fill="auto"/>
                  <w:vAlign w:val="center"/>
                </w:tcPr>
                <w:p w14:paraId="144EED8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67DADE4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5CC10D3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1.5</w:t>
                  </w:r>
                </w:p>
              </w:tc>
              <w:tc>
                <w:tcPr>
                  <w:tcW w:w="421" w:type="pct"/>
                  <w:shd w:val="clear" w:color="auto" w:fill="auto"/>
                  <w:vAlign w:val="center"/>
                </w:tcPr>
                <w:p w14:paraId="46A539D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3AA4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2D5E39D7">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30</w:t>
                  </w:r>
                </w:p>
              </w:tc>
              <w:tc>
                <w:tcPr>
                  <w:tcW w:w="619" w:type="pct"/>
                  <w:shd w:val="clear" w:color="auto" w:fill="auto"/>
                  <w:vAlign w:val="center"/>
                </w:tcPr>
                <w:p w14:paraId="58A2A4F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尾气吸收塔</w:t>
                  </w:r>
                </w:p>
              </w:tc>
              <w:tc>
                <w:tcPr>
                  <w:tcW w:w="444" w:type="pct"/>
                  <w:shd w:val="clear" w:color="auto" w:fill="auto"/>
                  <w:vAlign w:val="center"/>
                </w:tcPr>
                <w:p w14:paraId="278A09F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YXST</w:t>
                  </w:r>
                  <w:r>
                    <w:rPr>
                      <w:rFonts w:hint="default" w:ascii="Times New Roman" w:hAnsi="Times New Roman" w:eastAsia="Arial" w:cs="Times New Roman"/>
                      <w:snapToGrid w:val="0"/>
                      <w:color w:val="000000"/>
                      <w:kern w:val="0"/>
                      <w:sz w:val="21"/>
                      <w:szCs w:val="21"/>
                      <w:lang w:val="en-US" w:eastAsia="zh-CN"/>
                    </w:rPr>
                    <w:t>50</w:t>
                  </w:r>
                </w:p>
              </w:tc>
              <w:tc>
                <w:tcPr>
                  <w:tcW w:w="2145" w:type="pct"/>
                  <w:shd w:val="clear" w:color="auto" w:fill="auto"/>
                  <w:vAlign w:val="center"/>
                </w:tcPr>
                <w:p w14:paraId="72FECFA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处理尾气，316L鲍尔环填料吸收，吸收段直径φ500，吸收段长度L=4.2米，底部设置储液罐，罐内设置冷却盘管，盘管加密，盘管采用304不锈钢管制做；碳钢壳体，壳体壁厚6mm</w:t>
                  </w:r>
                </w:p>
              </w:tc>
              <w:tc>
                <w:tcPr>
                  <w:tcW w:w="307" w:type="pct"/>
                  <w:shd w:val="clear" w:color="auto" w:fill="auto"/>
                  <w:vAlign w:val="center"/>
                </w:tcPr>
                <w:p w14:paraId="4196B0B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0CB268F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6171A65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2.5</w:t>
                  </w:r>
                </w:p>
              </w:tc>
              <w:tc>
                <w:tcPr>
                  <w:tcW w:w="421" w:type="pct"/>
                  <w:shd w:val="clear" w:color="auto" w:fill="auto"/>
                  <w:vAlign w:val="center"/>
                </w:tcPr>
                <w:p w14:paraId="52148E33">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6058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4077F187">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31</w:t>
                  </w:r>
                </w:p>
              </w:tc>
              <w:tc>
                <w:tcPr>
                  <w:tcW w:w="619" w:type="pct"/>
                  <w:shd w:val="clear" w:color="auto" w:fill="auto"/>
                  <w:vAlign w:val="center"/>
                </w:tcPr>
                <w:p w14:paraId="49BCCBD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尾气冷冻箱</w:t>
                  </w:r>
                </w:p>
              </w:tc>
              <w:tc>
                <w:tcPr>
                  <w:tcW w:w="444" w:type="pct"/>
                  <w:shd w:val="clear" w:color="auto" w:fill="auto"/>
                  <w:vAlign w:val="center"/>
                </w:tcPr>
                <w:p w14:paraId="79DA10E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LDX100×600</w:t>
                  </w:r>
                </w:p>
              </w:tc>
              <w:tc>
                <w:tcPr>
                  <w:tcW w:w="2145" w:type="pct"/>
                  <w:shd w:val="clear" w:color="auto" w:fill="auto"/>
                  <w:vAlign w:val="center"/>
                </w:tcPr>
                <w:p w14:paraId="0832A15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材质：304，换热管材质：304，底部设置排液孔，冷媒管法兰连接，加观察视镜</w:t>
                  </w:r>
                </w:p>
              </w:tc>
              <w:tc>
                <w:tcPr>
                  <w:tcW w:w="307" w:type="pct"/>
                  <w:shd w:val="clear" w:color="auto" w:fill="auto"/>
                  <w:vAlign w:val="center"/>
                </w:tcPr>
                <w:p w14:paraId="3F92A48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236DB80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0186493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3.5</w:t>
                  </w:r>
                </w:p>
              </w:tc>
              <w:tc>
                <w:tcPr>
                  <w:tcW w:w="421" w:type="pct"/>
                  <w:shd w:val="clear" w:color="auto" w:fill="auto"/>
                  <w:vAlign w:val="center"/>
                </w:tcPr>
                <w:p w14:paraId="5B4F202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46D4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3036D98E">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32</w:t>
                  </w:r>
                </w:p>
              </w:tc>
              <w:tc>
                <w:tcPr>
                  <w:tcW w:w="619" w:type="pct"/>
                  <w:shd w:val="clear" w:color="auto" w:fill="auto"/>
                  <w:vAlign w:val="center"/>
                </w:tcPr>
                <w:p w14:paraId="08C35B3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平衡罐</w:t>
                  </w:r>
                </w:p>
              </w:tc>
              <w:tc>
                <w:tcPr>
                  <w:tcW w:w="444" w:type="pct"/>
                  <w:shd w:val="clear" w:color="auto" w:fill="auto"/>
                  <w:vAlign w:val="center"/>
                </w:tcPr>
                <w:p w14:paraId="5A5AC22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Φ1200×1500</w:t>
                  </w:r>
                </w:p>
              </w:tc>
              <w:tc>
                <w:tcPr>
                  <w:tcW w:w="2145" w:type="pct"/>
                  <w:shd w:val="clear" w:color="auto" w:fill="auto"/>
                  <w:vAlign w:val="center"/>
                </w:tcPr>
                <w:p w14:paraId="41EB60D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尾气平衡处理容器，内置不锈钢盘管及隔板材质：碳钢，板厚5mm</w:t>
                  </w:r>
                </w:p>
              </w:tc>
              <w:tc>
                <w:tcPr>
                  <w:tcW w:w="307" w:type="pct"/>
                  <w:shd w:val="clear" w:color="auto" w:fill="auto"/>
                  <w:vAlign w:val="center"/>
                </w:tcPr>
                <w:p w14:paraId="5C4D8E9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w:t>
                  </w:r>
                </w:p>
              </w:tc>
              <w:tc>
                <w:tcPr>
                  <w:tcW w:w="369" w:type="pct"/>
                  <w:shd w:val="clear" w:color="auto" w:fill="auto"/>
                  <w:vAlign w:val="center"/>
                </w:tcPr>
                <w:p w14:paraId="7F91185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38EF442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0.8</w:t>
                  </w:r>
                </w:p>
              </w:tc>
              <w:tc>
                <w:tcPr>
                  <w:tcW w:w="421" w:type="pct"/>
                  <w:shd w:val="clear" w:color="auto" w:fill="auto"/>
                  <w:vAlign w:val="center"/>
                </w:tcPr>
                <w:p w14:paraId="1728BC8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77C6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12E6101C">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33</w:t>
                  </w:r>
                </w:p>
              </w:tc>
              <w:tc>
                <w:tcPr>
                  <w:tcW w:w="619" w:type="pct"/>
                  <w:shd w:val="clear" w:color="auto" w:fill="auto"/>
                  <w:vAlign w:val="center"/>
                </w:tcPr>
                <w:p w14:paraId="51C8659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水环泵冷水罐</w:t>
                  </w:r>
                </w:p>
              </w:tc>
              <w:tc>
                <w:tcPr>
                  <w:tcW w:w="444" w:type="pct"/>
                  <w:shd w:val="clear" w:color="auto" w:fill="auto"/>
                  <w:vAlign w:val="center"/>
                </w:tcPr>
                <w:p w14:paraId="447823C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SG100</w:t>
                  </w:r>
                </w:p>
              </w:tc>
              <w:tc>
                <w:tcPr>
                  <w:tcW w:w="2145" w:type="pct"/>
                  <w:shd w:val="clear" w:color="auto" w:fill="auto"/>
                  <w:vAlign w:val="center"/>
                </w:tcPr>
                <w:p w14:paraId="15ED0FD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碳钢壳体，壳体壁厚5mm，带不锈钢冷却盘管</w:t>
                  </w:r>
                </w:p>
              </w:tc>
              <w:tc>
                <w:tcPr>
                  <w:tcW w:w="307" w:type="pct"/>
                  <w:shd w:val="clear" w:color="auto" w:fill="auto"/>
                  <w:vAlign w:val="center"/>
                </w:tcPr>
                <w:p w14:paraId="0A26AE0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7AE73D3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2794DCB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0.5</w:t>
                  </w:r>
                </w:p>
              </w:tc>
              <w:tc>
                <w:tcPr>
                  <w:tcW w:w="421" w:type="pct"/>
                  <w:shd w:val="clear" w:color="auto" w:fill="auto"/>
                  <w:vAlign w:val="center"/>
                </w:tcPr>
                <w:p w14:paraId="19D87E7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69CF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2041C852">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34</w:t>
                  </w:r>
                </w:p>
              </w:tc>
              <w:tc>
                <w:tcPr>
                  <w:tcW w:w="619" w:type="pct"/>
                  <w:shd w:val="clear" w:color="auto" w:fill="auto"/>
                  <w:vAlign w:val="center"/>
                </w:tcPr>
                <w:p w14:paraId="4DA6035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水环泵冷水罐</w:t>
                  </w:r>
                </w:p>
              </w:tc>
              <w:tc>
                <w:tcPr>
                  <w:tcW w:w="444" w:type="pct"/>
                  <w:shd w:val="clear" w:color="auto" w:fill="auto"/>
                  <w:vAlign w:val="center"/>
                </w:tcPr>
                <w:p w14:paraId="6590CC4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SG80</w:t>
                  </w:r>
                </w:p>
              </w:tc>
              <w:tc>
                <w:tcPr>
                  <w:tcW w:w="2145" w:type="pct"/>
                  <w:shd w:val="clear" w:color="auto" w:fill="auto"/>
                  <w:vAlign w:val="center"/>
                </w:tcPr>
                <w:p w14:paraId="5F672DC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碳钢壳体，壳体壁厚5mm，带不锈钢冷却盘管</w:t>
                  </w:r>
                </w:p>
              </w:tc>
              <w:tc>
                <w:tcPr>
                  <w:tcW w:w="307" w:type="pct"/>
                  <w:shd w:val="clear" w:color="auto" w:fill="auto"/>
                  <w:vAlign w:val="center"/>
                </w:tcPr>
                <w:p w14:paraId="1BCA66E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25EF0D1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0</w:t>
                  </w:r>
                </w:p>
              </w:tc>
              <w:tc>
                <w:tcPr>
                  <w:tcW w:w="411" w:type="pct"/>
                  <w:shd w:val="clear" w:color="auto" w:fill="auto"/>
                  <w:vAlign w:val="center"/>
                </w:tcPr>
                <w:p w14:paraId="396FD54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bidi="ar-SA"/>
                    </w:rPr>
                    <w:t>0.5</w:t>
                  </w:r>
                </w:p>
              </w:tc>
              <w:tc>
                <w:tcPr>
                  <w:tcW w:w="421" w:type="pct"/>
                  <w:shd w:val="clear" w:color="auto" w:fill="auto"/>
                  <w:vAlign w:val="center"/>
                </w:tcPr>
                <w:p w14:paraId="6DC1855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75FA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 w:type="pct"/>
                  <w:shd w:val="clear" w:color="auto" w:fill="auto"/>
                  <w:vAlign w:val="center"/>
                </w:tcPr>
                <w:p w14:paraId="46A96304">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35</w:t>
                  </w:r>
                </w:p>
              </w:tc>
              <w:tc>
                <w:tcPr>
                  <w:tcW w:w="619" w:type="pct"/>
                  <w:shd w:val="clear" w:color="auto" w:fill="auto"/>
                  <w:vAlign w:val="center"/>
                </w:tcPr>
                <w:p w14:paraId="769F77E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盘烘冷凝器</w:t>
                  </w:r>
                </w:p>
              </w:tc>
              <w:tc>
                <w:tcPr>
                  <w:tcW w:w="444" w:type="pct"/>
                  <w:shd w:val="clear" w:color="auto" w:fill="auto"/>
                  <w:vAlign w:val="center"/>
                </w:tcPr>
                <w:p w14:paraId="24A010F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LNQ300.0</w:t>
                  </w:r>
                </w:p>
              </w:tc>
              <w:tc>
                <w:tcPr>
                  <w:tcW w:w="2145" w:type="pct"/>
                  <w:shd w:val="clear" w:color="auto" w:fill="auto"/>
                  <w:vAlign w:val="center"/>
                </w:tcPr>
                <w:p w14:paraId="3DD1052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卧式列管冷凝器，换热面积300.平方，碳钢壳体，壳体壁厚6mm，换热管采用Φ25×1.5mm不锈钢管；换热管长度L=7000</w:t>
                  </w:r>
                </w:p>
              </w:tc>
              <w:tc>
                <w:tcPr>
                  <w:tcW w:w="307" w:type="pct"/>
                  <w:shd w:val="clear" w:color="auto" w:fill="auto"/>
                  <w:vAlign w:val="center"/>
                </w:tcPr>
                <w:p w14:paraId="7F6285C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2</w:t>
                  </w:r>
                </w:p>
              </w:tc>
              <w:tc>
                <w:tcPr>
                  <w:tcW w:w="369" w:type="pct"/>
                  <w:shd w:val="clear" w:color="auto" w:fill="auto"/>
                  <w:vAlign w:val="center"/>
                </w:tcPr>
                <w:p w14:paraId="56BEA2E9">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p>
              </w:tc>
              <w:tc>
                <w:tcPr>
                  <w:tcW w:w="411" w:type="pct"/>
                  <w:shd w:val="clear" w:color="auto" w:fill="auto"/>
                  <w:vAlign w:val="center"/>
                </w:tcPr>
                <w:p w14:paraId="5D137F7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42.0</w:t>
                  </w:r>
                </w:p>
              </w:tc>
              <w:tc>
                <w:tcPr>
                  <w:tcW w:w="421" w:type="pct"/>
                  <w:shd w:val="clear" w:color="auto" w:fill="auto"/>
                  <w:vAlign w:val="center"/>
                </w:tcPr>
                <w:p w14:paraId="1C805188">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p>
              </w:tc>
            </w:tr>
            <w:tr w14:paraId="5179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3775C4B8">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36</w:t>
                  </w:r>
                </w:p>
              </w:tc>
              <w:tc>
                <w:tcPr>
                  <w:tcW w:w="619" w:type="pct"/>
                  <w:shd w:val="clear" w:color="auto" w:fill="auto"/>
                  <w:vAlign w:val="center"/>
                </w:tcPr>
                <w:p w14:paraId="5B0C9E0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棉糖冷凝器</w:t>
                  </w:r>
                </w:p>
              </w:tc>
              <w:tc>
                <w:tcPr>
                  <w:tcW w:w="444" w:type="pct"/>
                  <w:shd w:val="clear" w:color="auto" w:fill="auto"/>
                  <w:vAlign w:val="center"/>
                </w:tcPr>
                <w:p w14:paraId="5A9030C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LNQ200.0</w:t>
                  </w:r>
                </w:p>
              </w:tc>
              <w:tc>
                <w:tcPr>
                  <w:tcW w:w="2145" w:type="pct"/>
                  <w:shd w:val="clear" w:color="auto" w:fill="auto"/>
                  <w:vAlign w:val="center"/>
                </w:tcPr>
                <w:p w14:paraId="5A1788F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卧式列管冷凝器，换热面积200平方，碳钢壳体，壳体壁厚6mm，换热管采用Φ25×1.5mm不锈钢管；换热管长度L=7000</w:t>
                  </w:r>
                </w:p>
              </w:tc>
              <w:tc>
                <w:tcPr>
                  <w:tcW w:w="307" w:type="pct"/>
                  <w:shd w:val="clear" w:color="auto" w:fill="auto"/>
                  <w:vAlign w:val="center"/>
                </w:tcPr>
                <w:p w14:paraId="6FEFB4C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w:t>
                  </w:r>
                </w:p>
              </w:tc>
              <w:tc>
                <w:tcPr>
                  <w:tcW w:w="369" w:type="pct"/>
                  <w:shd w:val="clear" w:color="auto" w:fill="auto"/>
                  <w:vAlign w:val="center"/>
                </w:tcPr>
                <w:p w14:paraId="69EC9A7B">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p>
              </w:tc>
              <w:tc>
                <w:tcPr>
                  <w:tcW w:w="411" w:type="pct"/>
                  <w:shd w:val="clear" w:color="auto" w:fill="auto"/>
                  <w:vAlign w:val="center"/>
                </w:tcPr>
                <w:p w14:paraId="5F00451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14.0</w:t>
                  </w:r>
                </w:p>
              </w:tc>
              <w:tc>
                <w:tcPr>
                  <w:tcW w:w="421" w:type="pct"/>
                  <w:shd w:val="clear" w:color="auto" w:fill="auto"/>
                  <w:vAlign w:val="center"/>
                </w:tcPr>
                <w:p w14:paraId="46070461">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p>
              </w:tc>
            </w:tr>
            <w:tr w14:paraId="516B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81" w:type="pct"/>
                  <w:shd w:val="clear" w:color="auto" w:fill="auto"/>
                  <w:vAlign w:val="center"/>
                </w:tcPr>
                <w:p w14:paraId="74B06A33">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37</w:t>
                  </w:r>
                </w:p>
              </w:tc>
              <w:tc>
                <w:tcPr>
                  <w:tcW w:w="619" w:type="pct"/>
                  <w:shd w:val="clear" w:color="auto" w:fill="auto"/>
                  <w:vAlign w:val="center"/>
                </w:tcPr>
                <w:p w14:paraId="39E03C4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最后冷凝器</w:t>
                  </w:r>
                </w:p>
              </w:tc>
              <w:tc>
                <w:tcPr>
                  <w:tcW w:w="444" w:type="pct"/>
                  <w:shd w:val="clear" w:color="auto" w:fill="auto"/>
                  <w:vAlign w:val="center"/>
                </w:tcPr>
                <w:p w14:paraId="0BBB89AF">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LNQ200.0</w:t>
                  </w:r>
                </w:p>
              </w:tc>
              <w:tc>
                <w:tcPr>
                  <w:tcW w:w="2145" w:type="pct"/>
                  <w:shd w:val="clear" w:color="auto" w:fill="auto"/>
                  <w:vAlign w:val="center"/>
                </w:tcPr>
                <w:p w14:paraId="163C37B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val="en-US" w:eastAsia="zh-CN"/>
                    </w:rPr>
                    <w:t>卧式列管冷凝器，换热面积200.平方，碳钢壳体，壳体壁厚6mm，换热管采用Φ25×1.5mm不锈钢管；换热管长度L=7000</w:t>
                  </w:r>
                </w:p>
              </w:tc>
              <w:tc>
                <w:tcPr>
                  <w:tcW w:w="307" w:type="pct"/>
                  <w:shd w:val="clear" w:color="auto" w:fill="auto"/>
                  <w:vAlign w:val="center"/>
                </w:tcPr>
                <w:p w14:paraId="02214C90">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369" w:type="pct"/>
                  <w:shd w:val="clear" w:color="auto" w:fill="auto"/>
                  <w:vAlign w:val="center"/>
                </w:tcPr>
                <w:p w14:paraId="42AF2E7C">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c>
                <w:tcPr>
                  <w:tcW w:w="411" w:type="pct"/>
                  <w:shd w:val="clear" w:color="auto" w:fill="auto"/>
                  <w:vAlign w:val="center"/>
                </w:tcPr>
                <w:p w14:paraId="72FA551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14.0</w:t>
                  </w:r>
                </w:p>
              </w:tc>
              <w:tc>
                <w:tcPr>
                  <w:tcW w:w="421" w:type="pct"/>
                  <w:shd w:val="clear" w:color="auto" w:fill="auto"/>
                  <w:vAlign w:val="center"/>
                </w:tcPr>
                <w:p w14:paraId="262B7A84">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Arial" w:cs="Times New Roman"/>
                      <w:snapToGrid w:val="0"/>
                      <w:color w:val="000000"/>
                      <w:kern w:val="0"/>
                      <w:sz w:val="21"/>
                      <w:szCs w:val="21"/>
                      <w:lang w:eastAsia="en-US"/>
                    </w:rPr>
                  </w:pPr>
                </w:p>
              </w:tc>
            </w:tr>
            <w:tr w14:paraId="52F6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shd w:val="clear" w:color="auto" w:fill="auto"/>
                  <w:vAlign w:val="center"/>
                </w:tcPr>
                <w:p w14:paraId="4B3791AE">
                  <w:pPr>
                    <w:keepNext w:val="0"/>
                    <w:keepLines w:val="0"/>
                    <w:pageBreakBefore w:val="0"/>
                    <w:widowControl/>
                    <w:numPr>
                      <w:ilvl w:val="0"/>
                      <w:numId w:val="0"/>
                    </w:numPr>
                    <w:kinsoku/>
                    <w:wordWrap w:val="0"/>
                    <w:overflowPunct/>
                    <w:topLinePunct w:val="0"/>
                    <w:autoSpaceDE/>
                    <w:autoSpaceDN/>
                    <w:bidi w:val="0"/>
                    <w:adjustRightInd w:val="0"/>
                    <w:snapToGrid w:val="0"/>
                    <w:spacing w:line="240" w:lineRule="auto"/>
                    <w:ind w:leftChars="0"/>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38</w:t>
                  </w:r>
                </w:p>
              </w:tc>
              <w:tc>
                <w:tcPr>
                  <w:tcW w:w="619" w:type="pct"/>
                  <w:shd w:val="clear" w:color="auto" w:fill="auto"/>
                  <w:vAlign w:val="center"/>
                </w:tcPr>
                <w:p w14:paraId="66CFCDD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干燥塔脱溶塔</w:t>
                  </w:r>
                </w:p>
              </w:tc>
              <w:tc>
                <w:tcPr>
                  <w:tcW w:w="444" w:type="pct"/>
                  <w:shd w:val="clear" w:color="auto" w:fill="auto"/>
                  <w:vAlign w:val="center"/>
                </w:tcPr>
                <w:p w14:paraId="3CE77956">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YGZT60/200</w:t>
                  </w:r>
                </w:p>
              </w:tc>
              <w:tc>
                <w:tcPr>
                  <w:tcW w:w="2145" w:type="pct"/>
                  <w:shd w:val="clear" w:color="auto" w:fill="auto"/>
                  <w:vAlign w:val="center"/>
                </w:tcPr>
                <w:p w14:paraId="28A1D7A7">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组合式干燥塔，2层结构，顶部采用汽提碟盘及鲍尔环填料，底部</w:t>
                  </w:r>
                  <w:r>
                    <w:rPr>
                      <w:rFonts w:hint="eastAsia" w:cs="Times New Roman"/>
                      <w:snapToGrid w:val="0"/>
                      <w:color w:val="000000"/>
                      <w:kern w:val="0"/>
                      <w:sz w:val="21"/>
                      <w:szCs w:val="21"/>
                      <w:lang w:val="en-US" w:eastAsia="zh-CN"/>
                    </w:rPr>
                    <w:t>设置</w:t>
                  </w:r>
                  <w:r>
                    <w:rPr>
                      <w:rFonts w:hint="default" w:ascii="Times New Roman" w:hAnsi="Times New Roman" w:eastAsia="宋体" w:cs="Times New Roman"/>
                      <w:snapToGrid w:val="0"/>
                      <w:color w:val="000000"/>
                      <w:kern w:val="0"/>
                      <w:sz w:val="21"/>
                      <w:szCs w:val="21"/>
                      <w:lang w:val="en-US" w:eastAsia="zh-CN"/>
                    </w:rPr>
                    <w:t>3层板式塔。碳钢壳体，壳体壁厚8mm，外置加强筋，汽提碟盘采用3mm不锈钢板冲压成型，猛犸泵喷头采用不锈钢</w:t>
                  </w:r>
                  <w:r>
                    <w:rPr>
                      <w:rFonts w:hint="eastAsia" w:cs="Times New Roman"/>
                      <w:snapToGrid w:val="0"/>
                      <w:color w:val="000000"/>
                      <w:kern w:val="0"/>
                      <w:sz w:val="21"/>
                      <w:szCs w:val="21"/>
                      <w:lang w:val="en-US" w:eastAsia="zh-CN"/>
                    </w:rPr>
                    <w:t>制作</w:t>
                  </w:r>
                  <w:r>
                    <w:rPr>
                      <w:rFonts w:hint="default" w:ascii="Times New Roman" w:hAnsi="Times New Roman" w:eastAsia="宋体" w:cs="Times New Roman"/>
                      <w:snapToGrid w:val="0"/>
                      <w:color w:val="000000"/>
                      <w:kern w:val="0"/>
                      <w:sz w:val="21"/>
                      <w:szCs w:val="21"/>
                      <w:lang w:val="en-US" w:eastAsia="zh-CN"/>
                    </w:rPr>
                    <w:t>。精炼车间使用</w:t>
                  </w:r>
                </w:p>
              </w:tc>
              <w:tc>
                <w:tcPr>
                  <w:tcW w:w="307" w:type="pct"/>
                  <w:shd w:val="clear" w:color="auto" w:fill="auto"/>
                  <w:vAlign w:val="center"/>
                </w:tcPr>
                <w:p w14:paraId="50BB825A">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1</w:t>
                  </w:r>
                </w:p>
              </w:tc>
              <w:tc>
                <w:tcPr>
                  <w:tcW w:w="369" w:type="pct"/>
                  <w:shd w:val="clear" w:color="auto" w:fill="auto"/>
                  <w:vAlign w:val="center"/>
                </w:tcPr>
                <w:p w14:paraId="28C374D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p>
              </w:tc>
              <w:tc>
                <w:tcPr>
                  <w:tcW w:w="411" w:type="pct"/>
                  <w:shd w:val="clear" w:color="auto" w:fill="auto"/>
                  <w:vAlign w:val="center"/>
                </w:tcPr>
                <w:p w14:paraId="56DA170E">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6.5</w:t>
                  </w:r>
                </w:p>
              </w:tc>
              <w:tc>
                <w:tcPr>
                  <w:tcW w:w="421" w:type="pct"/>
                  <w:shd w:val="clear" w:color="auto" w:fill="auto"/>
                  <w:vAlign w:val="center"/>
                </w:tcPr>
                <w:p w14:paraId="6394B20D">
                  <w:pPr>
                    <w:keepNext w:val="0"/>
                    <w:keepLines w:val="0"/>
                    <w:pageBreakBefore w:val="0"/>
                    <w:widowControl/>
                    <w:kinsoku/>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p>
              </w:tc>
            </w:tr>
          </w:tbl>
          <w:p w14:paraId="043F32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b w:val="0"/>
                <w:bCs/>
                <w:snapToGrid w:val="0"/>
                <w:color w:val="000000"/>
                <w:kern w:val="0"/>
                <w:sz w:val="21"/>
                <w:szCs w:val="21"/>
                <w:u w:val="none"/>
                <w:lang w:val="en-US" w:eastAsia="zh-CN"/>
              </w:rPr>
            </w:pPr>
            <w:r>
              <w:rPr>
                <w:rFonts w:hint="eastAsia" w:ascii="黑体" w:hAnsi="黑体" w:eastAsia="黑体" w:cs="黑体"/>
                <w:b w:val="0"/>
                <w:bCs/>
                <w:snapToGrid w:val="0"/>
                <w:color w:val="000000"/>
                <w:kern w:val="0"/>
                <w:sz w:val="21"/>
                <w:szCs w:val="21"/>
                <w:u w:val="none"/>
                <w:lang w:val="en-US" w:eastAsia="zh-CN"/>
              </w:rPr>
              <w:t>表2-4   粉碎包装车间自制</w:t>
            </w:r>
            <w:r>
              <w:rPr>
                <w:rFonts w:hint="eastAsia" w:ascii="黑体" w:hAnsi="黑体" w:eastAsia="黑体" w:cs="黑体"/>
                <w:b w:val="0"/>
                <w:bCs/>
                <w:snapToGrid w:val="0"/>
                <w:color w:val="000000"/>
                <w:kern w:val="0"/>
                <w:sz w:val="21"/>
                <w:szCs w:val="21"/>
                <w:u w:val="none"/>
                <w:lang w:eastAsia="en-US"/>
              </w:rPr>
              <w:t>设备清单</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735"/>
              <w:gridCol w:w="976"/>
              <w:gridCol w:w="2708"/>
              <w:gridCol w:w="444"/>
              <w:gridCol w:w="695"/>
              <w:gridCol w:w="807"/>
              <w:gridCol w:w="689"/>
            </w:tblGrid>
            <w:tr w14:paraId="165C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29EFFBCF">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序号</w:t>
                  </w:r>
                </w:p>
              </w:tc>
              <w:tc>
                <w:tcPr>
                  <w:tcW w:w="488" w:type="pct"/>
                  <w:shd w:val="clear" w:color="auto" w:fill="auto"/>
                  <w:vAlign w:val="center"/>
                </w:tcPr>
                <w:p w14:paraId="33B2E8ED">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设备名称</w:t>
                  </w:r>
                </w:p>
              </w:tc>
              <w:tc>
                <w:tcPr>
                  <w:tcW w:w="648" w:type="pct"/>
                  <w:shd w:val="clear" w:color="auto" w:fill="auto"/>
                  <w:vAlign w:val="center"/>
                </w:tcPr>
                <w:p w14:paraId="49198D99">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规格型号</w:t>
                  </w:r>
                </w:p>
              </w:tc>
              <w:tc>
                <w:tcPr>
                  <w:tcW w:w="1799" w:type="pct"/>
                  <w:shd w:val="clear" w:color="auto" w:fill="auto"/>
                  <w:vAlign w:val="center"/>
                </w:tcPr>
                <w:p w14:paraId="0C007392">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性能描述</w:t>
                  </w:r>
                </w:p>
              </w:tc>
              <w:tc>
                <w:tcPr>
                  <w:tcW w:w="295" w:type="pct"/>
                  <w:shd w:val="clear" w:color="auto" w:fill="auto"/>
                  <w:vAlign w:val="center"/>
                </w:tcPr>
                <w:p w14:paraId="5E57E85B">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数量</w:t>
                  </w:r>
                </w:p>
              </w:tc>
              <w:tc>
                <w:tcPr>
                  <w:tcW w:w="462" w:type="pct"/>
                  <w:shd w:val="clear" w:color="auto" w:fill="auto"/>
                  <w:vAlign w:val="center"/>
                </w:tcPr>
                <w:p w14:paraId="35B13EF1">
                  <w:pPr>
                    <w:keepNext w:val="0"/>
                    <w:keepLines w:val="0"/>
                    <w:pageBreakBefore w:val="0"/>
                    <w:widowControl/>
                    <w:kinsoku w:val="0"/>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动力</w:t>
                  </w:r>
                </w:p>
                <w:p w14:paraId="751EA14F">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kW</w:t>
                  </w:r>
                </w:p>
              </w:tc>
              <w:tc>
                <w:tcPr>
                  <w:tcW w:w="536" w:type="pct"/>
                  <w:shd w:val="clear" w:color="auto" w:fill="auto"/>
                  <w:vAlign w:val="center"/>
                </w:tcPr>
                <w:p w14:paraId="6C75673B">
                  <w:pPr>
                    <w:keepNext w:val="0"/>
                    <w:keepLines w:val="0"/>
                    <w:pageBreakBefore w:val="0"/>
                    <w:widowControl/>
                    <w:kinsoku w:val="0"/>
                    <w:wordWrap w:val="0"/>
                    <w:overflowPunct/>
                    <w:topLinePunct w:val="0"/>
                    <w:autoSpaceDE/>
                    <w:autoSpaceDN/>
                    <w:bidi w:val="0"/>
                    <w:adjustRightInd w:val="0"/>
                    <w:snapToGrid w:val="0"/>
                    <w:spacing w:line="240" w:lineRule="auto"/>
                    <w:ind w:left="0" w:firstLine="0"/>
                    <w:jc w:val="center"/>
                    <w:textAlignment w:val="baseline"/>
                    <w:rPr>
                      <w:rFonts w:hint="default" w:ascii="Times New Roman" w:hAnsi="Times New Roman" w:eastAsia="宋体" w:cs="Times New Roman"/>
                      <w:snapToGrid w:val="0"/>
                      <w:color w:val="000000"/>
                      <w:kern w:val="0"/>
                      <w:sz w:val="21"/>
                      <w:szCs w:val="21"/>
                      <w:lang w:eastAsia="en-US"/>
                    </w:rPr>
                  </w:pPr>
                  <w:r>
                    <w:rPr>
                      <w:rFonts w:hint="default" w:ascii="Times New Roman" w:hAnsi="Times New Roman" w:eastAsia="宋体" w:cs="Times New Roman"/>
                      <w:snapToGrid w:val="0"/>
                      <w:color w:val="000000"/>
                      <w:kern w:val="0"/>
                      <w:sz w:val="21"/>
                      <w:szCs w:val="21"/>
                      <w:lang w:eastAsia="en-US"/>
                    </w:rPr>
                    <w:t>价格</w:t>
                  </w:r>
                </w:p>
                <w:p w14:paraId="2230427E">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万元</w:t>
                  </w:r>
                </w:p>
              </w:tc>
              <w:tc>
                <w:tcPr>
                  <w:tcW w:w="458" w:type="pct"/>
                  <w:shd w:val="clear" w:color="auto" w:fill="auto"/>
                  <w:vAlign w:val="center"/>
                </w:tcPr>
                <w:p w14:paraId="421EA0A6">
                  <w:pPr>
                    <w:keepNext w:val="0"/>
                    <w:keepLines w:val="0"/>
                    <w:pageBreakBefore w:val="0"/>
                    <w:widowControl/>
                    <w:kinsoku w:val="0"/>
                    <w:wordWrap w:val="0"/>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备注</w:t>
                  </w:r>
                </w:p>
              </w:tc>
            </w:tr>
            <w:tr w14:paraId="1842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01CE68E5">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w:t>
                  </w:r>
                </w:p>
              </w:tc>
              <w:tc>
                <w:tcPr>
                  <w:tcW w:w="488" w:type="pct"/>
                  <w:vAlign w:val="center"/>
                </w:tcPr>
                <w:p w14:paraId="4AA1363B">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除尘绞龙</w:t>
                  </w:r>
                </w:p>
              </w:tc>
              <w:tc>
                <w:tcPr>
                  <w:tcW w:w="648" w:type="pct"/>
                  <w:vAlign w:val="center"/>
                </w:tcPr>
                <w:p w14:paraId="076311B6">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LSS21.9</w:t>
                  </w:r>
                </w:p>
              </w:tc>
              <w:tc>
                <w:tcPr>
                  <w:tcW w:w="1799" w:type="pct"/>
                  <w:vAlign w:val="center"/>
                </w:tcPr>
                <w:p w14:paraId="3B60B171">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绞龙壳体4mm，叶片4mm，绞龙材质Q235，长度L=4米，出料端2D料封段</w:t>
                  </w:r>
                </w:p>
              </w:tc>
              <w:tc>
                <w:tcPr>
                  <w:tcW w:w="295" w:type="pct"/>
                  <w:vAlign w:val="center"/>
                </w:tcPr>
                <w:p w14:paraId="0B57EC33">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462" w:type="pct"/>
                  <w:vAlign w:val="center"/>
                </w:tcPr>
                <w:p w14:paraId="55F9830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2.2</w:t>
                  </w:r>
                </w:p>
              </w:tc>
              <w:tc>
                <w:tcPr>
                  <w:tcW w:w="536" w:type="pct"/>
                  <w:vAlign w:val="center"/>
                </w:tcPr>
                <w:p w14:paraId="269A8566">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0.6</w:t>
                  </w:r>
                </w:p>
              </w:tc>
              <w:tc>
                <w:tcPr>
                  <w:tcW w:w="458" w:type="pct"/>
                  <w:vAlign w:val="center"/>
                </w:tcPr>
                <w:p w14:paraId="486843CC">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7E66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10" w:type="pct"/>
                  <w:shd w:val="clear" w:color="auto" w:fill="auto"/>
                  <w:vAlign w:val="center"/>
                </w:tcPr>
                <w:p w14:paraId="21B3224E">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2</w:t>
                  </w:r>
                </w:p>
              </w:tc>
              <w:tc>
                <w:tcPr>
                  <w:tcW w:w="488" w:type="pct"/>
                  <w:vAlign w:val="center"/>
                </w:tcPr>
                <w:p w14:paraId="36530917">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出料埋刮板</w:t>
                  </w:r>
                </w:p>
              </w:tc>
              <w:tc>
                <w:tcPr>
                  <w:tcW w:w="648" w:type="pct"/>
                  <w:vAlign w:val="center"/>
                </w:tcPr>
                <w:p w14:paraId="4BAF0357">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MS32</w:t>
                  </w:r>
                </w:p>
              </w:tc>
              <w:tc>
                <w:tcPr>
                  <w:tcW w:w="1799" w:type="pct"/>
                  <w:vAlign w:val="center"/>
                </w:tcPr>
                <w:p w14:paraId="4982A817">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现场改造，弯曲段力邦制作（测量准确尺寸出图），减速机使用原有</w:t>
                  </w:r>
                  <w:r>
                    <w:rPr>
                      <w:rFonts w:hint="eastAsia" w:ascii="Times New Roman" w:hAnsi="Times New Roman"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粉尘防爆电机</w:t>
                  </w:r>
                </w:p>
              </w:tc>
              <w:tc>
                <w:tcPr>
                  <w:tcW w:w="295" w:type="pct"/>
                  <w:vAlign w:val="center"/>
                </w:tcPr>
                <w:p w14:paraId="5F44F799">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462" w:type="pct"/>
                  <w:vAlign w:val="center"/>
                </w:tcPr>
                <w:p w14:paraId="67838F5B">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4.0</w:t>
                  </w:r>
                </w:p>
              </w:tc>
              <w:tc>
                <w:tcPr>
                  <w:tcW w:w="536" w:type="pct"/>
                  <w:vAlign w:val="center"/>
                </w:tcPr>
                <w:p w14:paraId="4D65044C">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0.6</w:t>
                  </w:r>
                </w:p>
              </w:tc>
              <w:tc>
                <w:tcPr>
                  <w:tcW w:w="458" w:type="pct"/>
                  <w:vAlign w:val="center"/>
                </w:tcPr>
                <w:p w14:paraId="1A351B61">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093C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151C909B">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3</w:t>
                  </w:r>
                </w:p>
              </w:tc>
              <w:tc>
                <w:tcPr>
                  <w:tcW w:w="488" w:type="pct"/>
                  <w:vAlign w:val="center"/>
                </w:tcPr>
                <w:p w14:paraId="02A7976D">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磨粉机出料绞龙</w:t>
                  </w:r>
                </w:p>
              </w:tc>
              <w:tc>
                <w:tcPr>
                  <w:tcW w:w="648" w:type="pct"/>
                  <w:vAlign w:val="center"/>
                </w:tcPr>
                <w:p w14:paraId="3089F61E">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LSS32</w:t>
                  </w:r>
                </w:p>
              </w:tc>
              <w:tc>
                <w:tcPr>
                  <w:tcW w:w="1799" w:type="pct"/>
                  <w:vAlign w:val="center"/>
                </w:tcPr>
                <w:p w14:paraId="4258857E">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粉尘防爆，长度9米</w:t>
                  </w:r>
                  <w:r>
                    <w:rPr>
                      <w:rFonts w:hint="eastAsia"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设置正反叶片</w:t>
                  </w:r>
                </w:p>
              </w:tc>
              <w:tc>
                <w:tcPr>
                  <w:tcW w:w="295" w:type="pct"/>
                  <w:vAlign w:val="center"/>
                </w:tcPr>
                <w:p w14:paraId="777C2D1A">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462" w:type="pct"/>
                  <w:vAlign w:val="center"/>
                </w:tcPr>
                <w:p w14:paraId="30B7279D">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36" w:type="pct"/>
                  <w:vAlign w:val="center"/>
                </w:tcPr>
                <w:p w14:paraId="0E2A88D1">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1.2</w:t>
                  </w:r>
                </w:p>
              </w:tc>
              <w:tc>
                <w:tcPr>
                  <w:tcW w:w="458" w:type="pct"/>
                  <w:vAlign w:val="center"/>
                </w:tcPr>
                <w:p w14:paraId="7C1C03F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0C79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30333387">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4</w:t>
                  </w:r>
                </w:p>
              </w:tc>
              <w:tc>
                <w:tcPr>
                  <w:tcW w:w="488" w:type="pct"/>
                  <w:vAlign w:val="center"/>
                </w:tcPr>
                <w:p w14:paraId="1D8916F4">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提升机</w:t>
                  </w:r>
                </w:p>
              </w:tc>
              <w:tc>
                <w:tcPr>
                  <w:tcW w:w="648" w:type="pct"/>
                  <w:shd w:val="clear" w:color="auto" w:fill="auto"/>
                  <w:vAlign w:val="center"/>
                </w:tcPr>
                <w:p w14:paraId="0F0A992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DT41/33</w:t>
                  </w:r>
                </w:p>
              </w:tc>
              <w:tc>
                <w:tcPr>
                  <w:tcW w:w="1799" w:type="pct"/>
                  <w:shd w:val="clear" w:color="auto" w:fill="auto"/>
                  <w:vAlign w:val="center"/>
                </w:tcPr>
                <w:p w14:paraId="18701ECB">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提升带选用8层强力帆布带，畚斗D3321选用高密度聚乙烯畚斗，不含塑化剂</w:t>
                  </w:r>
                  <w:r>
                    <w:rPr>
                      <w:rFonts w:hint="eastAsia" w:ascii="Times New Roman" w:hAnsi="Times New Roman"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机尾+标准节高度10米</w:t>
                  </w:r>
                </w:p>
              </w:tc>
              <w:tc>
                <w:tcPr>
                  <w:tcW w:w="295" w:type="pct"/>
                  <w:shd w:val="clear" w:color="auto" w:fill="auto"/>
                  <w:vAlign w:val="center"/>
                </w:tcPr>
                <w:p w14:paraId="50E5DCD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462" w:type="pct"/>
                  <w:shd w:val="clear" w:color="auto" w:fill="auto"/>
                  <w:vAlign w:val="center"/>
                </w:tcPr>
                <w:p w14:paraId="286C416E">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5.5</w:t>
                  </w:r>
                </w:p>
              </w:tc>
              <w:tc>
                <w:tcPr>
                  <w:tcW w:w="536" w:type="pct"/>
                  <w:shd w:val="clear" w:color="auto" w:fill="auto"/>
                  <w:vAlign w:val="center"/>
                </w:tcPr>
                <w:p w14:paraId="214DD559">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2"/>
                      <w:sz w:val="21"/>
                      <w:szCs w:val="21"/>
                      <w:lang w:val="en-US" w:eastAsia="zh-CN" w:bidi="ar-SA"/>
                    </w:rPr>
                    <w:t>2.8</w:t>
                  </w:r>
                </w:p>
              </w:tc>
              <w:tc>
                <w:tcPr>
                  <w:tcW w:w="458" w:type="pct"/>
                  <w:vAlign w:val="center"/>
                </w:tcPr>
                <w:p w14:paraId="63D16853">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7E8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275BA9F3">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5</w:t>
                  </w:r>
                </w:p>
              </w:tc>
              <w:tc>
                <w:tcPr>
                  <w:tcW w:w="488" w:type="pct"/>
                  <w:vAlign w:val="center"/>
                </w:tcPr>
                <w:p w14:paraId="5EC9DE6C">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喂料绞龙</w:t>
                  </w:r>
                </w:p>
              </w:tc>
              <w:tc>
                <w:tcPr>
                  <w:tcW w:w="648" w:type="pct"/>
                  <w:vAlign w:val="center"/>
                </w:tcPr>
                <w:p w14:paraId="53767D65">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val="en-US" w:eastAsia="zh-CN"/>
                    </w:rPr>
                    <w:t>LSS25</w:t>
                  </w:r>
                </w:p>
              </w:tc>
              <w:tc>
                <w:tcPr>
                  <w:tcW w:w="1799" w:type="pct"/>
                  <w:vAlign w:val="center"/>
                </w:tcPr>
                <w:p w14:paraId="4CF0EB94">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粉尘防爆</w:t>
                  </w:r>
                  <w:r>
                    <w:rPr>
                      <w:rFonts w:hint="default" w:ascii="Times New Roman" w:hAnsi="Times New Roman" w:eastAsia="Arial" w:cs="Times New Roman"/>
                      <w:snapToGrid w:val="0"/>
                      <w:color w:val="000000"/>
                      <w:kern w:val="0"/>
                      <w:sz w:val="21"/>
                      <w:szCs w:val="21"/>
                      <w:lang w:eastAsia="en-US"/>
                    </w:rPr>
                    <w:t>电机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长度4.5米</w:t>
                  </w:r>
                </w:p>
              </w:tc>
              <w:tc>
                <w:tcPr>
                  <w:tcW w:w="295" w:type="pct"/>
                  <w:vAlign w:val="center"/>
                </w:tcPr>
                <w:p w14:paraId="135624BA">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462" w:type="pct"/>
                  <w:vAlign w:val="center"/>
                </w:tcPr>
                <w:p w14:paraId="2F2C6361">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3</w:t>
                  </w:r>
                </w:p>
              </w:tc>
              <w:tc>
                <w:tcPr>
                  <w:tcW w:w="536" w:type="pct"/>
                  <w:vAlign w:val="center"/>
                </w:tcPr>
                <w:p w14:paraId="028FBA9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0.7</w:t>
                  </w:r>
                </w:p>
              </w:tc>
              <w:tc>
                <w:tcPr>
                  <w:tcW w:w="458" w:type="pct"/>
                  <w:vAlign w:val="center"/>
                </w:tcPr>
                <w:p w14:paraId="140D9C78">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BFA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1391E35A">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6</w:t>
                  </w:r>
                </w:p>
              </w:tc>
              <w:tc>
                <w:tcPr>
                  <w:tcW w:w="488" w:type="pct"/>
                  <w:vAlign w:val="center"/>
                </w:tcPr>
                <w:p w14:paraId="12BD8140">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成品绞龙</w:t>
                  </w:r>
                </w:p>
              </w:tc>
              <w:tc>
                <w:tcPr>
                  <w:tcW w:w="648" w:type="pct"/>
                  <w:vAlign w:val="center"/>
                </w:tcPr>
                <w:p w14:paraId="2E1A79FD">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LSS32</w:t>
                  </w:r>
                </w:p>
              </w:tc>
              <w:tc>
                <w:tcPr>
                  <w:tcW w:w="1799" w:type="pct"/>
                  <w:vAlign w:val="center"/>
                </w:tcPr>
                <w:p w14:paraId="6D181507">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粉尘防爆，长度10.5米</w:t>
                  </w:r>
                  <w:r>
                    <w:rPr>
                      <w:rFonts w:hint="eastAsia" w:ascii="Times New Roman" w:hAnsi="Times New Roman"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设置正反叶片</w:t>
                  </w:r>
                </w:p>
              </w:tc>
              <w:tc>
                <w:tcPr>
                  <w:tcW w:w="295" w:type="pct"/>
                  <w:vAlign w:val="center"/>
                </w:tcPr>
                <w:p w14:paraId="7F942E51">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462" w:type="pct"/>
                  <w:vAlign w:val="center"/>
                </w:tcPr>
                <w:p w14:paraId="0D669E46">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4</w:t>
                  </w:r>
                </w:p>
              </w:tc>
              <w:tc>
                <w:tcPr>
                  <w:tcW w:w="536" w:type="pct"/>
                  <w:vAlign w:val="center"/>
                </w:tcPr>
                <w:p w14:paraId="5207694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1.4</w:t>
                  </w:r>
                </w:p>
              </w:tc>
              <w:tc>
                <w:tcPr>
                  <w:tcW w:w="458" w:type="pct"/>
                  <w:vAlign w:val="center"/>
                </w:tcPr>
                <w:p w14:paraId="5499A07D">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47B6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39D467DE">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7</w:t>
                  </w:r>
                </w:p>
              </w:tc>
              <w:tc>
                <w:tcPr>
                  <w:tcW w:w="488" w:type="pct"/>
                  <w:vAlign w:val="center"/>
                </w:tcPr>
                <w:p w14:paraId="5B9B0EC4">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出杂绞龙</w:t>
                  </w:r>
                </w:p>
              </w:tc>
              <w:tc>
                <w:tcPr>
                  <w:tcW w:w="648" w:type="pct"/>
                  <w:vAlign w:val="center"/>
                </w:tcPr>
                <w:p w14:paraId="3040A1B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r>
                    <w:rPr>
                      <w:rFonts w:hint="default" w:ascii="Times New Roman" w:hAnsi="Times New Roman" w:eastAsia="Arial" w:cs="Times New Roman"/>
                      <w:snapToGrid w:val="0"/>
                      <w:color w:val="000000"/>
                      <w:kern w:val="0"/>
                      <w:sz w:val="21"/>
                      <w:szCs w:val="21"/>
                      <w:lang w:val="en-US" w:eastAsia="zh-CN"/>
                    </w:rPr>
                    <w:t>LSS20</w:t>
                  </w:r>
                </w:p>
              </w:tc>
              <w:tc>
                <w:tcPr>
                  <w:tcW w:w="1799" w:type="pct"/>
                  <w:vAlign w:val="center"/>
                </w:tcPr>
                <w:p w14:paraId="07F1A9A4">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lang w:val="en-US" w:eastAsia="en-US"/>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5</w:t>
                  </w:r>
                  <w:r>
                    <w:rPr>
                      <w:rFonts w:hint="default" w:ascii="Times New Roman" w:hAnsi="Times New Roman" w:eastAsia="Arial" w:cs="Times New Roman"/>
                      <w:snapToGrid w:val="0"/>
                      <w:color w:val="000000"/>
                      <w:kern w:val="0"/>
                      <w:sz w:val="21"/>
                      <w:szCs w:val="21"/>
                      <w:lang w:eastAsia="en-US"/>
                    </w:rPr>
                    <w:t>mm、壳体4mm、硬齿面减速机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粉尘防爆</w:t>
                  </w:r>
                  <w:r>
                    <w:rPr>
                      <w:rFonts w:hint="default" w:ascii="Times New Roman" w:hAnsi="Times New Roman" w:eastAsia="Arial" w:cs="Times New Roman"/>
                      <w:snapToGrid w:val="0"/>
                      <w:color w:val="000000"/>
                      <w:kern w:val="0"/>
                      <w:sz w:val="21"/>
                      <w:szCs w:val="21"/>
                      <w:lang w:eastAsia="en-US"/>
                    </w:rPr>
                    <w:t>电机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长度3米</w:t>
                  </w:r>
                  <w:r>
                    <w:rPr>
                      <w:rFonts w:hint="eastAsia"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绞龙壳体带1米长筛网，筛网孔2mm</w:t>
                  </w:r>
                </w:p>
              </w:tc>
              <w:tc>
                <w:tcPr>
                  <w:tcW w:w="295" w:type="pct"/>
                  <w:vAlign w:val="center"/>
                </w:tcPr>
                <w:p w14:paraId="74EC9944">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1</w:t>
                  </w:r>
                </w:p>
              </w:tc>
              <w:tc>
                <w:tcPr>
                  <w:tcW w:w="462" w:type="pct"/>
                  <w:vAlign w:val="center"/>
                </w:tcPr>
                <w:p w14:paraId="69138D0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2.2</w:t>
                  </w:r>
                </w:p>
              </w:tc>
              <w:tc>
                <w:tcPr>
                  <w:tcW w:w="536" w:type="pct"/>
                  <w:vAlign w:val="center"/>
                </w:tcPr>
                <w:p w14:paraId="04F63964">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0.7</w:t>
                  </w:r>
                </w:p>
              </w:tc>
              <w:tc>
                <w:tcPr>
                  <w:tcW w:w="458" w:type="pct"/>
                  <w:vAlign w:val="center"/>
                </w:tcPr>
                <w:p w14:paraId="0D4F35A8">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6A4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23C45987">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8</w:t>
                  </w:r>
                </w:p>
              </w:tc>
              <w:tc>
                <w:tcPr>
                  <w:tcW w:w="488" w:type="pct"/>
                  <w:vAlign w:val="center"/>
                </w:tcPr>
                <w:p w14:paraId="04930D68">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成品提升机</w:t>
                  </w:r>
                </w:p>
              </w:tc>
              <w:tc>
                <w:tcPr>
                  <w:tcW w:w="648" w:type="pct"/>
                  <w:shd w:val="clear" w:color="auto" w:fill="auto"/>
                  <w:vAlign w:val="center"/>
                </w:tcPr>
                <w:p w14:paraId="417BFAB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DT41/33</w:t>
                  </w:r>
                </w:p>
              </w:tc>
              <w:tc>
                <w:tcPr>
                  <w:tcW w:w="1799" w:type="pct"/>
                  <w:shd w:val="clear" w:color="auto" w:fill="auto"/>
                  <w:vAlign w:val="center"/>
                </w:tcPr>
                <w:p w14:paraId="671289EE">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仿宋_GB2312"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提升带选用8层强力帆布带，畚斗D3321选用高密度聚乙烯畚斗，不含塑化剂</w:t>
                  </w:r>
                  <w:r>
                    <w:rPr>
                      <w:rFonts w:hint="eastAsia" w:ascii="Times New Roman" w:hAnsi="Times New Roman"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机尾+标准节高度10米</w:t>
                  </w:r>
                </w:p>
              </w:tc>
              <w:tc>
                <w:tcPr>
                  <w:tcW w:w="295" w:type="pct"/>
                  <w:shd w:val="clear" w:color="auto" w:fill="auto"/>
                  <w:vAlign w:val="center"/>
                </w:tcPr>
                <w:p w14:paraId="3C392607">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462" w:type="pct"/>
                  <w:shd w:val="clear" w:color="auto" w:fill="auto"/>
                  <w:vAlign w:val="center"/>
                </w:tcPr>
                <w:p w14:paraId="6A31B28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5.5</w:t>
                  </w:r>
                </w:p>
              </w:tc>
              <w:tc>
                <w:tcPr>
                  <w:tcW w:w="536" w:type="pct"/>
                  <w:shd w:val="clear" w:color="auto" w:fill="auto"/>
                  <w:vAlign w:val="center"/>
                </w:tcPr>
                <w:p w14:paraId="7425176B">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2"/>
                      <w:sz w:val="21"/>
                      <w:szCs w:val="21"/>
                      <w:lang w:val="en-US" w:eastAsia="zh-CN" w:bidi="ar-SA"/>
                    </w:rPr>
                    <w:t>2.8</w:t>
                  </w:r>
                </w:p>
              </w:tc>
              <w:tc>
                <w:tcPr>
                  <w:tcW w:w="458" w:type="pct"/>
                  <w:vAlign w:val="center"/>
                </w:tcPr>
                <w:p w14:paraId="50034D24">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159C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0DD29837">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9</w:t>
                  </w:r>
                </w:p>
              </w:tc>
              <w:tc>
                <w:tcPr>
                  <w:tcW w:w="488" w:type="pct"/>
                  <w:vAlign w:val="center"/>
                </w:tcPr>
                <w:p w14:paraId="4E0132A0">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双轴加水绞龙</w:t>
                  </w:r>
                </w:p>
              </w:tc>
              <w:tc>
                <w:tcPr>
                  <w:tcW w:w="648" w:type="pct"/>
                  <w:shd w:val="clear" w:color="auto" w:fill="auto"/>
                  <w:vAlign w:val="center"/>
                </w:tcPr>
                <w:p w14:paraId="0ED9F8A8">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LSS20</w:t>
                  </w:r>
                </w:p>
              </w:tc>
              <w:tc>
                <w:tcPr>
                  <w:tcW w:w="1799" w:type="pct"/>
                  <w:shd w:val="clear" w:color="auto" w:fill="auto"/>
                  <w:vAlign w:val="center"/>
                </w:tcPr>
                <w:p w14:paraId="20914F00">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桨叶式双轴加水绞龙，转速100r/min，长度5米</w:t>
                  </w:r>
                </w:p>
              </w:tc>
              <w:tc>
                <w:tcPr>
                  <w:tcW w:w="295" w:type="pct"/>
                  <w:shd w:val="clear" w:color="auto" w:fill="auto"/>
                  <w:vAlign w:val="center"/>
                </w:tcPr>
                <w:p w14:paraId="158B636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462" w:type="pct"/>
                  <w:shd w:val="clear" w:color="auto" w:fill="auto"/>
                  <w:vAlign w:val="center"/>
                </w:tcPr>
                <w:p w14:paraId="2D8B1FCC">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3</w:t>
                  </w:r>
                </w:p>
              </w:tc>
              <w:tc>
                <w:tcPr>
                  <w:tcW w:w="536" w:type="pct"/>
                  <w:shd w:val="clear" w:color="auto" w:fill="auto"/>
                  <w:vAlign w:val="center"/>
                </w:tcPr>
                <w:p w14:paraId="1A64711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2"/>
                      <w:sz w:val="21"/>
                      <w:szCs w:val="21"/>
                      <w:lang w:val="en-US" w:eastAsia="zh-CN" w:bidi="ar-SA"/>
                    </w:rPr>
                    <w:t>1.8</w:t>
                  </w:r>
                </w:p>
              </w:tc>
              <w:tc>
                <w:tcPr>
                  <w:tcW w:w="458" w:type="pct"/>
                  <w:vAlign w:val="center"/>
                </w:tcPr>
                <w:p w14:paraId="1225AAB9">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2CA8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56F8ECC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10</w:t>
                  </w:r>
                </w:p>
              </w:tc>
              <w:tc>
                <w:tcPr>
                  <w:tcW w:w="488" w:type="pct"/>
                  <w:vAlign w:val="center"/>
                </w:tcPr>
                <w:p w14:paraId="54686C85">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成品埋刮板</w:t>
                  </w:r>
                </w:p>
              </w:tc>
              <w:tc>
                <w:tcPr>
                  <w:tcW w:w="648" w:type="pct"/>
                  <w:shd w:val="clear" w:color="auto" w:fill="auto"/>
                  <w:vAlign w:val="center"/>
                </w:tcPr>
                <w:p w14:paraId="530CB17B">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MS32</w:t>
                  </w:r>
                </w:p>
              </w:tc>
              <w:tc>
                <w:tcPr>
                  <w:tcW w:w="1799" w:type="pct"/>
                  <w:shd w:val="clear" w:color="auto" w:fill="auto"/>
                  <w:vAlign w:val="center"/>
                </w:tcPr>
                <w:p w14:paraId="24ACD0C5">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现场改造，弯曲段力邦制作（测量准确尺寸出图），减速机使用原有</w:t>
                  </w:r>
                  <w:r>
                    <w:rPr>
                      <w:rFonts w:hint="eastAsia" w:ascii="Times New Roman" w:hAnsi="Times New Roman"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粉尘防爆电机</w:t>
                  </w:r>
                </w:p>
              </w:tc>
              <w:tc>
                <w:tcPr>
                  <w:tcW w:w="295" w:type="pct"/>
                  <w:shd w:val="clear" w:color="auto" w:fill="auto"/>
                  <w:vAlign w:val="center"/>
                </w:tcPr>
                <w:p w14:paraId="22E927F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462" w:type="pct"/>
                  <w:shd w:val="clear" w:color="auto" w:fill="auto"/>
                  <w:vAlign w:val="center"/>
                </w:tcPr>
                <w:p w14:paraId="0EE3EE2C">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4.0</w:t>
                  </w:r>
                </w:p>
              </w:tc>
              <w:tc>
                <w:tcPr>
                  <w:tcW w:w="536" w:type="pct"/>
                  <w:shd w:val="clear" w:color="auto" w:fill="auto"/>
                  <w:vAlign w:val="center"/>
                </w:tcPr>
                <w:p w14:paraId="572DA617">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2"/>
                      <w:sz w:val="21"/>
                      <w:szCs w:val="21"/>
                      <w:lang w:val="en-US" w:eastAsia="zh-CN" w:bidi="ar-SA"/>
                    </w:rPr>
                    <w:t>0.6</w:t>
                  </w:r>
                </w:p>
              </w:tc>
              <w:tc>
                <w:tcPr>
                  <w:tcW w:w="458" w:type="pct"/>
                  <w:vAlign w:val="center"/>
                </w:tcPr>
                <w:p w14:paraId="07583ECD">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8CE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20893D8E">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11</w:t>
                  </w:r>
                </w:p>
              </w:tc>
              <w:tc>
                <w:tcPr>
                  <w:tcW w:w="488" w:type="pct"/>
                  <w:vAlign w:val="center"/>
                </w:tcPr>
                <w:p w14:paraId="76A4FDD4">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Arial" w:cs="Times New Roman"/>
                      <w:snapToGrid w:val="0"/>
                      <w:color w:val="000000"/>
                      <w:kern w:val="0"/>
                      <w:sz w:val="21"/>
                      <w:szCs w:val="21"/>
                      <w:lang w:val="en-US" w:eastAsia="zh-CN"/>
                    </w:rPr>
                    <w:t>灌装绞龙</w:t>
                  </w:r>
                </w:p>
              </w:tc>
              <w:tc>
                <w:tcPr>
                  <w:tcW w:w="648" w:type="pct"/>
                  <w:shd w:val="clear" w:color="auto" w:fill="auto"/>
                  <w:vAlign w:val="center"/>
                </w:tcPr>
                <w:p w14:paraId="6C15198C">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LSS25</w:t>
                  </w:r>
                </w:p>
              </w:tc>
              <w:tc>
                <w:tcPr>
                  <w:tcW w:w="1799" w:type="pct"/>
                  <w:shd w:val="clear" w:color="auto" w:fill="auto"/>
                  <w:vAlign w:val="center"/>
                </w:tcPr>
                <w:p w14:paraId="798426D5">
                  <w:pPr>
                    <w:keepNext w:val="0"/>
                    <w:keepLines w:val="0"/>
                    <w:pageBreakBefore w:val="0"/>
                    <w:widowControl/>
                    <w:kinsoku w:val="0"/>
                    <w:wordWrap w:val="0"/>
                    <w:overflowPunct/>
                    <w:topLinePunct w:val="0"/>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eastAsia="en-US"/>
                    </w:rPr>
                    <w:t>叶片</w:t>
                  </w:r>
                  <w:r>
                    <w:rPr>
                      <w:rFonts w:hint="default" w:ascii="Times New Roman" w:hAnsi="Times New Roman" w:eastAsia="Arial" w:cs="Times New Roman"/>
                      <w:snapToGrid w:val="0"/>
                      <w:color w:val="000000"/>
                      <w:kern w:val="0"/>
                      <w:sz w:val="21"/>
                      <w:szCs w:val="21"/>
                      <w:lang w:val="en-US" w:eastAsia="zh-CN"/>
                    </w:rPr>
                    <w:t>6</w:t>
                  </w:r>
                  <w:r>
                    <w:rPr>
                      <w:rFonts w:hint="default" w:ascii="Times New Roman" w:hAnsi="Times New Roman" w:eastAsia="Arial" w:cs="Times New Roman"/>
                      <w:snapToGrid w:val="0"/>
                      <w:color w:val="000000"/>
                      <w:kern w:val="0"/>
                      <w:sz w:val="21"/>
                      <w:szCs w:val="21"/>
                      <w:lang w:eastAsia="en-US"/>
                    </w:rPr>
                    <w:t>mm、壳体4mm、硬齿面减速机</w:t>
                  </w:r>
                  <w:r>
                    <w:rPr>
                      <w:rFonts w:hint="default" w:ascii="Times New Roman" w:hAnsi="Times New Roman" w:eastAsia="Arial" w:cs="Times New Roman"/>
                      <w:snapToGrid w:val="0"/>
                      <w:color w:val="000000"/>
                      <w:kern w:val="0"/>
                      <w:sz w:val="21"/>
                      <w:szCs w:val="21"/>
                      <w:lang w:eastAsia="zh-CN"/>
                    </w:rPr>
                    <w:t>，</w:t>
                  </w:r>
                  <w:r>
                    <w:rPr>
                      <w:rFonts w:hint="default" w:ascii="Times New Roman" w:hAnsi="Times New Roman" w:eastAsia="Arial" w:cs="Times New Roman"/>
                      <w:snapToGrid w:val="0"/>
                      <w:color w:val="000000"/>
                      <w:kern w:val="0"/>
                      <w:sz w:val="21"/>
                      <w:szCs w:val="21"/>
                      <w:lang w:val="en-US" w:eastAsia="zh-CN"/>
                    </w:rPr>
                    <w:t>粉尘防爆，长度5米</w:t>
                  </w:r>
                  <w:r>
                    <w:rPr>
                      <w:rFonts w:hint="eastAsia" w:ascii="Times New Roman" w:hAnsi="Times New Roman" w:eastAsia="Arial" w:cs="Times New Roman"/>
                      <w:snapToGrid w:val="0"/>
                      <w:color w:val="000000"/>
                      <w:kern w:val="0"/>
                      <w:sz w:val="21"/>
                      <w:szCs w:val="21"/>
                      <w:lang w:val="en-US" w:eastAsia="zh-CN"/>
                    </w:rPr>
                    <w:t>，</w:t>
                  </w:r>
                  <w:r>
                    <w:rPr>
                      <w:rFonts w:hint="default" w:ascii="Times New Roman" w:hAnsi="Times New Roman" w:eastAsia="Arial" w:cs="Times New Roman"/>
                      <w:snapToGrid w:val="0"/>
                      <w:color w:val="000000"/>
                      <w:kern w:val="0"/>
                      <w:sz w:val="21"/>
                      <w:szCs w:val="21"/>
                      <w:lang w:val="en-US" w:eastAsia="zh-CN"/>
                    </w:rPr>
                    <w:t>设置正反叶片</w:t>
                  </w:r>
                </w:p>
              </w:tc>
              <w:tc>
                <w:tcPr>
                  <w:tcW w:w="295" w:type="pct"/>
                  <w:shd w:val="clear" w:color="auto" w:fill="auto"/>
                  <w:vAlign w:val="center"/>
                </w:tcPr>
                <w:p w14:paraId="666CE61B">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1</w:t>
                  </w:r>
                </w:p>
              </w:tc>
              <w:tc>
                <w:tcPr>
                  <w:tcW w:w="462" w:type="pct"/>
                  <w:shd w:val="clear" w:color="auto" w:fill="auto"/>
                  <w:vAlign w:val="center"/>
                </w:tcPr>
                <w:p w14:paraId="1FC77619">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4</w:t>
                  </w:r>
                </w:p>
              </w:tc>
              <w:tc>
                <w:tcPr>
                  <w:tcW w:w="536" w:type="pct"/>
                  <w:shd w:val="clear" w:color="auto" w:fill="auto"/>
                  <w:vAlign w:val="center"/>
                </w:tcPr>
                <w:p w14:paraId="7EFC7403">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2"/>
                      <w:sz w:val="21"/>
                      <w:szCs w:val="21"/>
                      <w:lang w:val="en-US" w:eastAsia="zh-CN" w:bidi="ar-SA"/>
                    </w:rPr>
                    <w:t>1.0</w:t>
                  </w:r>
                </w:p>
              </w:tc>
              <w:tc>
                <w:tcPr>
                  <w:tcW w:w="458" w:type="pct"/>
                  <w:vAlign w:val="center"/>
                </w:tcPr>
                <w:p w14:paraId="4F9C86CF">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r w14:paraId="3A89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shd w:val="clear" w:color="auto" w:fill="auto"/>
                  <w:vAlign w:val="center"/>
                </w:tcPr>
                <w:p w14:paraId="6E3D0080">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2"/>
                      <w:sz w:val="21"/>
                      <w:szCs w:val="21"/>
                      <w:lang w:val="en-US" w:eastAsia="zh-CN" w:bidi="ar-SA"/>
                    </w:rPr>
                    <w:t>12</w:t>
                  </w:r>
                </w:p>
              </w:tc>
              <w:tc>
                <w:tcPr>
                  <w:tcW w:w="488" w:type="pct"/>
                  <w:shd w:val="clear" w:color="auto" w:fill="auto"/>
                  <w:vAlign w:val="center"/>
                </w:tcPr>
                <w:p w14:paraId="5BA27606">
                  <w:pPr>
                    <w:keepNext w:val="0"/>
                    <w:keepLines w:val="0"/>
                    <w:pageBreakBefore w:val="0"/>
                    <w:widowControl/>
                    <w:suppressLineNumbers w:val="0"/>
                    <w:kinsoku w:val="0"/>
                    <w:wordWrap w:val="0"/>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snapToGrid w:val="0"/>
                      <w:color w:val="000000"/>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rPr>
                    <w:t>压缩空气储罐</w:t>
                  </w:r>
                </w:p>
              </w:tc>
              <w:tc>
                <w:tcPr>
                  <w:tcW w:w="648" w:type="pct"/>
                  <w:shd w:val="clear" w:color="auto" w:fill="auto"/>
                  <w:vAlign w:val="center"/>
                </w:tcPr>
                <w:p w14:paraId="3DDEE10F">
                  <w:pPr>
                    <w:keepNext w:val="0"/>
                    <w:keepLines w:val="0"/>
                    <w:pageBreakBefore w:val="0"/>
                    <w:widowControl/>
                    <w:suppressLineNumbers w:val="0"/>
                    <w:kinsoku w:val="0"/>
                    <w:wordWrap w:val="0"/>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iCs w:val="0"/>
                      <w:snapToGrid w:val="0"/>
                      <w:color w:val="000000"/>
                      <w:kern w:val="2"/>
                      <w:sz w:val="21"/>
                      <w:szCs w:val="21"/>
                      <w:u w:val="none"/>
                      <w:lang w:val="en-US" w:eastAsia="zh-CN" w:bidi="ar-SA"/>
                    </w:rPr>
                  </w:pPr>
                  <w:r>
                    <w:rPr>
                      <w:rFonts w:hint="default" w:ascii="Times New Roman" w:hAnsi="Times New Roman" w:eastAsia="宋体" w:cs="Times New Roman"/>
                      <w:i w:val="0"/>
                      <w:iCs w:val="0"/>
                      <w:snapToGrid w:val="0"/>
                      <w:color w:val="000000"/>
                      <w:kern w:val="2"/>
                      <w:sz w:val="21"/>
                      <w:szCs w:val="21"/>
                      <w:u w:val="none"/>
                      <w:lang w:val="en-US" w:eastAsia="zh-CN" w:bidi="ar-SA"/>
                    </w:rPr>
                    <w:t>φ1200×1500</w:t>
                  </w:r>
                </w:p>
              </w:tc>
              <w:tc>
                <w:tcPr>
                  <w:tcW w:w="1799" w:type="pct"/>
                  <w:shd w:val="clear" w:color="auto" w:fill="auto"/>
                  <w:vAlign w:val="center"/>
                </w:tcPr>
                <w:p w14:paraId="68475F99">
                  <w:pPr>
                    <w:keepNext w:val="0"/>
                    <w:keepLines w:val="0"/>
                    <w:pageBreakBefore w:val="0"/>
                    <w:widowControl/>
                    <w:suppressLineNumbers w:val="0"/>
                    <w:kinsoku w:val="0"/>
                    <w:wordWrap w:val="0"/>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i w:val="0"/>
                      <w:iCs w:val="0"/>
                      <w:snapToGrid w:val="0"/>
                      <w:color w:val="000000"/>
                      <w:kern w:val="2"/>
                      <w:sz w:val="21"/>
                      <w:szCs w:val="21"/>
                      <w:u w:val="none"/>
                      <w:lang w:val="en-US" w:eastAsia="zh-CN" w:bidi="ar-SA"/>
                    </w:rPr>
                    <w:t>I类压力容器，下上封头，设计压力1.0Mpa，全容积2立方，带压力容器资料</w:t>
                  </w:r>
                </w:p>
              </w:tc>
              <w:tc>
                <w:tcPr>
                  <w:tcW w:w="295" w:type="pct"/>
                  <w:shd w:val="clear" w:color="auto" w:fill="auto"/>
                  <w:vAlign w:val="center"/>
                </w:tcPr>
                <w:p w14:paraId="67B7CABF">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000000"/>
                      <w:kern w:val="2"/>
                      <w:sz w:val="21"/>
                      <w:szCs w:val="21"/>
                      <w:lang w:val="en-US" w:eastAsia="zh-CN" w:bidi="ar-SA"/>
                    </w:rPr>
                  </w:pPr>
                  <w:r>
                    <w:rPr>
                      <w:rFonts w:hint="default" w:ascii="Times New Roman" w:hAnsi="Times New Roman" w:eastAsia="宋体" w:cs="Times New Roman"/>
                      <w:b w:val="0"/>
                      <w:bCs w:val="0"/>
                      <w:snapToGrid w:val="0"/>
                      <w:color w:val="000000"/>
                      <w:kern w:val="2"/>
                      <w:sz w:val="21"/>
                      <w:szCs w:val="21"/>
                      <w:lang w:val="en-US" w:eastAsia="zh-CN" w:bidi="ar-SA"/>
                    </w:rPr>
                    <w:t>2</w:t>
                  </w:r>
                </w:p>
              </w:tc>
              <w:tc>
                <w:tcPr>
                  <w:tcW w:w="462" w:type="pct"/>
                  <w:shd w:val="clear" w:color="auto" w:fill="auto"/>
                  <w:vAlign w:val="center"/>
                </w:tcPr>
                <w:p w14:paraId="38BBDEB2">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rPr>
                    <w:t>0</w:t>
                  </w:r>
                </w:p>
              </w:tc>
              <w:tc>
                <w:tcPr>
                  <w:tcW w:w="536" w:type="pct"/>
                  <w:shd w:val="clear" w:color="auto" w:fill="auto"/>
                  <w:vAlign w:val="center"/>
                </w:tcPr>
                <w:p w14:paraId="14CB90DC">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000000"/>
                      <w:kern w:val="2"/>
                      <w:sz w:val="21"/>
                      <w:szCs w:val="21"/>
                      <w:lang w:val="en-US" w:eastAsia="zh-CN" w:bidi="ar-SA"/>
                    </w:rPr>
                  </w:pPr>
                  <w:r>
                    <w:rPr>
                      <w:rFonts w:hint="default" w:ascii="Times New Roman" w:hAnsi="Times New Roman" w:eastAsia="Arial" w:cs="Times New Roman"/>
                      <w:snapToGrid w:val="0"/>
                      <w:color w:val="000000"/>
                      <w:kern w:val="0"/>
                      <w:sz w:val="21"/>
                      <w:szCs w:val="21"/>
                      <w:lang w:val="en-US" w:eastAsia="zh-CN"/>
                    </w:rPr>
                    <w:t>2.5</w:t>
                  </w:r>
                </w:p>
              </w:tc>
              <w:tc>
                <w:tcPr>
                  <w:tcW w:w="458" w:type="pct"/>
                  <w:vAlign w:val="center"/>
                </w:tcPr>
                <w:p w14:paraId="098B7544">
                  <w:pPr>
                    <w:keepNext w:val="0"/>
                    <w:keepLines w:val="0"/>
                    <w:pageBreakBefore w:val="0"/>
                    <w:widowControl/>
                    <w:kinsoku w:val="0"/>
                    <w:wordWrap w:val="0"/>
                    <w:overflowPunct/>
                    <w:topLinePunct w:val="0"/>
                    <w:autoSpaceDE/>
                    <w:autoSpaceDN/>
                    <w:bidi w:val="0"/>
                    <w:adjustRightInd w:val="0"/>
                    <w:snapToGrid w:val="0"/>
                    <w:spacing w:line="240" w:lineRule="auto"/>
                    <w:jc w:val="center"/>
                    <w:textAlignment w:val="baseline"/>
                    <w:rPr>
                      <w:rFonts w:hint="default" w:ascii="Times New Roman" w:hAnsi="Times New Roman" w:eastAsia="Arial" w:cs="Times New Roman"/>
                      <w:snapToGrid w:val="0"/>
                      <w:color w:val="000000"/>
                      <w:kern w:val="0"/>
                      <w:sz w:val="21"/>
                      <w:szCs w:val="21"/>
                      <w:lang w:eastAsia="en-US"/>
                    </w:rPr>
                  </w:pPr>
                </w:p>
              </w:tc>
            </w:tr>
          </w:tbl>
          <w:p w14:paraId="66967DF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b/>
                <w:bCs/>
                <w:color w:val="auto"/>
                <w:kern w:val="0"/>
                <w:sz w:val="24"/>
                <w:szCs w:val="24"/>
                <w:lang w:val="en-US" w:eastAsia="zh-CN"/>
              </w:rPr>
            </w:pPr>
            <w:r>
              <w:rPr>
                <w:rFonts w:hint="eastAsia" w:ascii="黑体" w:hAnsi="黑体" w:eastAsia="黑体" w:cs="黑体"/>
                <w:b w:val="0"/>
                <w:bCs/>
                <w:snapToGrid w:val="0"/>
                <w:color w:val="000000"/>
                <w:kern w:val="0"/>
                <w:sz w:val="21"/>
                <w:szCs w:val="21"/>
                <w:u w:val="none"/>
                <w:lang w:val="en-US" w:eastAsia="zh-CN"/>
              </w:rPr>
              <w:t>表2-5  污水处理站</w:t>
            </w:r>
            <w:r>
              <w:rPr>
                <w:rFonts w:hint="eastAsia" w:ascii="黑体" w:hAnsi="黑体" w:eastAsia="黑体" w:cs="黑体"/>
                <w:b w:val="0"/>
                <w:bCs/>
                <w:snapToGrid w:val="0"/>
                <w:color w:val="000000"/>
                <w:kern w:val="0"/>
                <w:sz w:val="21"/>
                <w:szCs w:val="21"/>
                <w:u w:val="none"/>
                <w:lang w:eastAsia="en-US"/>
              </w:rPr>
              <w:t>设备清单</w:t>
            </w:r>
          </w:p>
          <w:tbl>
            <w:tblPr>
              <w:tblStyle w:val="21"/>
              <w:tblW w:w="4982"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86"/>
              <w:gridCol w:w="1518"/>
              <w:gridCol w:w="4124"/>
              <w:gridCol w:w="662"/>
              <w:gridCol w:w="703"/>
            </w:tblGrid>
            <w:tr w14:paraId="2070A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4EF323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序号</w:t>
                  </w:r>
                </w:p>
              </w:tc>
              <w:tc>
                <w:tcPr>
                  <w:tcW w:w="1013" w:type="pct"/>
                  <w:tcBorders>
                    <w:tl2br w:val="nil"/>
                    <w:tr2bl w:val="nil"/>
                  </w:tcBorders>
                  <w:shd w:val="clear" w:color="auto" w:fill="auto"/>
                  <w:noWrap/>
                  <w:vAlign w:val="center"/>
                </w:tcPr>
                <w:p w14:paraId="209D46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名称</w:t>
                  </w:r>
                </w:p>
              </w:tc>
              <w:tc>
                <w:tcPr>
                  <w:tcW w:w="2752" w:type="pct"/>
                  <w:tcBorders>
                    <w:tl2br w:val="nil"/>
                    <w:tr2bl w:val="nil"/>
                  </w:tcBorders>
                  <w:shd w:val="clear" w:color="auto" w:fill="auto"/>
                  <w:noWrap/>
                  <w:vAlign w:val="center"/>
                </w:tcPr>
                <w:p w14:paraId="05BF94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型号</w:t>
                  </w:r>
                </w:p>
              </w:tc>
              <w:tc>
                <w:tcPr>
                  <w:tcW w:w="441" w:type="pct"/>
                  <w:tcBorders>
                    <w:tl2br w:val="nil"/>
                    <w:tr2bl w:val="nil"/>
                  </w:tcBorders>
                  <w:shd w:val="clear" w:color="auto" w:fill="auto"/>
                  <w:noWrap/>
                  <w:vAlign w:val="center"/>
                </w:tcPr>
                <w:p w14:paraId="7B259A7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单位</w:t>
                  </w:r>
                </w:p>
              </w:tc>
              <w:tc>
                <w:tcPr>
                  <w:tcW w:w="468" w:type="pct"/>
                  <w:tcBorders>
                    <w:tl2br w:val="nil"/>
                    <w:tr2bl w:val="nil"/>
                  </w:tcBorders>
                  <w:shd w:val="clear" w:color="auto" w:fill="auto"/>
                  <w:noWrap/>
                  <w:vAlign w:val="center"/>
                </w:tcPr>
                <w:p w14:paraId="70F9C6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数量</w:t>
                  </w:r>
                </w:p>
              </w:tc>
            </w:tr>
            <w:tr w14:paraId="64D86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57071E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c>
                <w:tcPr>
                  <w:tcW w:w="1013" w:type="pct"/>
                  <w:tcBorders>
                    <w:tl2br w:val="nil"/>
                    <w:tr2bl w:val="nil"/>
                  </w:tcBorders>
                  <w:shd w:val="clear" w:color="auto" w:fill="auto"/>
                  <w:noWrap/>
                  <w:vAlign w:val="center"/>
                </w:tcPr>
                <w:p w14:paraId="6D1372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集水池提升泵</w:t>
                  </w:r>
                </w:p>
              </w:tc>
              <w:tc>
                <w:tcPr>
                  <w:tcW w:w="2752" w:type="pct"/>
                  <w:tcBorders>
                    <w:tl2br w:val="nil"/>
                    <w:tr2bl w:val="nil"/>
                  </w:tcBorders>
                  <w:shd w:val="clear" w:color="auto" w:fill="auto"/>
                  <w:noWrap/>
                  <w:vAlign w:val="center"/>
                </w:tcPr>
                <w:p w14:paraId="6E3314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潜水泵50VQ10-10 Q=10m</w:t>
                  </w:r>
                  <w:r>
                    <w:rPr>
                      <w:rFonts w:hint="eastAsia"/>
                      <w:color w:val="auto"/>
                      <w:sz w:val="21"/>
                      <w:szCs w:val="21"/>
                      <w:vertAlign w:val="superscript"/>
                      <w:lang w:val="en-US" w:eastAsia="zh-CN"/>
                    </w:rPr>
                    <w:t>3</w:t>
                  </w:r>
                  <w:r>
                    <w:rPr>
                      <w:rFonts w:hint="eastAsia"/>
                      <w:color w:val="auto"/>
                      <w:sz w:val="21"/>
                      <w:szCs w:val="21"/>
                      <w:lang w:val="en-US" w:eastAsia="zh-CN"/>
                    </w:rPr>
                    <w:t>/h H=10m N=1kw 水温低于50度</w:t>
                  </w:r>
                </w:p>
              </w:tc>
              <w:tc>
                <w:tcPr>
                  <w:tcW w:w="441" w:type="pct"/>
                  <w:tcBorders>
                    <w:tl2br w:val="nil"/>
                    <w:tr2bl w:val="nil"/>
                  </w:tcBorders>
                  <w:shd w:val="clear" w:color="auto" w:fill="auto"/>
                  <w:noWrap/>
                  <w:vAlign w:val="center"/>
                </w:tcPr>
                <w:p w14:paraId="3B0B96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66F42A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r>
            <w:tr w14:paraId="2CA67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07BF2D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c>
                <w:tcPr>
                  <w:tcW w:w="1013" w:type="pct"/>
                  <w:tcBorders>
                    <w:tl2br w:val="nil"/>
                    <w:tr2bl w:val="nil"/>
                  </w:tcBorders>
                  <w:shd w:val="clear" w:color="auto" w:fill="auto"/>
                  <w:noWrap/>
                  <w:vAlign w:val="center"/>
                </w:tcPr>
                <w:p w14:paraId="244648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调节池提升泵</w:t>
                  </w:r>
                </w:p>
              </w:tc>
              <w:tc>
                <w:tcPr>
                  <w:tcW w:w="2752" w:type="pct"/>
                  <w:tcBorders>
                    <w:tl2br w:val="nil"/>
                    <w:tr2bl w:val="nil"/>
                  </w:tcBorders>
                  <w:shd w:val="clear" w:color="auto" w:fill="auto"/>
                  <w:noWrap/>
                  <w:vAlign w:val="center"/>
                </w:tcPr>
                <w:p w14:paraId="00D0D4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自吸式污水泵50ZW-10-20P Q=10m</w:t>
                  </w:r>
                  <w:r>
                    <w:rPr>
                      <w:rFonts w:hint="eastAsia"/>
                      <w:color w:val="auto"/>
                      <w:sz w:val="21"/>
                      <w:szCs w:val="21"/>
                      <w:vertAlign w:val="superscript"/>
                      <w:lang w:val="en-US" w:eastAsia="zh-CN"/>
                    </w:rPr>
                    <w:t>3</w:t>
                  </w:r>
                  <w:r>
                    <w:rPr>
                      <w:rFonts w:hint="eastAsia"/>
                      <w:color w:val="auto"/>
                      <w:sz w:val="21"/>
                      <w:szCs w:val="21"/>
                      <w:lang w:val="en-US" w:eastAsia="zh-CN"/>
                    </w:rPr>
                    <w:t>/h H=20m N=2.2kW</w:t>
                  </w:r>
                </w:p>
              </w:tc>
              <w:tc>
                <w:tcPr>
                  <w:tcW w:w="441" w:type="pct"/>
                  <w:tcBorders>
                    <w:tl2br w:val="nil"/>
                    <w:tr2bl w:val="nil"/>
                  </w:tcBorders>
                  <w:shd w:val="clear" w:color="auto" w:fill="auto"/>
                  <w:noWrap/>
                  <w:vAlign w:val="center"/>
                </w:tcPr>
                <w:p w14:paraId="58D213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19BD85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r>
            <w:tr w14:paraId="0128C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5DB584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w:t>
                  </w:r>
                </w:p>
              </w:tc>
              <w:tc>
                <w:tcPr>
                  <w:tcW w:w="1013" w:type="pct"/>
                  <w:tcBorders>
                    <w:tl2br w:val="nil"/>
                    <w:tr2bl w:val="nil"/>
                  </w:tcBorders>
                  <w:shd w:val="clear" w:color="auto" w:fill="auto"/>
                  <w:noWrap/>
                  <w:vAlign w:val="center"/>
                </w:tcPr>
                <w:p w14:paraId="3F5E4A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污泥脱水泵</w:t>
                  </w:r>
                </w:p>
              </w:tc>
              <w:tc>
                <w:tcPr>
                  <w:tcW w:w="2752" w:type="pct"/>
                  <w:tcBorders>
                    <w:tl2br w:val="nil"/>
                    <w:tr2bl w:val="nil"/>
                  </w:tcBorders>
                  <w:shd w:val="clear" w:color="auto" w:fill="auto"/>
                  <w:noWrap/>
                  <w:vAlign w:val="center"/>
                </w:tcPr>
                <w:p w14:paraId="05CC9C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螺杆泵HDLNO35S1 Q=3.29m</w:t>
                  </w:r>
                  <w:r>
                    <w:rPr>
                      <w:rFonts w:hint="eastAsia"/>
                      <w:color w:val="auto"/>
                      <w:sz w:val="21"/>
                      <w:szCs w:val="21"/>
                      <w:vertAlign w:val="superscript"/>
                      <w:lang w:val="en-US" w:eastAsia="zh-CN"/>
                    </w:rPr>
                    <w:t>3</w:t>
                  </w:r>
                  <w:r>
                    <w:rPr>
                      <w:rFonts w:hint="eastAsia"/>
                      <w:color w:val="auto"/>
                      <w:sz w:val="21"/>
                      <w:szCs w:val="21"/>
                      <w:lang w:val="en-US" w:eastAsia="zh-CN"/>
                    </w:rPr>
                    <w:t>/h H=20mN=1.5kW</w:t>
                  </w:r>
                </w:p>
              </w:tc>
              <w:tc>
                <w:tcPr>
                  <w:tcW w:w="441" w:type="pct"/>
                  <w:tcBorders>
                    <w:tl2br w:val="nil"/>
                    <w:tr2bl w:val="nil"/>
                  </w:tcBorders>
                  <w:shd w:val="clear" w:color="auto" w:fill="auto"/>
                  <w:noWrap/>
                  <w:vAlign w:val="center"/>
                </w:tcPr>
                <w:p w14:paraId="30F28F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02A84D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r w14:paraId="53497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772CD2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4</w:t>
                  </w:r>
                </w:p>
              </w:tc>
              <w:tc>
                <w:tcPr>
                  <w:tcW w:w="1013" w:type="pct"/>
                  <w:tcBorders>
                    <w:tl2br w:val="nil"/>
                    <w:tr2bl w:val="nil"/>
                  </w:tcBorders>
                  <w:shd w:val="clear" w:color="auto" w:fill="auto"/>
                  <w:noWrap/>
                  <w:vAlign w:val="center"/>
                </w:tcPr>
                <w:p w14:paraId="389A66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鼓风机</w:t>
                  </w:r>
                </w:p>
              </w:tc>
              <w:tc>
                <w:tcPr>
                  <w:tcW w:w="2752" w:type="pct"/>
                  <w:tcBorders>
                    <w:tl2br w:val="nil"/>
                    <w:tr2bl w:val="nil"/>
                  </w:tcBorders>
                  <w:shd w:val="clear" w:color="auto" w:fill="auto"/>
                  <w:noWrap/>
                  <w:vAlign w:val="center"/>
                </w:tcPr>
                <w:p w14:paraId="7E0ECF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罗茨鼓风机RSR100-7.5</w:t>
                  </w:r>
                </w:p>
              </w:tc>
              <w:tc>
                <w:tcPr>
                  <w:tcW w:w="441" w:type="pct"/>
                  <w:tcBorders>
                    <w:tl2br w:val="nil"/>
                    <w:tr2bl w:val="nil"/>
                  </w:tcBorders>
                  <w:shd w:val="clear" w:color="auto" w:fill="auto"/>
                  <w:noWrap/>
                  <w:vAlign w:val="center"/>
                </w:tcPr>
                <w:p w14:paraId="527A50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0E51DC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r>
            <w:tr w14:paraId="2B4D9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7C775F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5</w:t>
                  </w:r>
                </w:p>
              </w:tc>
              <w:tc>
                <w:tcPr>
                  <w:tcW w:w="1013" w:type="pct"/>
                  <w:tcBorders>
                    <w:tl2br w:val="nil"/>
                    <w:tr2bl w:val="nil"/>
                  </w:tcBorders>
                  <w:shd w:val="clear" w:color="auto" w:fill="auto"/>
                  <w:noWrap/>
                  <w:vAlign w:val="center"/>
                </w:tcPr>
                <w:p w14:paraId="10297D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刮油机</w:t>
                  </w:r>
                </w:p>
              </w:tc>
              <w:tc>
                <w:tcPr>
                  <w:tcW w:w="2752" w:type="pct"/>
                  <w:tcBorders>
                    <w:tl2br w:val="nil"/>
                    <w:tr2bl w:val="nil"/>
                  </w:tcBorders>
                  <w:shd w:val="clear" w:color="auto" w:fill="auto"/>
                  <w:noWrap/>
                  <w:vAlign w:val="center"/>
                </w:tcPr>
                <w:p w14:paraId="082064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链条式刮油机GL-2000 材料SS340</w:t>
                  </w:r>
                </w:p>
              </w:tc>
              <w:tc>
                <w:tcPr>
                  <w:tcW w:w="441" w:type="pct"/>
                  <w:tcBorders>
                    <w:tl2br w:val="nil"/>
                    <w:tr2bl w:val="nil"/>
                  </w:tcBorders>
                  <w:shd w:val="clear" w:color="auto" w:fill="auto"/>
                  <w:noWrap/>
                  <w:vAlign w:val="center"/>
                </w:tcPr>
                <w:p w14:paraId="4ADBDE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6A98C0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r w14:paraId="5B244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17A4B6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6</w:t>
                  </w:r>
                </w:p>
              </w:tc>
              <w:tc>
                <w:tcPr>
                  <w:tcW w:w="1013" w:type="pct"/>
                  <w:tcBorders>
                    <w:tl2br w:val="nil"/>
                    <w:tr2bl w:val="nil"/>
                  </w:tcBorders>
                  <w:shd w:val="clear" w:color="auto" w:fill="auto"/>
                  <w:noWrap/>
                  <w:vAlign w:val="center"/>
                </w:tcPr>
                <w:p w14:paraId="401DC7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气浮机</w:t>
                  </w:r>
                </w:p>
              </w:tc>
              <w:tc>
                <w:tcPr>
                  <w:tcW w:w="2752" w:type="pct"/>
                  <w:tcBorders>
                    <w:tl2br w:val="nil"/>
                    <w:tr2bl w:val="nil"/>
                  </w:tcBorders>
                  <w:shd w:val="clear" w:color="auto" w:fill="auto"/>
                  <w:noWrap/>
                  <w:vAlign w:val="center"/>
                </w:tcPr>
                <w:p w14:paraId="2601B2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涡凹气浮机CAF-10 工艺尺寸 1.2x4.5x1.5，碳钢防腐</w:t>
                  </w:r>
                </w:p>
              </w:tc>
              <w:tc>
                <w:tcPr>
                  <w:tcW w:w="441" w:type="pct"/>
                  <w:tcBorders>
                    <w:tl2br w:val="nil"/>
                    <w:tr2bl w:val="nil"/>
                  </w:tcBorders>
                  <w:shd w:val="clear" w:color="auto" w:fill="auto"/>
                  <w:noWrap/>
                  <w:vAlign w:val="center"/>
                </w:tcPr>
                <w:p w14:paraId="39BA09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6A6A69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r>
            <w:tr w14:paraId="36719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2B12EF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7</w:t>
                  </w:r>
                </w:p>
              </w:tc>
              <w:tc>
                <w:tcPr>
                  <w:tcW w:w="1013" w:type="pct"/>
                  <w:tcBorders>
                    <w:tl2br w:val="nil"/>
                    <w:tr2bl w:val="nil"/>
                  </w:tcBorders>
                  <w:shd w:val="clear" w:color="auto" w:fill="auto"/>
                  <w:noWrap/>
                  <w:vAlign w:val="center"/>
                </w:tcPr>
                <w:p w14:paraId="1411DA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加石灰装置</w:t>
                  </w:r>
                </w:p>
              </w:tc>
              <w:tc>
                <w:tcPr>
                  <w:tcW w:w="2752" w:type="pct"/>
                  <w:tcBorders>
                    <w:tl2br w:val="nil"/>
                    <w:tr2bl w:val="nil"/>
                  </w:tcBorders>
                  <w:shd w:val="clear" w:color="auto" w:fill="auto"/>
                  <w:noWrap/>
                  <w:vAlign w:val="center"/>
                </w:tcPr>
                <w:p w14:paraId="0B7967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V=1500L PP材质，耐腐耐磨泵2台，搅拌机1台</w:t>
                  </w:r>
                </w:p>
              </w:tc>
              <w:tc>
                <w:tcPr>
                  <w:tcW w:w="441" w:type="pct"/>
                  <w:tcBorders>
                    <w:tl2br w:val="nil"/>
                    <w:tr2bl w:val="nil"/>
                  </w:tcBorders>
                  <w:shd w:val="clear" w:color="auto" w:fill="auto"/>
                  <w:noWrap/>
                  <w:vAlign w:val="center"/>
                </w:tcPr>
                <w:p w14:paraId="6A20C9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套</w:t>
                  </w:r>
                </w:p>
              </w:tc>
              <w:tc>
                <w:tcPr>
                  <w:tcW w:w="468" w:type="pct"/>
                  <w:tcBorders>
                    <w:tl2br w:val="nil"/>
                    <w:tr2bl w:val="nil"/>
                  </w:tcBorders>
                  <w:shd w:val="clear" w:color="auto" w:fill="auto"/>
                  <w:noWrap/>
                  <w:vAlign w:val="center"/>
                </w:tcPr>
                <w:p w14:paraId="7708C6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r w14:paraId="5EF81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7E79D8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8</w:t>
                  </w:r>
                </w:p>
              </w:tc>
              <w:tc>
                <w:tcPr>
                  <w:tcW w:w="1013" w:type="pct"/>
                  <w:tcBorders>
                    <w:tl2br w:val="nil"/>
                    <w:tr2bl w:val="nil"/>
                  </w:tcBorders>
                  <w:shd w:val="clear" w:color="auto" w:fill="auto"/>
                  <w:noWrap/>
                  <w:vAlign w:val="center"/>
                </w:tcPr>
                <w:p w14:paraId="1AD937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加PAC装置</w:t>
                  </w:r>
                </w:p>
              </w:tc>
              <w:tc>
                <w:tcPr>
                  <w:tcW w:w="2752" w:type="pct"/>
                  <w:tcBorders>
                    <w:tl2br w:val="nil"/>
                    <w:tr2bl w:val="nil"/>
                  </w:tcBorders>
                  <w:shd w:val="clear" w:color="auto" w:fill="auto"/>
                  <w:noWrap/>
                  <w:vAlign w:val="center"/>
                </w:tcPr>
                <w:p w14:paraId="69F4E7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V=1500L PP材质，隔膜计量泵1台，搅拌机1台</w:t>
                  </w:r>
                </w:p>
              </w:tc>
              <w:tc>
                <w:tcPr>
                  <w:tcW w:w="441" w:type="pct"/>
                  <w:tcBorders>
                    <w:tl2br w:val="nil"/>
                    <w:tr2bl w:val="nil"/>
                  </w:tcBorders>
                  <w:shd w:val="clear" w:color="auto" w:fill="auto"/>
                  <w:noWrap/>
                  <w:vAlign w:val="center"/>
                </w:tcPr>
                <w:p w14:paraId="0483B0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套</w:t>
                  </w:r>
                </w:p>
              </w:tc>
              <w:tc>
                <w:tcPr>
                  <w:tcW w:w="468" w:type="pct"/>
                  <w:tcBorders>
                    <w:tl2br w:val="nil"/>
                    <w:tr2bl w:val="nil"/>
                  </w:tcBorders>
                  <w:shd w:val="clear" w:color="auto" w:fill="auto"/>
                  <w:noWrap/>
                  <w:vAlign w:val="center"/>
                </w:tcPr>
                <w:p w14:paraId="034D1D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r w14:paraId="55F6A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0EC25B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9</w:t>
                  </w:r>
                </w:p>
              </w:tc>
              <w:tc>
                <w:tcPr>
                  <w:tcW w:w="1013" w:type="pct"/>
                  <w:tcBorders>
                    <w:tl2br w:val="nil"/>
                    <w:tr2bl w:val="nil"/>
                  </w:tcBorders>
                  <w:shd w:val="clear" w:color="auto" w:fill="auto"/>
                  <w:noWrap/>
                  <w:vAlign w:val="center"/>
                </w:tcPr>
                <w:p w14:paraId="6850C3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加PAM装置</w:t>
                  </w:r>
                </w:p>
              </w:tc>
              <w:tc>
                <w:tcPr>
                  <w:tcW w:w="2752" w:type="pct"/>
                  <w:tcBorders>
                    <w:tl2br w:val="nil"/>
                    <w:tr2bl w:val="nil"/>
                  </w:tcBorders>
                  <w:shd w:val="clear" w:color="auto" w:fill="auto"/>
                  <w:noWrap/>
                  <w:vAlign w:val="center"/>
                </w:tcPr>
                <w:p w14:paraId="7425C4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V=1500L PP材质，隔膜计量泵1台，搅拌机1台</w:t>
                  </w:r>
                </w:p>
              </w:tc>
              <w:tc>
                <w:tcPr>
                  <w:tcW w:w="441" w:type="pct"/>
                  <w:tcBorders>
                    <w:tl2br w:val="nil"/>
                    <w:tr2bl w:val="nil"/>
                  </w:tcBorders>
                  <w:shd w:val="clear" w:color="auto" w:fill="auto"/>
                  <w:noWrap/>
                  <w:vAlign w:val="center"/>
                </w:tcPr>
                <w:p w14:paraId="382539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套</w:t>
                  </w:r>
                </w:p>
              </w:tc>
              <w:tc>
                <w:tcPr>
                  <w:tcW w:w="468" w:type="pct"/>
                  <w:tcBorders>
                    <w:tl2br w:val="nil"/>
                    <w:tr2bl w:val="nil"/>
                  </w:tcBorders>
                  <w:shd w:val="clear" w:color="auto" w:fill="auto"/>
                  <w:noWrap/>
                  <w:vAlign w:val="center"/>
                </w:tcPr>
                <w:p w14:paraId="0D0675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r>
            <w:tr w14:paraId="3B82C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19F188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10</w:t>
                  </w:r>
                </w:p>
              </w:tc>
              <w:tc>
                <w:tcPr>
                  <w:tcW w:w="1013" w:type="pct"/>
                  <w:tcBorders>
                    <w:tl2br w:val="nil"/>
                    <w:tr2bl w:val="nil"/>
                  </w:tcBorders>
                  <w:shd w:val="clear" w:color="auto" w:fill="auto"/>
                  <w:noWrap/>
                  <w:vAlign w:val="center"/>
                </w:tcPr>
                <w:p w14:paraId="3101DB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甲酸装置</w:t>
                  </w:r>
                </w:p>
              </w:tc>
              <w:tc>
                <w:tcPr>
                  <w:tcW w:w="2752" w:type="pct"/>
                  <w:tcBorders>
                    <w:tl2br w:val="nil"/>
                    <w:tr2bl w:val="nil"/>
                  </w:tcBorders>
                  <w:shd w:val="clear" w:color="auto" w:fill="auto"/>
                  <w:noWrap/>
                  <w:vAlign w:val="center"/>
                </w:tcPr>
                <w:p w14:paraId="463025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V=1500L ，碳钢材料，隔膜计量泵1台</w:t>
                  </w:r>
                </w:p>
              </w:tc>
              <w:tc>
                <w:tcPr>
                  <w:tcW w:w="441" w:type="pct"/>
                  <w:tcBorders>
                    <w:tl2br w:val="nil"/>
                    <w:tr2bl w:val="nil"/>
                  </w:tcBorders>
                  <w:shd w:val="clear" w:color="auto" w:fill="auto"/>
                  <w:noWrap/>
                  <w:vAlign w:val="center"/>
                </w:tcPr>
                <w:p w14:paraId="084B8A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套</w:t>
                  </w:r>
                </w:p>
              </w:tc>
              <w:tc>
                <w:tcPr>
                  <w:tcW w:w="468" w:type="pct"/>
                  <w:tcBorders>
                    <w:tl2br w:val="nil"/>
                    <w:tr2bl w:val="nil"/>
                  </w:tcBorders>
                  <w:shd w:val="clear" w:color="auto" w:fill="auto"/>
                  <w:noWrap/>
                  <w:vAlign w:val="center"/>
                </w:tcPr>
                <w:p w14:paraId="3A1724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r w14:paraId="5C730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4D849F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11</w:t>
                  </w:r>
                </w:p>
              </w:tc>
              <w:tc>
                <w:tcPr>
                  <w:tcW w:w="1013" w:type="pct"/>
                  <w:tcBorders>
                    <w:tl2br w:val="nil"/>
                    <w:tr2bl w:val="nil"/>
                  </w:tcBorders>
                  <w:shd w:val="clear" w:color="auto" w:fill="auto"/>
                  <w:noWrap/>
                  <w:vAlign w:val="center"/>
                </w:tcPr>
                <w:p w14:paraId="2042A4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叠螺机</w:t>
                  </w:r>
                </w:p>
              </w:tc>
              <w:tc>
                <w:tcPr>
                  <w:tcW w:w="2752" w:type="pct"/>
                  <w:tcBorders>
                    <w:tl2br w:val="nil"/>
                    <w:tr2bl w:val="nil"/>
                  </w:tcBorders>
                  <w:shd w:val="clear" w:color="auto" w:fill="auto"/>
                  <w:noWrap/>
                  <w:vAlign w:val="center"/>
                </w:tcPr>
                <w:p w14:paraId="0EF608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XDXDL-201 材料SUS304</w:t>
                  </w:r>
                </w:p>
              </w:tc>
              <w:tc>
                <w:tcPr>
                  <w:tcW w:w="441" w:type="pct"/>
                  <w:tcBorders>
                    <w:tl2br w:val="nil"/>
                    <w:tr2bl w:val="nil"/>
                  </w:tcBorders>
                  <w:shd w:val="clear" w:color="auto" w:fill="auto"/>
                  <w:noWrap/>
                  <w:vAlign w:val="center"/>
                </w:tcPr>
                <w:p w14:paraId="478A36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5639EC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r w14:paraId="20ABD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198BAF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12</w:t>
                  </w:r>
                </w:p>
              </w:tc>
              <w:tc>
                <w:tcPr>
                  <w:tcW w:w="1013" w:type="pct"/>
                  <w:tcBorders>
                    <w:tl2br w:val="nil"/>
                    <w:tr2bl w:val="nil"/>
                  </w:tcBorders>
                  <w:shd w:val="clear" w:color="auto" w:fill="auto"/>
                  <w:noWrap/>
                  <w:vAlign w:val="center"/>
                </w:tcPr>
                <w:p w14:paraId="5D40A7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微孔曝气器</w:t>
                  </w:r>
                </w:p>
              </w:tc>
              <w:tc>
                <w:tcPr>
                  <w:tcW w:w="2752" w:type="pct"/>
                  <w:tcBorders>
                    <w:tl2br w:val="nil"/>
                    <w:tr2bl w:val="nil"/>
                  </w:tcBorders>
                  <w:shd w:val="clear" w:color="auto" w:fill="auto"/>
                  <w:noWrap/>
                  <w:vAlign w:val="center"/>
                </w:tcPr>
                <w:p w14:paraId="5E8E39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KBB-215</w:t>
                  </w:r>
                </w:p>
              </w:tc>
              <w:tc>
                <w:tcPr>
                  <w:tcW w:w="441" w:type="pct"/>
                  <w:tcBorders>
                    <w:tl2br w:val="nil"/>
                    <w:tr2bl w:val="nil"/>
                  </w:tcBorders>
                  <w:shd w:val="clear" w:color="auto" w:fill="auto"/>
                  <w:noWrap/>
                  <w:vAlign w:val="center"/>
                </w:tcPr>
                <w:p w14:paraId="281C86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套</w:t>
                  </w:r>
                </w:p>
              </w:tc>
              <w:tc>
                <w:tcPr>
                  <w:tcW w:w="468" w:type="pct"/>
                  <w:tcBorders>
                    <w:tl2br w:val="nil"/>
                    <w:tr2bl w:val="nil"/>
                  </w:tcBorders>
                  <w:shd w:val="clear" w:color="auto" w:fill="auto"/>
                  <w:noWrap/>
                  <w:vAlign w:val="center"/>
                </w:tcPr>
                <w:p w14:paraId="29A377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150</w:t>
                  </w:r>
                </w:p>
              </w:tc>
            </w:tr>
            <w:tr w14:paraId="3CEB0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24" w:type="pct"/>
                  <w:tcBorders>
                    <w:tl2br w:val="nil"/>
                    <w:tr2bl w:val="nil"/>
                  </w:tcBorders>
                  <w:shd w:val="clear" w:color="auto" w:fill="auto"/>
                  <w:noWrap/>
                  <w:vAlign w:val="center"/>
                </w:tcPr>
                <w:p w14:paraId="514B68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13</w:t>
                  </w:r>
                </w:p>
              </w:tc>
              <w:tc>
                <w:tcPr>
                  <w:tcW w:w="1013" w:type="pct"/>
                  <w:tcBorders>
                    <w:tl2br w:val="nil"/>
                    <w:tr2bl w:val="nil"/>
                  </w:tcBorders>
                  <w:shd w:val="clear" w:color="auto" w:fill="auto"/>
                  <w:noWrap/>
                  <w:vAlign w:val="center"/>
                </w:tcPr>
                <w:p w14:paraId="6B9519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污泥罐</w:t>
                  </w:r>
                </w:p>
              </w:tc>
              <w:tc>
                <w:tcPr>
                  <w:tcW w:w="2752" w:type="pct"/>
                  <w:tcBorders>
                    <w:tl2br w:val="nil"/>
                    <w:tr2bl w:val="nil"/>
                  </w:tcBorders>
                  <w:shd w:val="clear" w:color="auto" w:fill="auto"/>
                  <w:noWrap/>
                  <w:vAlign w:val="center"/>
                </w:tcPr>
                <w:p w14:paraId="642B70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3000x2000，碳钢防腐</w:t>
                  </w:r>
                </w:p>
              </w:tc>
              <w:tc>
                <w:tcPr>
                  <w:tcW w:w="441" w:type="pct"/>
                  <w:tcBorders>
                    <w:tl2br w:val="nil"/>
                    <w:tr2bl w:val="nil"/>
                  </w:tcBorders>
                  <w:shd w:val="clear" w:color="auto" w:fill="auto"/>
                  <w:noWrap/>
                  <w:vAlign w:val="center"/>
                </w:tcPr>
                <w:p w14:paraId="7C5B38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台</w:t>
                  </w:r>
                </w:p>
              </w:tc>
              <w:tc>
                <w:tcPr>
                  <w:tcW w:w="468" w:type="pct"/>
                  <w:tcBorders>
                    <w:tl2br w:val="nil"/>
                    <w:tr2bl w:val="nil"/>
                  </w:tcBorders>
                  <w:shd w:val="clear" w:color="auto" w:fill="auto"/>
                  <w:noWrap/>
                  <w:vAlign w:val="center"/>
                </w:tcPr>
                <w:p w14:paraId="3615C5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r>
          </w:tbl>
          <w:p w14:paraId="082A5A7A">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right="0"/>
              <w:jc w:val="left"/>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 xml:space="preserve">4 </w:t>
            </w:r>
            <w:r>
              <w:rPr>
                <w:rFonts w:hint="eastAsia" w:ascii="Times New Roman" w:hAnsi="Times New Roman" w:eastAsia="宋体" w:cs="Times New Roman"/>
                <w:b/>
                <w:bCs/>
                <w:color w:val="auto"/>
                <w:kern w:val="0"/>
                <w:sz w:val="24"/>
                <w:szCs w:val="24"/>
                <w:lang w:val="en-US" w:eastAsia="zh-CN"/>
              </w:rPr>
              <w:t>原辅材料</w:t>
            </w:r>
          </w:p>
          <w:p w14:paraId="75DE3032">
            <w:pPr>
              <w:keepNext w:val="0"/>
              <w:keepLines w:val="0"/>
              <w:pageBreakBefore w:val="0"/>
              <w:widowControl w:val="0"/>
              <w:suppressLineNumbers w:val="0"/>
              <w:kinsoku/>
              <w:wordWrap/>
              <w:overflowPunct/>
              <w:topLinePunct w:val="0"/>
              <w:bidi w:val="0"/>
              <w:snapToGrid/>
              <w:spacing w:beforeAutospacing="0" w:afterAutospacing="0" w:line="360" w:lineRule="auto"/>
              <w:ind w:right="0"/>
              <w:textAlignment w:val="auto"/>
              <w:rPr>
                <w:rFonts w:hint="default"/>
                <w:sz w:val="24"/>
                <w:szCs w:val="24"/>
                <w:lang w:val="en-US" w:eastAsia="zh-CN"/>
              </w:rPr>
            </w:pP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项目原辅材料消耗</w:t>
            </w:r>
            <w:r>
              <w:rPr>
                <w:rFonts w:hint="eastAsia" w:cs="Times New Roman"/>
                <w:b/>
                <w:bCs/>
                <w:color w:val="auto"/>
                <w:sz w:val="24"/>
                <w:szCs w:val="24"/>
                <w:lang w:val="en-US" w:eastAsia="zh-CN"/>
              </w:rPr>
              <w:t>及产品方案</w:t>
            </w:r>
            <w:r>
              <w:rPr>
                <w:rFonts w:hint="default" w:ascii="Times New Roman" w:hAnsi="Times New Roman" w:eastAsia="宋体" w:cs="Times New Roman"/>
                <w:b/>
                <w:bCs/>
                <w:color w:val="auto"/>
                <w:sz w:val="24"/>
                <w:szCs w:val="24"/>
                <w:lang w:eastAsia="zh-CN"/>
              </w:rPr>
              <w:t>见下表</w:t>
            </w: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6、2-7、2-8。</w:t>
            </w:r>
          </w:p>
          <w:p w14:paraId="64818C9E">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firstLine="420" w:firstLineChars="200"/>
              <w:jc w:val="center"/>
              <w:textAlignment w:val="auto"/>
              <w:rPr>
                <w:rFonts w:hint="eastAsia" w:ascii="黑体" w:hAnsi="黑体" w:eastAsia="黑体" w:cs="黑体"/>
                <w:b w:val="0"/>
                <w:bCs w:val="0"/>
                <w:color w:val="auto"/>
                <w:kern w:val="0"/>
                <w:sz w:val="21"/>
                <w:szCs w:val="21"/>
                <w:lang w:eastAsia="zh-CN"/>
              </w:rPr>
            </w:pPr>
            <w:r>
              <w:rPr>
                <w:rFonts w:hint="eastAsia" w:ascii="黑体" w:hAnsi="黑体" w:eastAsia="黑体" w:cs="黑体"/>
                <w:b w:val="0"/>
                <w:bCs w:val="0"/>
                <w:color w:val="auto"/>
                <w:kern w:val="0"/>
                <w:sz w:val="21"/>
                <w:szCs w:val="21"/>
                <w:lang w:eastAsia="zh-CN"/>
              </w:rPr>
              <w:t>表</w:t>
            </w:r>
            <w:r>
              <w:rPr>
                <w:rFonts w:hint="eastAsia" w:cs="黑体"/>
                <w:b w:val="0"/>
                <w:bCs w:val="0"/>
                <w:color w:val="auto"/>
                <w:kern w:val="0"/>
                <w:sz w:val="21"/>
                <w:szCs w:val="21"/>
                <w:lang w:val="en-US" w:eastAsia="zh-CN"/>
              </w:rPr>
              <w:t>2-6</w:t>
            </w:r>
            <w:r>
              <w:rPr>
                <w:rFonts w:hint="eastAsia" w:ascii="黑体" w:hAnsi="黑体" w:eastAsia="黑体" w:cs="黑体"/>
                <w:b w:val="0"/>
                <w:bCs w:val="0"/>
                <w:color w:val="auto"/>
                <w:kern w:val="0"/>
                <w:sz w:val="21"/>
                <w:szCs w:val="21"/>
                <w:lang w:val="en-US" w:eastAsia="zh-CN"/>
              </w:rPr>
              <w:t xml:space="preserve">   </w:t>
            </w:r>
            <w:r>
              <w:rPr>
                <w:rFonts w:hint="eastAsia" w:ascii="黑体" w:hAnsi="黑体" w:eastAsia="黑体" w:cs="黑体"/>
                <w:b w:val="0"/>
                <w:bCs w:val="0"/>
                <w:color w:val="auto"/>
                <w:kern w:val="0"/>
                <w:sz w:val="21"/>
                <w:szCs w:val="21"/>
                <w:lang w:eastAsia="zh-CN"/>
              </w:rPr>
              <w:t>原辅材料、</w:t>
            </w:r>
            <w:r>
              <w:rPr>
                <w:rFonts w:hint="eastAsia" w:ascii="黑体" w:hAnsi="黑体" w:eastAsia="黑体" w:cs="黑体"/>
                <w:b w:val="0"/>
                <w:bCs w:val="0"/>
                <w:color w:val="auto"/>
                <w:kern w:val="0"/>
                <w:sz w:val="21"/>
                <w:szCs w:val="21"/>
                <w:lang w:val="en-US" w:eastAsia="zh-CN"/>
              </w:rPr>
              <w:t>产品</w:t>
            </w:r>
            <w:r>
              <w:rPr>
                <w:rFonts w:hint="eastAsia" w:ascii="黑体" w:hAnsi="黑体" w:eastAsia="黑体" w:cs="黑体"/>
                <w:b w:val="0"/>
                <w:bCs w:val="0"/>
                <w:color w:val="auto"/>
                <w:kern w:val="0"/>
                <w:sz w:val="21"/>
                <w:szCs w:val="21"/>
                <w:lang w:eastAsia="zh-CN"/>
              </w:rPr>
              <w:t>名称及消耗量一览表</w:t>
            </w:r>
          </w:p>
          <w:tbl>
            <w:tblPr>
              <w:tblStyle w:val="21"/>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4"/>
              <w:gridCol w:w="1265"/>
              <w:gridCol w:w="1156"/>
              <w:gridCol w:w="2739"/>
              <w:gridCol w:w="1817"/>
            </w:tblGrid>
            <w:tr w14:paraId="61267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355" w:type="pct"/>
                  <w:tcBorders>
                    <w:tl2br w:val="nil"/>
                    <w:tr2bl w:val="nil"/>
                  </w:tcBorders>
                  <w:noWrap w:val="0"/>
                  <w:vAlign w:val="center"/>
                </w:tcPr>
                <w:p w14:paraId="1C2CB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42" w:type="pct"/>
                  <w:tcBorders>
                    <w:tl2br w:val="nil"/>
                    <w:tr2bl w:val="nil"/>
                  </w:tcBorders>
                  <w:noWrap w:val="0"/>
                  <w:vAlign w:val="center"/>
                </w:tcPr>
                <w:p w14:paraId="1F006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769" w:type="pct"/>
                  <w:tcBorders>
                    <w:tl2br w:val="nil"/>
                    <w:tr2bl w:val="nil"/>
                  </w:tcBorders>
                  <w:noWrap w:val="0"/>
                  <w:vAlign w:val="center"/>
                </w:tcPr>
                <w:p w14:paraId="15540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消耗</w:t>
                  </w:r>
                  <w:r>
                    <w:rPr>
                      <w:rFonts w:hint="default" w:ascii="Times New Roman" w:hAnsi="Times New Roman" w:eastAsia="宋体" w:cs="Times New Roman"/>
                      <w:color w:val="auto"/>
                      <w:sz w:val="21"/>
                      <w:szCs w:val="21"/>
                    </w:rPr>
                    <w:t>量（t/a）</w:t>
                  </w:r>
                </w:p>
              </w:tc>
              <w:tc>
                <w:tcPr>
                  <w:tcW w:w="1823" w:type="pct"/>
                  <w:tcBorders>
                    <w:tl2br w:val="nil"/>
                    <w:tr2bl w:val="nil"/>
                  </w:tcBorders>
                  <w:noWrap w:val="0"/>
                  <w:vAlign w:val="center"/>
                </w:tcPr>
                <w:p w14:paraId="3F6F7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储存位置</w:t>
                  </w:r>
                </w:p>
              </w:tc>
              <w:tc>
                <w:tcPr>
                  <w:tcW w:w="1209" w:type="pct"/>
                  <w:tcBorders>
                    <w:tl2br w:val="nil"/>
                    <w:tr2bl w:val="nil"/>
                  </w:tcBorders>
                  <w:noWrap w:val="0"/>
                  <w:vAlign w:val="center"/>
                </w:tcPr>
                <w:p w14:paraId="0C08A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来源</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用途</w:t>
                  </w:r>
                  <w:r>
                    <w:rPr>
                      <w:rFonts w:hint="eastAsia" w:ascii="Times New Roman" w:hAnsi="Times New Roman" w:eastAsia="宋体" w:cs="Times New Roman"/>
                      <w:color w:val="auto"/>
                      <w:sz w:val="21"/>
                      <w:szCs w:val="21"/>
                      <w:lang w:eastAsia="zh-CN"/>
                    </w:rPr>
                    <w:t>）</w:t>
                  </w:r>
                </w:p>
              </w:tc>
            </w:tr>
            <w:tr w14:paraId="0461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355" w:type="pct"/>
                  <w:tcBorders>
                    <w:tl2br w:val="nil"/>
                    <w:tr2bl w:val="nil"/>
                  </w:tcBorders>
                  <w:noWrap w:val="0"/>
                  <w:vAlign w:val="center"/>
                </w:tcPr>
                <w:p w14:paraId="34658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42" w:type="pct"/>
                  <w:tcBorders>
                    <w:tl2br w:val="nil"/>
                    <w:tr2bl w:val="nil"/>
                  </w:tcBorders>
                  <w:noWrap w:val="0"/>
                  <w:vAlign w:val="center"/>
                </w:tcPr>
                <w:p w14:paraId="2DD2A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棉籽</w:t>
                  </w:r>
                </w:p>
              </w:tc>
              <w:tc>
                <w:tcPr>
                  <w:tcW w:w="769" w:type="pct"/>
                  <w:tcBorders>
                    <w:tl2br w:val="nil"/>
                    <w:tr2bl w:val="nil"/>
                  </w:tcBorders>
                  <w:noWrap w:val="0"/>
                  <w:vAlign w:val="center"/>
                </w:tcPr>
                <w:p w14:paraId="6BC9E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120000</w:t>
                  </w:r>
                </w:p>
              </w:tc>
              <w:tc>
                <w:tcPr>
                  <w:tcW w:w="1823" w:type="pct"/>
                  <w:tcBorders>
                    <w:tl2br w:val="nil"/>
                    <w:tr2bl w:val="nil"/>
                  </w:tcBorders>
                  <w:noWrap w:val="0"/>
                  <w:vAlign w:val="center"/>
                </w:tcPr>
                <w:p w14:paraId="3A2D6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粉碎包装车间</w:t>
                  </w:r>
                </w:p>
              </w:tc>
              <w:tc>
                <w:tcPr>
                  <w:tcW w:w="1209" w:type="pct"/>
                  <w:tcBorders>
                    <w:tl2br w:val="nil"/>
                    <w:tr2bl w:val="nil"/>
                  </w:tcBorders>
                  <w:noWrap w:val="0"/>
                  <w:vAlign w:val="center"/>
                </w:tcPr>
                <w:p w14:paraId="6CBF8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外购</w:t>
                  </w:r>
                </w:p>
              </w:tc>
            </w:tr>
            <w:tr w14:paraId="2D528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jc w:val="center"/>
              </w:trPr>
              <w:tc>
                <w:tcPr>
                  <w:tcW w:w="355" w:type="pct"/>
                  <w:tcBorders>
                    <w:tl2br w:val="nil"/>
                    <w:tr2bl w:val="nil"/>
                  </w:tcBorders>
                  <w:noWrap w:val="0"/>
                  <w:vAlign w:val="center"/>
                </w:tcPr>
                <w:p w14:paraId="6D732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842" w:type="pct"/>
                  <w:tcBorders>
                    <w:tl2br w:val="nil"/>
                    <w:tr2bl w:val="nil"/>
                  </w:tcBorders>
                  <w:noWrap w:val="0"/>
                  <w:vAlign w:val="center"/>
                </w:tcPr>
                <w:p w14:paraId="02A60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6#溶剂油</w:t>
                  </w:r>
                </w:p>
              </w:tc>
              <w:tc>
                <w:tcPr>
                  <w:tcW w:w="769" w:type="pct"/>
                  <w:tcBorders>
                    <w:tl2br w:val="nil"/>
                    <w:tr2bl w:val="nil"/>
                  </w:tcBorders>
                  <w:noWrap w:val="0"/>
                  <w:vAlign w:val="center"/>
                </w:tcPr>
                <w:p w14:paraId="1C816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289</w:t>
                  </w:r>
                </w:p>
              </w:tc>
              <w:tc>
                <w:tcPr>
                  <w:tcW w:w="1823" w:type="pct"/>
                  <w:tcBorders>
                    <w:tl2br w:val="nil"/>
                    <w:tr2bl w:val="nil"/>
                  </w:tcBorders>
                  <w:noWrap w:val="0"/>
                  <w:vAlign w:val="center"/>
                </w:tcPr>
                <w:p w14:paraId="5AD7D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地埋式溶剂罐</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最大储存量</w:t>
                  </w:r>
                  <w:r>
                    <w:rPr>
                      <w:rFonts w:hint="eastAsia" w:cs="Times New Roman"/>
                      <w:color w:val="auto"/>
                      <w:sz w:val="21"/>
                      <w:szCs w:val="21"/>
                      <w:highlight w:val="none"/>
                      <w:lang w:val="en-US" w:eastAsia="zh-CN"/>
                    </w:rPr>
                    <w:t>5t</w:t>
                  </w:r>
                  <w:r>
                    <w:rPr>
                      <w:rFonts w:hint="eastAsia" w:ascii="Times New Roman" w:hAnsi="Times New Roman" w:eastAsia="宋体" w:cs="Times New Roman"/>
                      <w:color w:val="auto"/>
                      <w:sz w:val="21"/>
                      <w:szCs w:val="21"/>
                      <w:highlight w:val="none"/>
                      <w:lang w:val="en-US" w:eastAsia="zh-CN"/>
                    </w:rPr>
                    <w:t>）</w:t>
                  </w:r>
                </w:p>
              </w:tc>
              <w:tc>
                <w:tcPr>
                  <w:tcW w:w="1209" w:type="pct"/>
                  <w:tcBorders>
                    <w:tl2br w:val="nil"/>
                    <w:tr2bl w:val="nil"/>
                  </w:tcBorders>
                  <w:noWrap w:val="0"/>
                  <w:vAlign w:val="center"/>
                </w:tcPr>
                <w:p w14:paraId="6500FD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外购</w:t>
                  </w:r>
                </w:p>
              </w:tc>
            </w:tr>
            <w:tr w14:paraId="40300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355" w:type="pct"/>
                  <w:tcBorders>
                    <w:tl2br w:val="nil"/>
                    <w:tr2bl w:val="nil"/>
                  </w:tcBorders>
                  <w:noWrap w:val="0"/>
                  <w:vAlign w:val="center"/>
                </w:tcPr>
                <w:p w14:paraId="23036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842" w:type="pct"/>
                  <w:tcBorders>
                    <w:tl2br w:val="nil"/>
                    <w:tr2bl w:val="nil"/>
                  </w:tcBorders>
                  <w:noWrap w:val="0"/>
                  <w:vAlign w:val="center"/>
                </w:tcPr>
                <w:p w14:paraId="69F57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火碱</w:t>
                  </w:r>
                  <w:r>
                    <w:rPr>
                      <w:rFonts w:hint="eastAsia" w:cs="Times New Roman"/>
                      <w:color w:val="auto"/>
                      <w:sz w:val="21"/>
                      <w:szCs w:val="21"/>
                      <w:lang w:val="en-US" w:eastAsia="zh-CN"/>
                    </w:rPr>
                    <w:t>（片碱）</w:t>
                  </w:r>
                </w:p>
              </w:tc>
              <w:tc>
                <w:tcPr>
                  <w:tcW w:w="769" w:type="pct"/>
                  <w:tcBorders>
                    <w:tl2br w:val="nil"/>
                    <w:tr2bl w:val="nil"/>
                  </w:tcBorders>
                  <w:noWrap w:val="0"/>
                  <w:vAlign w:val="center"/>
                </w:tcPr>
                <w:p w14:paraId="7F9EE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220</w:t>
                  </w:r>
                </w:p>
              </w:tc>
              <w:tc>
                <w:tcPr>
                  <w:tcW w:w="1823" w:type="pct"/>
                  <w:tcBorders>
                    <w:tl2br w:val="nil"/>
                    <w:tr2bl w:val="nil"/>
                  </w:tcBorders>
                  <w:noWrap w:val="0"/>
                  <w:vAlign w:val="center"/>
                </w:tcPr>
                <w:p w14:paraId="0210A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精炼车间  </w:t>
                  </w:r>
                </w:p>
              </w:tc>
              <w:tc>
                <w:tcPr>
                  <w:tcW w:w="1209" w:type="pct"/>
                  <w:tcBorders>
                    <w:tl2br w:val="nil"/>
                    <w:tr2bl w:val="nil"/>
                  </w:tcBorders>
                  <w:noWrap w:val="0"/>
                  <w:vAlign w:val="center"/>
                </w:tcPr>
                <w:p w14:paraId="5A6EC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外购</w:t>
                  </w:r>
                </w:p>
              </w:tc>
            </w:tr>
            <w:tr w14:paraId="4911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355" w:type="pct"/>
                  <w:tcBorders>
                    <w:tl2br w:val="nil"/>
                    <w:tr2bl w:val="nil"/>
                  </w:tcBorders>
                  <w:noWrap w:val="0"/>
                  <w:vAlign w:val="center"/>
                </w:tcPr>
                <w:p w14:paraId="7028D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842" w:type="pct"/>
                  <w:tcBorders>
                    <w:tl2br w:val="nil"/>
                    <w:tr2bl w:val="nil"/>
                  </w:tcBorders>
                  <w:noWrap w:val="0"/>
                  <w:vAlign w:val="center"/>
                </w:tcPr>
                <w:p w14:paraId="248B6C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磷酸（食品级）</w:t>
                  </w:r>
                </w:p>
              </w:tc>
              <w:tc>
                <w:tcPr>
                  <w:tcW w:w="769" w:type="pct"/>
                  <w:tcBorders>
                    <w:tl2br w:val="nil"/>
                    <w:tr2bl w:val="nil"/>
                  </w:tcBorders>
                  <w:noWrap w:val="0"/>
                  <w:vAlign w:val="center"/>
                </w:tcPr>
                <w:p w14:paraId="793D0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1823" w:type="pct"/>
                  <w:tcBorders>
                    <w:tl2br w:val="nil"/>
                    <w:tr2bl w:val="nil"/>
                  </w:tcBorders>
                  <w:noWrap w:val="0"/>
                  <w:vAlign w:val="center"/>
                </w:tcPr>
                <w:p w14:paraId="2D8AF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库房</w:t>
                  </w:r>
                </w:p>
              </w:tc>
              <w:tc>
                <w:tcPr>
                  <w:tcW w:w="1209" w:type="pct"/>
                  <w:tcBorders>
                    <w:tl2br w:val="nil"/>
                    <w:tr2bl w:val="nil"/>
                  </w:tcBorders>
                  <w:noWrap w:val="0"/>
                  <w:vAlign w:val="center"/>
                </w:tcPr>
                <w:p w14:paraId="1395F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外购</w:t>
                  </w:r>
                </w:p>
              </w:tc>
            </w:tr>
            <w:tr w14:paraId="441B0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355" w:type="pct"/>
                  <w:tcBorders>
                    <w:tl2br w:val="nil"/>
                    <w:tr2bl w:val="nil"/>
                  </w:tcBorders>
                  <w:noWrap w:val="0"/>
                  <w:vAlign w:val="center"/>
                </w:tcPr>
                <w:p w14:paraId="1F11C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842" w:type="pct"/>
                  <w:tcBorders>
                    <w:tl2br w:val="nil"/>
                    <w:tr2bl w:val="nil"/>
                  </w:tcBorders>
                  <w:noWrap w:val="0"/>
                  <w:vAlign w:val="center"/>
                </w:tcPr>
                <w:p w14:paraId="16008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植物除臭剂</w:t>
                  </w:r>
                </w:p>
              </w:tc>
              <w:tc>
                <w:tcPr>
                  <w:tcW w:w="769" w:type="pct"/>
                  <w:tcBorders>
                    <w:tl2br w:val="nil"/>
                    <w:tr2bl w:val="nil"/>
                  </w:tcBorders>
                  <w:noWrap w:val="0"/>
                  <w:vAlign w:val="center"/>
                </w:tcPr>
                <w:p w14:paraId="69FCA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c>
                <w:tcPr>
                  <w:tcW w:w="1823" w:type="pct"/>
                  <w:tcBorders>
                    <w:tl2br w:val="nil"/>
                    <w:tr2bl w:val="nil"/>
                  </w:tcBorders>
                  <w:noWrap w:val="0"/>
                  <w:vAlign w:val="center"/>
                </w:tcPr>
                <w:p w14:paraId="4C42E68F">
                  <w:pPr>
                    <w:keepNext w:val="0"/>
                    <w:keepLines w:val="0"/>
                    <w:pageBreakBefore w:val="0"/>
                    <w:widowControl w:val="0"/>
                    <w:suppressLineNumbers w:val="0"/>
                    <w:tabs>
                      <w:tab w:val="left" w:pos="231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污水处理站</w:t>
                  </w:r>
                </w:p>
              </w:tc>
              <w:tc>
                <w:tcPr>
                  <w:tcW w:w="1209" w:type="pct"/>
                  <w:tcBorders>
                    <w:tl2br w:val="nil"/>
                    <w:tr2bl w:val="nil"/>
                  </w:tcBorders>
                  <w:noWrap w:val="0"/>
                  <w:vAlign w:val="center"/>
                </w:tcPr>
                <w:p w14:paraId="50B54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外购</w:t>
                  </w:r>
                </w:p>
              </w:tc>
            </w:tr>
            <w:tr w14:paraId="40C75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355" w:type="pct"/>
                  <w:tcBorders>
                    <w:tl2br w:val="nil"/>
                    <w:tr2bl w:val="nil"/>
                  </w:tcBorders>
                  <w:noWrap w:val="0"/>
                  <w:vAlign w:val="center"/>
                </w:tcPr>
                <w:p w14:paraId="5C274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842" w:type="pct"/>
                  <w:tcBorders>
                    <w:tl2br w:val="nil"/>
                    <w:tr2bl w:val="nil"/>
                  </w:tcBorders>
                  <w:noWrap w:val="0"/>
                  <w:vAlign w:val="center"/>
                </w:tcPr>
                <w:p w14:paraId="74F3B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成品包装</w:t>
                  </w:r>
                </w:p>
              </w:tc>
              <w:tc>
                <w:tcPr>
                  <w:tcW w:w="769" w:type="pct"/>
                  <w:tcBorders>
                    <w:tl2br w:val="nil"/>
                    <w:tr2bl w:val="nil"/>
                  </w:tcBorders>
                  <w:noWrap w:val="0"/>
                  <w:vAlign w:val="center"/>
                </w:tcPr>
                <w:p w14:paraId="1B103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6000</w:t>
                  </w:r>
                </w:p>
              </w:tc>
              <w:tc>
                <w:tcPr>
                  <w:tcW w:w="1823" w:type="pct"/>
                  <w:tcBorders>
                    <w:tl2br w:val="nil"/>
                    <w:tr2bl w:val="nil"/>
                  </w:tcBorders>
                  <w:noWrap w:val="0"/>
                  <w:vAlign w:val="center"/>
                </w:tcPr>
                <w:p w14:paraId="4592B1DF">
                  <w:pPr>
                    <w:keepNext w:val="0"/>
                    <w:keepLines w:val="0"/>
                    <w:pageBreakBefore w:val="0"/>
                    <w:widowControl w:val="0"/>
                    <w:suppressLineNumbers w:val="0"/>
                    <w:tabs>
                      <w:tab w:val="left" w:pos="231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highlight w:val="none"/>
                      <w:lang w:val="en-US" w:eastAsia="zh-CN"/>
                    </w:rPr>
                    <w:t>粉碎蛋白车间</w:t>
                  </w:r>
                </w:p>
              </w:tc>
              <w:tc>
                <w:tcPr>
                  <w:tcW w:w="1209" w:type="pct"/>
                  <w:tcBorders>
                    <w:tl2br w:val="nil"/>
                    <w:tr2bl w:val="nil"/>
                  </w:tcBorders>
                  <w:noWrap w:val="0"/>
                  <w:vAlign w:val="center"/>
                </w:tcPr>
                <w:p w14:paraId="7FA02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外购</w:t>
                  </w:r>
                </w:p>
              </w:tc>
            </w:tr>
          </w:tbl>
          <w:p w14:paraId="7AA41EBF">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firstLine="420" w:firstLineChars="200"/>
              <w:jc w:val="center"/>
              <w:textAlignment w:val="auto"/>
              <w:rPr>
                <w:rFonts w:hint="eastAsia" w:ascii="黑体" w:hAnsi="黑体" w:eastAsia="黑体" w:cs="黑体"/>
                <w:b w:val="0"/>
                <w:bCs w:val="0"/>
                <w:color w:val="auto"/>
                <w:kern w:val="0"/>
                <w:sz w:val="21"/>
                <w:szCs w:val="21"/>
                <w:lang w:val="en-US" w:eastAsia="zh-CN"/>
              </w:rPr>
            </w:pPr>
            <w:r>
              <w:rPr>
                <w:rFonts w:hint="eastAsia" w:ascii="黑体" w:hAnsi="黑体" w:eastAsia="黑体" w:cs="黑体"/>
                <w:b w:val="0"/>
                <w:bCs w:val="0"/>
                <w:color w:val="auto"/>
                <w:kern w:val="0"/>
                <w:sz w:val="21"/>
                <w:szCs w:val="21"/>
                <w:lang w:eastAsia="zh-CN"/>
              </w:rPr>
              <w:t>表</w:t>
            </w:r>
            <w:r>
              <w:rPr>
                <w:rFonts w:hint="eastAsia" w:cs="黑体"/>
                <w:b w:val="0"/>
                <w:bCs w:val="0"/>
                <w:color w:val="auto"/>
                <w:kern w:val="0"/>
                <w:sz w:val="21"/>
                <w:szCs w:val="21"/>
                <w:lang w:val="en-US" w:eastAsia="zh-CN"/>
              </w:rPr>
              <w:t>2</w:t>
            </w:r>
            <w:r>
              <w:rPr>
                <w:rFonts w:hint="eastAsia" w:ascii="黑体" w:hAnsi="黑体" w:eastAsia="黑体" w:cs="黑体"/>
                <w:b w:val="0"/>
                <w:bCs w:val="0"/>
                <w:color w:val="auto"/>
                <w:kern w:val="0"/>
                <w:sz w:val="21"/>
                <w:szCs w:val="21"/>
                <w:lang w:val="en-US" w:eastAsia="zh-CN"/>
              </w:rPr>
              <w:t>-</w:t>
            </w:r>
            <w:r>
              <w:rPr>
                <w:rFonts w:hint="eastAsia" w:cs="黑体"/>
                <w:b w:val="0"/>
                <w:bCs w:val="0"/>
                <w:color w:val="auto"/>
                <w:kern w:val="0"/>
                <w:sz w:val="21"/>
                <w:szCs w:val="21"/>
                <w:lang w:val="en-US" w:eastAsia="zh-CN"/>
              </w:rPr>
              <w:t>7</w:t>
            </w:r>
            <w:r>
              <w:rPr>
                <w:rFonts w:hint="eastAsia" w:ascii="黑体" w:hAnsi="黑体" w:eastAsia="黑体" w:cs="黑体"/>
                <w:b w:val="0"/>
                <w:bCs w:val="0"/>
                <w:color w:val="auto"/>
                <w:kern w:val="0"/>
                <w:sz w:val="21"/>
                <w:szCs w:val="21"/>
                <w:lang w:val="en-US" w:eastAsia="zh-CN"/>
              </w:rPr>
              <w:t xml:space="preserve">   产品方案表</w:t>
            </w:r>
          </w:p>
          <w:tbl>
            <w:tblPr>
              <w:tblStyle w:val="22"/>
              <w:tblW w:w="4987"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5"/>
              <w:gridCol w:w="1312"/>
              <w:gridCol w:w="1083"/>
              <w:gridCol w:w="2739"/>
              <w:gridCol w:w="1830"/>
            </w:tblGrid>
            <w:tr w14:paraId="21A4D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57" w:type="pct"/>
                  <w:tcBorders>
                    <w:tl2br w:val="nil"/>
                    <w:tr2bl w:val="nil"/>
                  </w:tcBorders>
                  <w:vAlign w:val="center"/>
                </w:tcPr>
                <w:p w14:paraId="70E80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序号</w:t>
                  </w:r>
                </w:p>
              </w:tc>
              <w:tc>
                <w:tcPr>
                  <w:tcW w:w="874" w:type="pct"/>
                  <w:tcBorders>
                    <w:tl2br w:val="nil"/>
                    <w:tr2bl w:val="nil"/>
                  </w:tcBorders>
                  <w:vAlign w:val="center"/>
                </w:tcPr>
                <w:p w14:paraId="45254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名称</w:t>
                  </w:r>
                </w:p>
              </w:tc>
              <w:tc>
                <w:tcPr>
                  <w:tcW w:w="722" w:type="pct"/>
                  <w:tcBorders>
                    <w:tl2br w:val="nil"/>
                    <w:tr2bl w:val="nil"/>
                  </w:tcBorders>
                  <w:vAlign w:val="center"/>
                </w:tcPr>
                <w:p w14:paraId="11CD66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消耗</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量（t/a）</w:t>
                  </w:r>
                </w:p>
              </w:tc>
              <w:tc>
                <w:tcPr>
                  <w:tcW w:w="1825" w:type="pct"/>
                  <w:tcBorders>
                    <w:tl2br w:val="nil"/>
                    <w:tr2bl w:val="nil"/>
                  </w:tcBorders>
                  <w:vAlign w:val="center"/>
                </w:tcPr>
                <w:p w14:paraId="23443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储存位置</w:t>
                  </w:r>
                </w:p>
              </w:tc>
              <w:tc>
                <w:tcPr>
                  <w:tcW w:w="1219" w:type="pct"/>
                  <w:tcBorders>
                    <w:tl2br w:val="nil"/>
                    <w:tr2bl w:val="nil"/>
                  </w:tcBorders>
                  <w:vAlign w:val="center"/>
                </w:tcPr>
                <w:p w14:paraId="05909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来源</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用途</w:t>
                  </w:r>
                  <w:r>
                    <w:rPr>
                      <w:rFonts w:hint="eastAsia" w:ascii="Times New Roman" w:hAnsi="Times New Roman" w:eastAsia="宋体" w:cs="Times New Roman"/>
                      <w:color w:val="auto"/>
                      <w:sz w:val="21"/>
                      <w:szCs w:val="21"/>
                      <w:lang w:eastAsia="zh-CN"/>
                    </w:rPr>
                    <w:t>）</w:t>
                  </w:r>
                </w:p>
              </w:tc>
            </w:tr>
            <w:tr w14:paraId="01310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357" w:type="pct"/>
                  <w:tcBorders>
                    <w:tl2br w:val="nil"/>
                    <w:tr2bl w:val="nil"/>
                  </w:tcBorders>
                  <w:vAlign w:val="center"/>
                </w:tcPr>
                <w:p w14:paraId="4B186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874" w:type="pct"/>
                  <w:tcBorders>
                    <w:tl2br w:val="nil"/>
                    <w:tr2bl w:val="nil"/>
                  </w:tcBorders>
                  <w:vAlign w:val="center"/>
                </w:tcPr>
                <w:p w14:paraId="63FE7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棉粕</w:t>
                  </w:r>
                  <w:r>
                    <w:rPr>
                      <w:rFonts w:hint="eastAsia" w:ascii="Times New Roman" w:hAnsi="Times New Roman" w:eastAsia="宋体" w:cs="Times New Roman"/>
                      <w:b w:val="0"/>
                      <w:bCs w:val="0"/>
                      <w:color w:val="000000"/>
                      <w:sz w:val="21"/>
                      <w:szCs w:val="21"/>
                      <w:vertAlign w:val="baseline"/>
                      <w:lang w:val="en-US" w:eastAsia="zh-CN"/>
                    </w:rPr>
                    <w:t>（</w:t>
                  </w:r>
                  <w:r>
                    <w:rPr>
                      <w:rFonts w:hint="eastAsia" w:ascii="Times New Roman" w:hAnsi="Times New Roman" w:eastAsia="宋体" w:cs="Times New Roman"/>
                      <w:color w:val="auto"/>
                      <w:sz w:val="21"/>
                      <w:szCs w:val="21"/>
                      <w:lang w:val="en-US" w:eastAsia="zh-CN"/>
                    </w:rPr>
                    <w:t>植物蛋白</w:t>
                  </w:r>
                  <w:r>
                    <w:rPr>
                      <w:rFonts w:hint="eastAsia" w:ascii="Times New Roman" w:hAnsi="Times New Roman" w:eastAsia="宋体" w:cs="Times New Roman"/>
                      <w:b w:val="0"/>
                      <w:bCs w:val="0"/>
                      <w:color w:val="000000"/>
                      <w:sz w:val="21"/>
                      <w:szCs w:val="21"/>
                      <w:vertAlign w:val="baseline"/>
                      <w:lang w:val="en-US" w:eastAsia="zh-CN"/>
                    </w:rPr>
                    <w:t>）</w:t>
                  </w:r>
                </w:p>
              </w:tc>
              <w:tc>
                <w:tcPr>
                  <w:tcW w:w="722" w:type="pct"/>
                  <w:tcBorders>
                    <w:tl2br w:val="nil"/>
                    <w:tr2bl w:val="nil"/>
                  </w:tcBorders>
                  <w:vAlign w:val="center"/>
                </w:tcPr>
                <w:p w14:paraId="675C84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40000</w:t>
                  </w:r>
                </w:p>
              </w:tc>
              <w:tc>
                <w:tcPr>
                  <w:tcW w:w="1825" w:type="pct"/>
                  <w:tcBorders>
                    <w:tl2br w:val="nil"/>
                    <w:tr2bl w:val="nil"/>
                  </w:tcBorders>
                  <w:vAlign w:val="center"/>
                </w:tcPr>
                <w:p w14:paraId="07FC19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粉碎包装车间</w:t>
                  </w:r>
                </w:p>
              </w:tc>
              <w:tc>
                <w:tcPr>
                  <w:tcW w:w="1219" w:type="pct"/>
                  <w:tcBorders>
                    <w:tl2br w:val="nil"/>
                    <w:tr2bl w:val="nil"/>
                  </w:tcBorders>
                  <w:vAlign w:val="center"/>
                </w:tcPr>
                <w:p w14:paraId="604B5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667F6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 w:type="pct"/>
                  <w:tcBorders>
                    <w:tl2br w:val="nil"/>
                    <w:tr2bl w:val="nil"/>
                  </w:tcBorders>
                  <w:vAlign w:val="center"/>
                </w:tcPr>
                <w:p w14:paraId="4F6484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874" w:type="pct"/>
                  <w:tcBorders>
                    <w:tl2br w:val="nil"/>
                    <w:tr2bl w:val="nil"/>
                  </w:tcBorders>
                  <w:vAlign w:val="center"/>
                </w:tcPr>
                <w:p w14:paraId="079C5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三级成品油</w:t>
                  </w:r>
                </w:p>
              </w:tc>
              <w:tc>
                <w:tcPr>
                  <w:tcW w:w="722" w:type="pct"/>
                  <w:tcBorders>
                    <w:tl2br w:val="nil"/>
                    <w:tr2bl w:val="nil"/>
                  </w:tcBorders>
                  <w:vAlign w:val="center"/>
                </w:tcPr>
                <w:p w14:paraId="277A6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12000</w:t>
                  </w:r>
                </w:p>
              </w:tc>
              <w:tc>
                <w:tcPr>
                  <w:tcW w:w="1825" w:type="pct"/>
                  <w:tcBorders>
                    <w:tl2br w:val="nil"/>
                    <w:tr2bl w:val="nil"/>
                  </w:tcBorders>
                  <w:vAlign w:val="center"/>
                </w:tcPr>
                <w:p w14:paraId="3E365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三级成品油罐</w:t>
                  </w:r>
                </w:p>
              </w:tc>
              <w:tc>
                <w:tcPr>
                  <w:tcW w:w="1219" w:type="pct"/>
                  <w:tcBorders>
                    <w:tl2br w:val="nil"/>
                    <w:tr2bl w:val="nil"/>
                  </w:tcBorders>
                  <w:vAlign w:val="center"/>
                </w:tcPr>
                <w:p w14:paraId="5630A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453EC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 w:type="pct"/>
                  <w:tcBorders>
                    <w:tl2br w:val="nil"/>
                    <w:tr2bl w:val="nil"/>
                  </w:tcBorders>
                  <w:vAlign w:val="center"/>
                </w:tcPr>
                <w:p w14:paraId="59A30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874" w:type="pct"/>
                  <w:tcBorders>
                    <w:tl2br w:val="nil"/>
                    <w:tr2bl w:val="nil"/>
                  </w:tcBorders>
                  <w:vAlign w:val="center"/>
                </w:tcPr>
                <w:p w14:paraId="5187F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棉</w:t>
                  </w:r>
                  <w:r>
                    <w:rPr>
                      <w:rFonts w:hint="eastAsia" w:ascii="Times New Roman" w:hAnsi="Times New Roman" w:eastAsia="宋体" w:cs="Times New Roman"/>
                      <w:color w:val="auto"/>
                      <w:sz w:val="21"/>
                      <w:szCs w:val="21"/>
                      <w:lang w:val="en-US" w:eastAsia="zh-CN"/>
                    </w:rPr>
                    <w:t>壳</w:t>
                  </w:r>
                </w:p>
              </w:tc>
              <w:tc>
                <w:tcPr>
                  <w:tcW w:w="722" w:type="pct"/>
                  <w:tcBorders>
                    <w:tl2br w:val="nil"/>
                    <w:tr2bl w:val="nil"/>
                  </w:tcBorders>
                  <w:vAlign w:val="center"/>
                </w:tcPr>
                <w:p w14:paraId="19875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40000</w:t>
                  </w:r>
                </w:p>
              </w:tc>
              <w:tc>
                <w:tcPr>
                  <w:tcW w:w="1825" w:type="pct"/>
                  <w:tcBorders>
                    <w:tl2br w:val="nil"/>
                    <w:tr2bl w:val="nil"/>
                  </w:tcBorders>
                  <w:vAlign w:val="center"/>
                </w:tcPr>
                <w:p w14:paraId="2D989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室外堆场</w:t>
                  </w:r>
                </w:p>
              </w:tc>
              <w:tc>
                <w:tcPr>
                  <w:tcW w:w="1219" w:type="pct"/>
                  <w:tcBorders>
                    <w:tl2br w:val="nil"/>
                    <w:tr2bl w:val="nil"/>
                  </w:tcBorders>
                  <w:vAlign w:val="center"/>
                </w:tcPr>
                <w:p w14:paraId="50645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172C0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 w:type="pct"/>
                  <w:tcBorders>
                    <w:tl2br w:val="nil"/>
                    <w:tr2bl w:val="nil"/>
                  </w:tcBorders>
                  <w:vAlign w:val="center"/>
                </w:tcPr>
                <w:p w14:paraId="13C83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874" w:type="pct"/>
                  <w:tcBorders>
                    <w:tl2br w:val="nil"/>
                    <w:tr2bl w:val="nil"/>
                  </w:tcBorders>
                  <w:vAlign w:val="center"/>
                </w:tcPr>
                <w:p w14:paraId="1998D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短绒</w:t>
                  </w:r>
                </w:p>
              </w:tc>
              <w:tc>
                <w:tcPr>
                  <w:tcW w:w="722" w:type="pct"/>
                  <w:tcBorders>
                    <w:tl2br w:val="nil"/>
                    <w:tr2bl w:val="nil"/>
                  </w:tcBorders>
                  <w:vAlign w:val="center"/>
                </w:tcPr>
                <w:p w14:paraId="44ACD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12000</w:t>
                  </w:r>
                </w:p>
              </w:tc>
              <w:tc>
                <w:tcPr>
                  <w:tcW w:w="1825" w:type="pct"/>
                  <w:tcBorders>
                    <w:tl2br w:val="nil"/>
                    <w:tr2bl w:val="nil"/>
                  </w:tcBorders>
                  <w:vAlign w:val="center"/>
                </w:tcPr>
                <w:p w14:paraId="318F4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室外堆场</w:t>
                  </w:r>
                </w:p>
              </w:tc>
              <w:tc>
                <w:tcPr>
                  <w:tcW w:w="1219" w:type="pct"/>
                  <w:tcBorders>
                    <w:tl2br w:val="nil"/>
                    <w:tr2bl w:val="nil"/>
                  </w:tcBorders>
                  <w:vAlign w:val="center"/>
                </w:tcPr>
                <w:p w14:paraId="7E897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193B7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 w:type="pct"/>
                  <w:tcBorders>
                    <w:tl2br w:val="nil"/>
                    <w:tr2bl w:val="nil"/>
                  </w:tcBorders>
                  <w:vAlign w:val="center"/>
                </w:tcPr>
                <w:p w14:paraId="1D38E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874" w:type="pct"/>
                  <w:tcBorders>
                    <w:tl2br w:val="nil"/>
                    <w:tr2bl w:val="nil"/>
                  </w:tcBorders>
                  <w:vAlign w:val="center"/>
                </w:tcPr>
                <w:p w14:paraId="438E4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皂脚</w:t>
                  </w:r>
                </w:p>
              </w:tc>
              <w:tc>
                <w:tcPr>
                  <w:tcW w:w="722" w:type="pct"/>
                  <w:tcBorders>
                    <w:tl2br w:val="nil"/>
                    <w:tr2bl w:val="nil"/>
                  </w:tcBorders>
                  <w:vAlign w:val="center"/>
                </w:tcPr>
                <w:p w14:paraId="746BE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300</w:t>
                  </w:r>
                </w:p>
              </w:tc>
              <w:tc>
                <w:tcPr>
                  <w:tcW w:w="1825" w:type="pct"/>
                  <w:tcBorders>
                    <w:tl2br w:val="nil"/>
                    <w:tr2bl w:val="nil"/>
                  </w:tcBorders>
                  <w:vAlign w:val="center"/>
                </w:tcPr>
                <w:p w14:paraId="11C7E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皂脚池</w:t>
                  </w:r>
                </w:p>
              </w:tc>
              <w:tc>
                <w:tcPr>
                  <w:tcW w:w="1219" w:type="pct"/>
                  <w:tcBorders>
                    <w:tl2br w:val="nil"/>
                    <w:tr2bl w:val="nil"/>
                  </w:tcBorders>
                  <w:vAlign w:val="center"/>
                </w:tcPr>
                <w:p w14:paraId="5E0F5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5E859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7" w:hRule="atLeast"/>
              </w:trPr>
              <w:tc>
                <w:tcPr>
                  <w:tcW w:w="357" w:type="pct"/>
                  <w:tcBorders>
                    <w:tl2br w:val="nil"/>
                    <w:tr2bl w:val="nil"/>
                  </w:tcBorders>
                  <w:vAlign w:val="center"/>
                </w:tcPr>
                <w:p w14:paraId="77BA6F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874" w:type="pct"/>
                  <w:tcBorders>
                    <w:tl2br w:val="nil"/>
                    <w:tr2bl w:val="nil"/>
                  </w:tcBorders>
                  <w:vAlign w:val="center"/>
                </w:tcPr>
                <w:p w14:paraId="429BC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除尘器回收棉絮</w:t>
                  </w:r>
                </w:p>
              </w:tc>
              <w:tc>
                <w:tcPr>
                  <w:tcW w:w="722" w:type="pct"/>
                  <w:tcBorders>
                    <w:tl2br w:val="nil"/>
                    <w:tr2bl w:val="nil"/>
                  </w:tcBorders>
                  <w:vAlign w:val="center"/>
                </w:tcPr>
                <w:p w14:paraId="16E9C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380</w:t>
                  </w:r>
                </w:p>
              </w:tc>
              <w:tc>
                <w:tcPr>
                  <w:tcW w:w="1825" w:type="pct"/>
                  <w:tcBorders>
                    <w:tl2br w:val="nil"/>
                    <w:tr2bl w:val="nil"/>
                  </w:tcBorders>
                  <w:vAlign w:val="center"/>
                </w:tcPr>
                <w:p w14:paraId="5C1B3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粉碎包装车间</w:t>
                  </w:r>
                </w:p>
              </w:tc>
              <w:tc>
                <w:tcPr>
                  <w:tcW w:w="1219" w:type="pct"/>
                  <w:tcBorders>
                    <w:tl2br w:val="nil"/>
                    <w:tr2bl w:val="nil"/>
                  </w:tcBorders>
                  <w:vAlign w:val="center"/>
                </w:tcPr>
                <w:p w14:paraId="2E4566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r>
          </w:tbl>
          <w:p w14:paraId="2907007E">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eastAsia" w:ascii="黑体" w:hAnsi="黑体" w:eastAsia="黑体" w:cs="黑体"/>
                <w:b w:val="0"/>
                <w:bCs w:val="0"/>
                <w:color w:val="auto"/>
                <w:kern w:val="0"/>
                <w:sz w:val="21"/>
                <w:szCs w:val="21"/>
                <w:lang w:eastAsia="zh-CN"/>
              </w:rPr>
            </w:pPr>
            <w:r>
              <w:rPr>
                <w:rFonts w:hint="eastAsia" w:ascii="黑体" w:hAnsi="黑体" w:eastAsia="黑体" w:cs="黑体"/>
                <w:b w:val="0"/>
                <w:bCs w:val="0"/>
                <w:color w:val="auto"/>
                <w:kern w:val="0"/>
                <w:sz w:val="21"/>
                <w:szCs w:val="21"/>
                <w:lang w:val="en-US" w:eastAsia="zh-CN"/>
              </w:rPr>
              <w:t>表</w:t>
            </w:r>
            <w:r>
              <w:rPr>
                <w:rFonts w:hint="eastAsia" w:cs="黑体"/>
                <w:b w:val="0"/>
                <w:bCs w:val="0"/>
                <w:color w:val="auto"/>
                <w:kern w:val="0"/>
                <w:sz w:val="21"/>
                <w:szCs w:val="21"/>
                <w:lang w:val="en-US" w:eastAsia="zh-CN"/>
              </w:rPr>
              <w:t>2-8</w:t>
            </w:r>
            <w:r>
              <w:rPr>
                <w:rFonts w:hint="eastAsia" w:ascii="黑体" w:hAnsi="黑体" w:eastAsia="黑体" w:cs="黑体"/>
                <w:b w:val="0"/>
                <w:bCs w:val="0"/>
                <w:color w:val="auto"/>
                <w:kern w:val="0"/>
                <w:sz w:val="21"/>
                <w:szCs w:val="21"/>
                <w:lang w:val="en-US" w:eastAsia="zh-CN"/>
              </w:rPr>
              <w:t xml:space="preserve">   能源消耗表</w:t>
            </w:r>
          </w:p>
          <w:tbl>
            <w:tblPr>
              <w:tblStyle w:val="22"/>
              <w:tblW w:w="49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5"/>
              <w:gridCol w:w="1661"/>
              <w:gridCol w:w="2229"/>
              <w:gridCol w:w="2664"/>
            </w:tblGrid>
            <w:tr w14:paraId="04AEB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635" w:type="pct"/>
                  <w:tcBorders>
                    <w:tl2br w:val="nil"/>
                    <w:tr2bl w:val="nil"/>
                  </w:tcBorders>
                  <w:vAlign w:val="center"/>
                </w:tcPr>
                <w:p w14:paraId="0E97F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序号</w:t>
                  </w:r>
                </w:p>
              </w:tc>
              <w:tc>
                <w:tcPr>
                  <w:tcW w:w="1106" w:type="pct"/>
                  <w:tcBorders>
                    <w:tl2br w:val="nil"/>
                    <w:tr2bl w:val="nil"/>
                  </w:tcBorders>
                  <w:vAlign w:val="center"/>
                </w:tcPr>
                <w:p w14:paraId="1F7A2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名称</w:t>
                  </w:r>
                </w:p>
              </w:tc>
              <w:tc>
                <w:tcPr>
                  <w:tcW w:w="1484" w:type="pct"/>
                  <w:tcBorders>
                    <w:tl2br w:val="nil"/>
                    <w:tr2bl w:val="nil"/>
                  </w:tcBorders>
                  <w:vAlign w:val="center"/>
                </w:tcPr>
                <w:p w14:paraId="16263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消耗</w:t>
                  </w:r>
                  <w:r>
                    <w:rPr>
                      <w:rFonts w:hint="default" w:ascii="Times New Roman" w:hAnsi="Times New Roman" w:eastAsia="宋体" w:cs="Times New Roman"/>
                      <w:color w:val="auto"/>
                      <w:sz w:val="21"/>
                      <w:szCs w:val="21"/>
                    </w:rPr>
                    <w:t>量</w:t>
                  </w:r>
                </w:p>
              </w:tc>
              <w:tc>
                <w:tcPr>
                  <w:tcW w:w="1774" w:type="pct"/>
                  <w:tcBorders>
                    <w:tl2br w:val="nil"/>
                    <w:tr2bl w:val="nil"/>
                  </w:tcBorders>
                  <w:vAlign w:val="center"/>
                </w:tcPr>
                <w:p w14:paraId="7DF80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来源</w:t>
                  </w:r>
                </w:p>
              </w:tc>
            </w:tr>
            <w:tr w14:paraId="74668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7" w:hRule="atLeast"/>
              </w:trPr>
              <w:tc>
                <w:tcPr>
                  <w:tcW w:w="635" w:type="pct"/>
                  <w:tcBorders>
                    <w:tl2br w:val="nil"/>
                    <w:tr2bl w:val="nil"/>
                  </w:tcBorders>
                  <w:vAlign w:val="center"/>
                </w:tcPr>
                <w:p w14:paraId="498C3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06" w:type="pct"/>
                  <w:tcBorders>
                    <w:tl2br w:val="nil"/>
                    <w:tr2bl w:val="nil"/>
                  </w:tcBorders>
                  <w:vAlign w:val="center"/>
                </w:tcPr>
                <w:p w14:paraId="762DF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蒸汽</w:t>
                  </w:r>
                </w:p>
              </w:tc>
              <w:tc>
                <w:tcPr>
                  <w:tcW w:w="1484" w:type="pct"/>
                  <w:tcBorders>
                    <w:tl2br w:val="nil"/>
                    <w:tr2bl w:val="nil"/>
                  </w:tcBorders>
                  <w:vAlign w:val="center"/>
                </w:tcPr>
                <w:p w14:paraId="74AA7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44210</w:t>
                  </w:r>
                  <w:r>
                    <w:rPr>
                      <w:rFonts w:hint="eastAsia" w:cs="Times New Roman"/>
                      <w:color w:val="auto"/>
                      <w:sz w:val="21"/>
                      <w:szCs w:val="21"/>
                      <w:highlight w:val="none"/>
                      <w:lang w:val="en-US" w:eastAsia="zh-CN"/>
                    </w:rPr>
                    <w:t>t</w:t>
                  </w:r>
                  <w:r>
                    <w:rPr>
                      <w:rFonts w:hint="default" w:ascii="Times New Roman" w:hAnsi="Times New Roman" w:eastAsia="宋体" w:cs="Times New Roman"/>
                      <w:color w:val="auto"/>
                      <w:sz w:val="21"/>
                      <w:szCs w:val="21"/>
                    </w:rPr>
                    <w:t>/a</w:t>
                  </w:r>
                </w:p>
              </w:tc>
              <w:tc>
                <w:tcPr>
                  <w:tcW w:w="1774" w:type="pct"/>
                  <w:tcBorders>
                    <w:tl2br w:val="nil"/>
                    <w:tr2bl w:val="nil"/>
                  </w:tcBorders>
                  <w:vAlign w:val="center"/>
                </w:tcPr>
                <w:p w14:paraId="206BC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厂区新建15t燃气锅炉</w:t>
                  </w:r>
                </w:p>
              </w:tc>
            </w:tr>
            <w:tr w14:paraId="0C23B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7" w:hRule="atLeast"/>
              </w:trPr>
              <w:tc>
                <w:tcPr>
                  <w:tcW w:w="635" w:type="pct"/>
                  <w:tcBorders>
                    <w:tl2br w:val="nil"/>
                    <w:tr2bl w:val="nil"/>
                  </w:tcBorders>
                  <w:vAlign w:val="center"/>
                </w:tcPr>
                <w:p w14:paraId="24D51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1106" w:type="pct"/>
                  <w:tcBorders>
                    <w:tl2br w:val="nil"/>
                    <w:tr2bl w:val="nil"/>
                  </w:tcBorders>
                  <w:vAlign w:val="center"/>
                </w:tcPr>
                <w:p w14:paraId="30063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用电</w:t>
                  </w:r>
                </w:p>
              </w:tc>
              <w:tc>
                <w:tcPr>
                  <w:tcW w:w="1484" w:type="pct"/>
                  <w:tcBorders>
                    <w:tl2br w:val="nil"/>
                    <w:tr2bl w:val="nil"/>
                  </w:tcBorders>
                  <w:vAlign w:val="center"/>
                </w:tcPr>
                <w:p w14:paraId="792AA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1125</w:t>
                  </w:r>
                  <w:r>
                    <w:rPr>
                      <w:rFonts w:hint="eastAsia" w:ascii="Times New Roman" w:hAnsi="Times New Roman" w:eastAsia="宋体" w:cs="Times New Roman"/>
                      <w:color w:val="auto"/>
                      <w:sz w:val="21"/>
                      <w:szCs w:val="21"/>
                      <w:lang w:val="en-US" w:eastAsia="zh-CN"/>
                    </w:rPr>
                    <w:t>万</w:t>
                  </w:r>
                  <w:r>
                    <w:rPr>
                      <w:rFonts w:hint="default" w:ascii="Times New Roman" w:hAnsi="Times New Roman" w:eastAsia="宋体" w:cs="Times New Roman"/>
                      <w:color w:val="auto"/>
                      <w:sz w:val="21"/>
                      <w:szCs w:val="21"/>
                      <w:lang w:val="en-US" w:eastAsia="zh-CN"/>
                    </w:rPr>
                    <w:t>kwh/a</w:t>
                  </w:r>
                </w:p>
              </w:tc>
              <w:tc>
                <w:tcPr>
                  <w:tcW w:w="1774" w:type="pct"/>
                  <w:tcBorders>
                    <w:tl2br w:val="nil"/>
                    <w:tr2bl w:val="nil"/>
                  </w:tcBorders>
                  <w:vAlign w:val="center"/>
                </w:tcPr>
                <w:p w14:paraId="4D1D7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依托市政电网</w:t>
                  </w:r>
                </w:p>
              </w:tc>
            </w:tr>
            <w:tr w14:paraId="06C38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635" w:type="pct"/>
                  <w:tcBorders>
                    <w:tl2br w:val="nil"/>
                    <w:tr2bl w:val="nil"/>
                  </w:tcBorders>
                  <w:vAlign w:val="center"/>
                </w:tcPr>
                <w:p w14:paraId="3EDE3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1106" w:type="pct"/>
                  <w:tcBorders>
                    <w:tl2br w:val="nil"/>
                    <w:tr2bl w:val="nil"/>
                  </w:tcBorders>
                  <w:vAlign w:val="center"/>
                </w:tcPr>
                <w:p w14:paraId="27689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用水</w:t>
                  </w:r>
                </w:p>
              </w:tc>
              <w:tc>
                <w:tcPr>
                  <w:tcW w:w="1484" w:type="pct"/>
                  <w:tcBorders>
                    <w:tl2br w:val="nil"/>
                    <w:tr2bl w:val="nil"/>
                  </w:tcBorders>
                  <w:vAlign w:val="center"/>
                </w:tcPr>
                <w:p w14:paraId="7968A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35654m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/a</w:t>
                  </w:r>
                </w:p>
              </w:tc>
              <w:tc>
                <w:tcPr>
                  <w:tcW w:w="1774" w:type="pct"/>
                  <w:tcBorders>
                    <w:tl2br w:val="nil"/>
                    <w:tr2bl w:val="nil"/>
                  </w:tcBorders>
                  <w:vAlign w:val="center"/>
                </w:tcPr>
                <w:p w14:paraId="2DC18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依托市政管网</w:t>
                  </w:r>
                </w:p>
              </w:tc>
            </w:tr>
          </w:tbl>
          <w:p w14:paraId="66B8F1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4.2 原辅材料理化性质、特性和组分分析</w:t>
            </w:r>
          </w:p>
          <w:p w14:paraId="0A303D9F">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6</w:t>
            </w:r>
            <w:r>
              <w:rPr>
                <w:rFonts w:hint="eastAsia" w:ascii="Times New Roman" w:hAnsi="Times New Roman" w:eastAsia="宋体" w:cs="Times New Roman"/>
                <w:b/>
                <w:bCs/>
                <w:i w:val="0"/>
                <w:color w:val="auto"/>
                <w:kern w:val="0"/>
                <w:sz w:val="24"/>
                <w:szCs w:val="24"/>
                <w:highlight w:val="none"/>
                <w:u w:val="none"/>
                <w:lang w:val="en-US" w:eastAsia="zh-CN" w:bidi="ar"/>
              </w:rPr>
              <w:t>#</w:t>
            </w:r>
            <w:r>
              <w:rPr>
                <w:rFonts w:hint="default" w:ascii="Times New Roman" w:hAnsi="Times New Roman" w:eastAsia="宋体" w:cs="Times New Roman"/>
                <w:b/>
                <w:bCs/>
                <w:i w:val="0"/>
                <w:color w:val="auto"/>
                <w:kern w:val="0"/>
                <w:sz w:val="24"/>
                <w:szCs w:val="24"/>
                <w:highlight w:val="none"/>
                <w:u w:val="none"/>
                <w:lang w:val="en-US" w:eastAsia="zh-CN" w:bidi="ar"/>
              </w:rPr>
              <w:t>溶剂油</w:t>
            </w:r>
            <w:r>
              <w:rPr>
                <w:rFonts w:hint="eastAsia" w:ascii="Times New Roman" w:hAnsi="Times New Roman" w:eastAsia="宋体" w:cs="Times New Roman"/>
                <w:b/>
                <w:bCs/>
                <w:i w:val="0"/>
                <w:color w:val="auto"/>
                <w:kern w:val="0"/>
                <w:sz w:val="24"/>
                <w:szCs w:val="24"/>
                <w:highlight w:val="none"/>
                <w:u w:val="none"/>
                <w:lang w:val="en-US" w:eastAsia="zh-CN" w:bidi="ar"/>
              </w:rPr>
              <w:t>：</w:t>
            </w:r>
            <w:r>
              <w:rPr>
                <w:rFonts w:hint="default" w:ascii="Times New Roman" w:hAnsi="Times New Roman" w:eastAsia="宋体" w:cs="Times New Roman"/>
                <w:i w:val="0"/>
                <w:color w:val="auto"/>
                <w:kern w:val="0"/>
                <w:sz w:val="24"/>
                <w:szCs w:val="24"/>
                <w:highlight w:val="none"/>
                <w:u w:val="none"/>
                <w:lang w:val="en-US" w:eastAsia="zh-CN" w:bidi="ar"/>
              </w:rPr>
              <w:t>6#溶剂油是60°C-90°C的石油</w:t>
            </w:r>
            <w:r>
              <w:rPr>
                <w:rFonts w:hint="eastAsia" w:cs="Times New Roman"/>
                <w:i w:val="0"/>
                <w:color w:val="auto"/>
                <w:kern w:val="0"/>
                <w:sz w:val="24"/>
                <w:szCs w:val="24"/>
                <w:highlight w:val="none"/>
                <w:u w:val="none"/>
                <w:lang w:val="en-US" w:eastAsia="zh-CN" w:bidi="ar"/>
              </w:rPr>
              <w:t>馏分</w:t>
            </w:r>
            <w:r>
              <w:rPr>
                <w:rFonts w:hint="default" w:ascii="Times New Roman" w:hAnsi="Times New Roman" w:eastAsia="宋体" w:cs="Times New Roman"/>
                <w:i w:val="0"/>
                <w:color w:val="auto"/>
                <w:kern w:val="0"/>
                <w:sz w:val="24"/>
                <w:szCs w:val="24"/>
                <w:highlight w:val="none"/>
                <w:u w:val="none"/>
                <w:lang w:val="en-US" w:eastAsia="zh-CN" w:bidi="ar"/>
              </w:rPr>
              <w:t>，是大量烃的混合物，主要成分是直链烷烃C</w:t>
            </w:r>
            <w:r>
              <w:rPr>
                <w:rFonts w:hint="default" w:ascii="Times New Roman" w:hAnsi="Times New Roman" w:eastAsia="宋体" w:cs="Times New Roman"/>
                <w:i w:val="0"/>
                <w:color w:val="auto"/>
                <w:kern w:val="0"/>
                <w:sz w:val="24"/>
                <w:szCs w:val="24"/>
                <w:highlight w:val="none"/>
                <w:u w:val="none"/>
                <w:vertAlign w:val="subscript"/>
                <w:lang w:val="en-US" w:eastAsia="zh-CN" w:bidi="ar"/>
              </w:rPr>
              <w:t>n</w:t>
            </w:r>
            <w:r>
              <w:rPr>
                <w:rFonts w:hint="default"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vertAlign w:val="subscript"/>
                <w:lang w:val="en-US" w:eastAsia="zh-CN" w:bidi="ar"/>
              </w:rPr>
              <w:t>2n+2</w:t>
            </w:r>
            <w:r>
              <w:rPr>
                <w:rFonts w:hint="default" w:ascii="Times New Roman" w:hAnsi="Times New Roman" w:eastAsia="宋体" w:cs="Times New Roman"/>
                <w:i w:val="0"/>
                <w:color w:val="auto"/>
                <w:kern w:val="0"/>
                <w:sz w:val="24"/>
                <w:szCs w:val="24"/>
                <w:highlight w:val="none"/>
                <w:u w:val="none"/>
                <w:lang w:val="en-US" w:eastAsia="zh-CN" w:bidi="ar"/>
              </w:rPr>
              <w:t>，还有一般化学式为C</w:t>
            </w:r>
            <w:r>
              <w:rPr>
                <w:rFonts w:hint="default" w:ascii="Times New Roman" w:hAnsi="Times New Roman" w:eastAsia="宋体" w:cs="Times New Roman"/>
                <w:i w:val="0"/>
                <w:color w:val="auto"/>
                <w:kern w:val="0"/>
                <w:sz w:val="24"/>
                <w:szCs w:val="24"/>
                <w:highlight w:val="none"/>
                <w:u w:val="none"/>
                <w:vertAlign w:val="subscript"/>
                <w:lang w:val="en-US" w:eastAsia="zh-CN" w:bidi="ar"/>
              </w:rPr>
              <w:t>n</w:t>
            </w:r>
            <w:r>
              <w:rPr>
                <w:rFonts w:hint="default"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vertAlign w:val="subscript"/>
                <w:lang w:val="en-US" w:eastAsia="zh-CN" w:bidi="ar"/>
              </w:rPr>
              <w:t>2n</w:t>
            </w:r>
            <w:r>
              <w:rPr>
                <w:rFonts w:hint="default" w:ascii="Times New Roman" w:hAnsi="Times New Roman" w:eastAsia="宋体" w:cs="Times New Roman"/>
                <w:i w:val="0"/>
                <w:color w:val="auto"/>
                <w:kern w:val="0"/>
                <w:sz w:val="24"/>
                <w:szCs w:val="24"/>
                <w:highlight w:val="none"/>
                <w:u w:val="none"/>
                <w:lang w:val="en-US" w:eastAsia="zh-CN" w:bidi="ar"/>
              </w:rPr>
              <w:t>的环烷烃和少量的芳香烃C</w:t>
            </w:r>
            <w:r>
              <w:rPr>
                <w:rFonts w:hint="default" w:ascii="Times New Roman" w:hAnsi="Times New Roman" w:eastAsia="宋体" w:cs="Times New Roman"/>
                <w:i w:val="0"/>
                <w:color w:val="auto"/>
                <w:kern w:val="0"/>
                <w:sz w:val="24"/>
                <w:szCs w:val="24"/>
                <w:highlight w:val="none"/>
                <w:u w:val="none"/>
                <w:vertAlign w:val="subscript"/>
                <w:lang w:val="en-US" w:eastAsia="zh-CN" w:bidi="ar"/>
              </w:rPr>
              <w:t>n</w:t>
            </w:r>
            <w:r>
              <w:rPr>
                <w:rFonts w:hint="default"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vertAlign w:val="subscript"/>
                <w:lang w:val="en-US" w:eastAsia="zh-CN" w:bidi="ar"/>
              </w:rPr>
              <w:t>2n-6</w:t>
            </w:r>
            <w:r>
              <w:rPr>
                <w:rFonts w:hint="default" w:ascii="Times New Roman" w:hAnsi="Times New Roman" w:eastAsia="宋体" w:cs="Times New Roman"/>
                <w:i w:val="0"/>
                <w:color w:val="auto"/>
                <w:kern w:val="0"/>
                <w:sz w:val="24"/>
                <w:szCs w:val="24"/>
                <w:highlight w:val="none"/>
                <w:u w:val="none"/>
                <w:lang w:val="en-US" w:eastAsia="zh-CN" w:bidi="ar"/>
              </w:rPr>
              <w:t>（苯和它的同系物），以及少量的不饱和烃，其中正己烷（C</w:t>
            </w:r>
            <w:r>
              <w:rPr>
                <w:rFonts w:hint="default" w:ascii="Times New Roman" w:hAnsi="Times New Roman" w:eastAsia="宋体" w:cs="Times New Roman"/>
                <w:i w:val="0"/>
                <w:color w:val="auto"/>
                <w:kern w:val="0"/>
                <w:sz w:val="24"/>
                <w:szCs w:val="24"/>
                <w:highlight w:val="none"/>
                <w:u w:val="none"/>
                <w:vertAlign w:val="subscript"/>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vertAlign w:val="subscript"/>
                <w:lang w:val="en-US" w:eastAsia="zh-CN" w:bidi="ar"/>
              </w:rPr>
              <w:t>14</w:t>
            </w:r>
            <w:r>
              <w:rPr>
                <w:rFonts w:hint="default" w:ascii="Times New Roman" w:hAnsi="Times New Roman" w:eastAsia="宋体" w:cs="Times New Roman"/>
                <w:i w:val="0"/>
                <w:color w:val="auto"/>
                <w:kern w:val="0"/>
                <w:sz w:val="24"/>
                <w:szCs w:val="24"/>
                <w:highlight w:val="none"/>
                <w:u w:val="none"/>
                <w:lang w:val="en-US" w:eastAsia="zh-CN" w:bidi="ar"/>
              </w:rPr>
              <w:t>）为74.08%、环己烷（C</w:t>
            </w:r>
            <w:r>
              <w:rPr>
                <w:rFonts w:hint="default" w:ascii="Times New Roman" w:hAnsi="Times New Roman" w:eastAsia="宋体" w:cs="Times New Roman"/>
                <w:i w:val="0"/>
                <w:color w:val="auto"/>
                <w:kern w:val="0"/>
                <w:sz w:val="24"/>
                <w:szCs w:val="24"/>
                <w:highlight w:val="none"/>
                <w:u w:val="none"/>
                <w:vertAlign w:val="subscript"/>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vertAlign w:val="subscript"/>
                <w:lang w:val="en-US" w:eastAsia="zh-CN" w:bidi="ar"/>
              </w:rPr>
              <w:t>12</w:t>
            </w:r>
            <w:r>
              <w:rPr>
                <w:rFonts w:hint="default" w:ascii="Times New Roman" w:hAnsi="Times New Roman" w:eastAsia="宋体" w:cs="Times New Roman"/>
                <w:i w:val="0"/>
                <w:color w:val="auto"/>
                <w:kern w:val="0"/>
                <w:sz w:val="24"/>
                <w:szCs w:val="24"/>
                <w:highlight w:val="none"/>
                <w:u w:val="none"/>
                <w:lang w:val="en-US" w:eastAsia="zh-CN" w:bidi="ar"/>
              </w:rPr>
              <w:t>）为16.43%，其具体组成见下表。</w:t>
            </w:r>
          </w:p>
          <w:p w14:paraId="2655A5F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主要用途：在植物油</w:t>
            </w:r>
            <w:r>
              <w:rPr>
                <w:rFonts w:hint="eastAsia" w:cs="Times New Roman"/>
                <w:i w:val="0"/>
                <w:color w:val="auto"/>
                <w:kern w:val="0"/>
                <w:sz w:val="24"/>
                <w:szCs w:val="24"/>
                <w:highlight w:val="none"/>
                <w:u w:val="none"/>
                <w:lang w:val="en-US" w:eastAsia="zh-CN" w:bidi="ar"/>
              </w:rPr>
              <w:t>浸出</w:t>
            </w:r>
            <w:r>
              <w:rPr>
                <w:rFonts w:hint="default" w:ascii="Times New Roman" w:hAnsi="Times New Roman" w:eastAsia="宋体" w:cs="Times New Roman"/>
                <w:i w:val="0"/>
                <w:color w:val="auto"/>
                <w:kern w:val="0"/>
                <w:sz w:val="24"/>
                <w:szCs w:val="24"/>
                <w:highlight w:val="none"/>
                <w:u w:val="none"/>
                <w:lang w:val="en-US" w:eastAsia="zh-CN" w:bidi="ar"/>
              </w:rPr>
              <w:t>萃取工艺中作抽提溶剂。</w:t>
            </w:r>
          </w:p>
          <w:p w14:paraId="09FD2BD1">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正己烷理化特性：</w:t>
            </w:r>
          </w:p>
          <w:p w14:paraId="508386BA">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外观与性状：无色液体，有微弱的特殊气味；</w:t>
            </w:r>
          </w:p>
          <w:p w14:paraId="7BB4CDF1">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分子式：C</w:t>
            </w:r>
            <w:r>
              <w:rPr>
                <w:rFonts w:hint="default" w:ascii="Times New Roman" w:hAnsi="Times New Roman" w:eastAsia="宋体" w:cs="Times New Roman"/>
                <w:i w:val="0"/>
                <w:color w:val="auto"/>
                <w:kern w:val="0"/>
                <w:sz w:val="24"/>
                <w:szCs w:val="24"/>
                <w:highlight w:val="none"/>
                <w:u w:val="none"/>
                <w:vertAlign w:val="subscript"/>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vertAlign w:val="subscript"/>
                <w:lang w:val="en-US" w:eastAsia="zh-CN" w:bidi="ar"/>
              </w:rPr>
              <w:t>14</w:t>
            </w:r>
            <w:r>
              <w:rPr>
                <w:rFonts w:hint="default" w:ascii="Times New Roman" w:hAnsi="Times New Roman" w:eastAsia="宋体" w:cs="Times New Roman"/>
                <w:i w:val="0"/>
                <w:color w:val="auto"/>
                <w:kern w:val="0"/>
                <w:sz w:val="24"/>
                <w:szCs w:val="24"/>
                <w:highlight w:val="none"/>
                <w:u w:val="none"/>
                <w:lang w:val="en-US" w:eastAsia="zh-CN" w:bidi="ar"/>
              </w:rPr>
              <w:t>；</w:t>
            </w:r>
          </w:p>
          <w:p w14:paraId="61DD76CF">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分子量：86.17；</w:t>
            </w:r>
          </w:p>
          <w:p w14:paraId="06C7F298">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沸点：68.7℃；</w:t>
            </w:r>
          </w:p>
          <w:p w14:paraId="5C644C4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熔点：-95.6℃；</w:t>
            </w:r>
          </w:p>
          <w:p w14:paraId="23BC2B3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蒸汽压：13.33kPa/15.8℃；</w:t>
            </w:r>
          </w:p>
          <w:p w14:paraId="2E000A90">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闪点：-25.5℃；</w:t>
            </w:r>
          </w:p>
          <w:p w14:paraId="6BB6284E">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溶解性：不溶于水，溶于乙醇、乙醚等多数有机溶剂；密度：相对密度(水=1)0.66；相对密度(空气=1)2.97；稳定性：稳定；危险标记：7(低闪点易燃液体)；主要用途：用于有机合成，用作溶剂、化学试剂、涂料稀释剂、聚合反应的介质等。</w:t>
            </w:r>
          </w:p>
          <w:p w14:paraId="5C595988">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ascii="宋体" w:hAnsi="宋体" w:eastAsia="宋体" w:cs="宋体"/>
                <w:b/>
                <w:bCs/>
                <w:sz w:val="24"/>
                <w:szCs w:val="24"/>
                <w:lang w:val="zh-CN" w:eastAsia="zh-CN" w:bidi="zh-CN"/>
              </w:rPr>
            </w:pPr>
            <w:r>
              <w:rPr>
                <w:rFonts w:ascii="宋体" w:hAnsi="宋体" w:eastAsia="宋体" w:cs="宋体"/>
                <w:b/>
                <w:bCs/>
                <w:sz w:val="24"/>
                <w:szCs w:val="24"/>
                <w:lang w:val="zh-CN" w:eastAsia="zh-CN" w:bidi="zh-CN"/>
              </w:rPr>
              <w:t>环己烷理化特性：</w:t>
            </w:r>
          </w:p>
          <w:p w14:paraId="4E50C5C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lang w:val="zh-CN" w:eastAsia="zh-CN" w:bidi="zh-CN"/>
              </w:rPr>
            </w:pPr>
            <w:r>
              <w:rPr>
                <w:rFonts w:ascii="宋体" w:hAnsi="宋体" w:eastAsia="宋体" w:cs="宋体"/>
                <w:sz w:val="24"/>
                <w:szCs w:val="24"/>
                <w:lang w:val="zh-CN" w:eastAsia="zh-CN" w:bidi="zh-CN"/>
              </w:rPr>
              <w:t>外观与性状：无色液体，有刺激性气味；</w:t>
            </w:r>
          </w:p>
          <w:p w14:paraId="2D6CCF1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vertAlign w:val="baseline"/>
                <w:lang w:val="zh-CN" w:eastAsia="zh-CN" w:bidi="zh-CN"/>
              </w:rPr>
            </w:pPr>
            <w:r>
              <w:rPr>
                <w:rFonts w:ascii="宋体" w:hAnsi="宋体" w:eastAsia="宋体" w:cs="宋体"/>
                <w:sz w:val="24"/>
                <w:szCs w:val="24"/>
                <w:lang w:val="zh-CN" w:eastAsia="zh-CN" w:bidi="zh-CN"/>
              </w:rPr>
              <w:t>分子式：</w:t>
            </w:r>
            <w:r>
              <w:rPr>
                <w:rFonts w:ascii="Times New Roman" w:hAnsi="Times New Roman" w:eastAsia="Times New Roman" w:cs="宋体"/>
                <w:sz w:val="24"/>
                <w:szCs w:val="24"/>
                <w:lang w:val="zh-CN" w:eastAsia="zh-CN" w:bidi="zh-CN"/>
              </w:rPr>
              <w:t>C</w:t>
            </w:r>
            <w:r>
              <w:rPr>
                <w:rFonts w:ascii="Times New Roman" w:hAnsi="Times New Roman" w:eastAsia="Times New Roman" w:cs="宋体"/>
                <w:sz w:val="24"/>
                <w:szCs w:val="24"/>
                <w:vertAlign w:val="subscript"/>
                <w:lang w:val="zh-CN" w:eastAsia="zh-CN" w:bidi="zh-CN"/>
              </w:rPr>
              <w:t>6</w:t>
            </w:r>
            <w:r>
              <w:rPr>
                <w:rFonts w:ascii="Times New Roman" w:hAnsi="Times New Roman" w:eastAsia="Times New Roman" w:cs="宋体"/>
                <w:sz w:val="24"/>
                <w:szCs w:val="24"/>
                <w:vertAlign w:val="baseline"/>
                <w:lang w:val="zh-CN" w:eastAsia="zh-CN" w:bidi="zh-CN"/>
              </w:rPr>
              <w:t>H</w:t>
            </w:r>
            <w:r>
              <w:rPr>
                <w:rFonts w:ascii="Times New Roman" w:hAnsi="Times New Roman" w:eastAsia="Times New Roman" w:cs="宋体"/>
                <w:sz w:val="24"/>
                <w:szCs w:val="24"/>
                <w:vertAlign w:val="subscript"/>
                <w:lang w:val="zh-CN" w:eastAsia="zh-CN" w:bidi="zh-CN"/>
              </w:rPr>
              <w:t>12</w:t>
            </w:r>
            <w:r>
              <w:rPr>
                <w:rFonts w:ascii="宋体" w:hAnsi="宋体" w:eastAsia="宋体" w:cs="宋体"/>
                <w:sz w:val="24"/>
                <w:szCs w:val="24"/>
                <w:vertAlign w:val="baseline"/>
                <w:lang w:val="zh-CN" w:eastAsia="zh-CN" w:bidi="zh-CN"/>
              </w:rPr>
              <w:t>；</w:t>
            </w:r>
          </w:p>
          <w:p w14:paraId="2B243F1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vertAlign w:val="baseline"/>
                <w:lang w:val="zh-CN" w:eastAsia="zh-CN" w:bidi="zh-CN"/>
              </w:rPr>
            </w:pPr>
            <w:r>
              <w:rPr>
                <w:rFonts w:ascii="宋体" w:hAnsi="宋体" w:eastAsia="宋体" w:cs="宋体"/>
                <w:sz w:val="24"/>
                <w:szCs w:val="24"/>
                <w:vertAlign w:val="baseline"/>
                <w:lang w:val="zh-CN" w:eastAsia="zh-CN" w:bidi="zh-CN"/>
              </w:rPr>
              <w:t>分子量：</w:t>
            </w:r>
            <w:r>
              <w:rPr>
                <w:rFonts w:ascii="Times New Roman" w:hAnsi="Times New Roman" w:eastAsia="Times New Roman" w:cs="宋体"/>
                <w:sz w:val="24"/>
                <w:szCs w:val="24"/>
                <w:vertAlign w:val="baseline"/>
                <w:lang w:val="zh-CN" w:eastAsia="zh-CN" w:bidi="zh-CN"/>
              </w:rPr>
              <w:t>84.16</w:t>
            </w:r>
            <w:r>
              <w:rPr>
                <w:rFonts w:ascii="宋体" w:hAnsi="宋体" w:eastAsia="宋体" w:cs="宋体"/>
                <w:sz w:val="24"/>
                <w:szCs w:val="24"/>
                <w:vertAlign w:val="baseline"/>
                <w:lang w:val="zh-CN" w:eastAsia="zh-CN" w:bidi="zh-CN"/>
              </w:rPr>
              <w:t>；</w:t>
            </w:r>
          </w:p>
          <w:p w14:paraId="272B56CD">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vertAlign w:val="baseline"/>
                <w:lang w:val="zh-CN" w:eastAsia="zh-CN" w:bidi="zh-CN"/>
              </w:rPr>
            </w:pPr>
            <w:r>
              <w:rPr>
                <w:rFonts w:ascii="宋体" w:hAnsi="宋体" w:eastAsia="宋体" w:cs="宋体"/>
                <w:sz w:val="24"/>
                <w:szCs w:val="24"/>
                <w:vertAlign w:val="baseline"/>
                <w:lang w:val="zh-CN" w:eastAsia="zh-CN" w:bidi="zh-CN"/>
              </w:rPr>
              <w:t>沸点：</w:t>
            </w:r>
            <w:r>
              <w:rPr>
                <w:rFonts w:ascii="Times New Roman" w:hAnsi="Times New Roman" w:eastAsia="Times New Roman" w:cs="宋体"/>
                <w:sz w:val="24"/>
                <w:szCs w:val="24"/>
                <w:vertAlign w:val="baseline"/>
                <w:lang w:val="zh-CN" w:eastAsia="zh-CN" w:bidi="zh-CN"/>
              </w:rPr>
              <w:t>80.7</w:t>
            </w:r>
            <w:r>
              <w:rPr>
                <w:rFonts w:hint="eastAsia" w:ascii="新宋体" w:hAnsi="新宋体" w:eastAsia="新宋体" w:cs="宋体"/>
                <w:sz w:val="24"/>
                <w:szCs w:val="24"/>
                <w:vertAlign w:val="baseline"/>
                <w:lang w:val="zh-CN" w:eastAsia="zh-CN" w:bidi="zh-CN"/>
              </w:rPr>
              <w:t>℃</w:t>
            </w:r>
            <w:r>
              <w:rPr>
                <w:rFonts w:ascii="宋体" w:hAnsi="宋体" w:eastAsia="宋体" w:cs="宋体"/>
                <w:sz w:val="24"/>
                <w:szCs w:val="24"/>
                <w:vertAlign w:val="baseline"/>
                <w:lang w:val="zh-CN" w:eastAsia="zh-CN" w:bidi="zh-CN"/>
              </w:rPr>
              <w:t>；</w:t>
            </w:r>
          </w:p>
          <w:p w14:paraId="1005545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vertAlign w:val="baseline"/>
                <w:lang w:val="zh-CN" w:eastAsia="zh-CN" w:bidi="zh-CN"/>
              </w:rPr>
            </w:pPr>
            <w:r>
              <w:rPr>
                <w:rFonts w:ascii="宋体" w:hAnsi="宋体" w:eastAsia="宋体" w:cs="宋体"/>
                <w:sz w:val="24"/>
                <w:szCs w:val="24"/>
                <w:vertAlign w:val="baseline"/>
                <w:lang w:val="zh-CN" w:eastAsia="zh-CN" w:bidi="zh-CN"/>
              </w:rPr>
              <w:t>熔点：</w:t>
            </w:r>
            <w:r>
              <w:rPr>
                <w:rFonts w:ascii="Times New Roman" w:hAnsi="Times New Roman" w:eastAsia="Times New Roman" w:cs="宋体"/>
                <w:sz w:val="24"/>
                <w:szCs w:val="24"/>
                <w:vertAlign w:val="baseline"/>
                <w:lang w:val="zh-CN" w:eastAsia="zh-CN" w:bidi="zh-CN"/>
              </w:rPr>
              <w:t>6.5</w:t>
            </w:r>
            <w:r>
              <w:rPr>
                <w:rFonts w:hint="eastAsia" w:ascii="新宋体" w:hAnsi="新宋体" w:eastAsia="新宋体" w:cs="宋体"/>
                <w:sz w:val="24"/>
                <w:szCs w:val="24"/>
                <w:vertAlign w:val="baseline"/>
                <w:lang w:val="zh-CN" w:eastAsia="zh-CN" w:bidi="zh-CN"/>
              </w:rPr>
              <w:t>℃</w:t>
            </w:r>
            <w:r>
              <w:rPr>
                <w:rFonts w:ascii="宋体" w:hAnsi="宋体" w:eastAsia="宋体" w:cs="宋体"/>
                <w:sz w:val="24"/>
                <w:szCs w:val="24"/>
                <w:vertAlign w:val="baseline"/>
                <w:lang w:val="zh-CN" w:eastAsia="zh-CN" w:bidi="zh-CN"/>
              </w:rPr>
              <w:t>；</w:t>
            </w:r>
          </w:p>
          <w:p w14:paraId="1D75B1DC">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vertAlign w:val="baseline"/>
                <w:lang w:val="zh-CN" w:eastAsia="zh-CN" w:bidi="zh-CN"/>
              </w:rPr>
            </w:pPr>
            <w:r>
              <w:rPr>
                <w:rFonts w:ascii="宋体" w:hAnsi="宋体" w:eastAsia="宋体" w:cs="宋体"/>
                <w:sz w:val="24"/>
                <w:szCs w:val="24"/>
                <w:vertAlign w:val="baseline"/>
                <w:lang w:val="zh-CN" w:eastAsia="zh-CN" w:bidi="zh-CN"/>
              </w:rPr>
              <w:t>蒸汽压：</w:t>
            </w:r>
            <w:r>
              <w:rPr>
                <w:rFonts w:ascii="Times New Roman" w:hAnsi="Times New Roman" w:eastAsia="Times New Roman" w:cs="宋体"/>
                <w:sz w:val="24"/>
                <w:szCs w:val="24"/>
                <w:vertAlign w:val="baseline"/>
                <w:lang w:val="zh-CN" w:eastAsia="zh-CN" w:bidi="zh-CN"/>
              </w:rPr>
              <w:t>13.33kPa/60.8</w:t>
            </w:r>
            <w:r>
              <w:rPr>
                <w:rFonts w:hint="eastAsia" w:ascii="新宋体" w:hAnsi="新宋体" w:eastAsia="新宋体" w:cs="宋体"/>
                <w:sz w:val="24"/>
                <w:szCs w:val="24"/>
                <w:vertAlign w:val="baseline"/>
                <w:lang w:val="zh-CN" w:eastAsia="zh-CN" w:bidi="zh-CN"/>
              </w:rPr>
              <w:t>℃</w:t>
            </w:r>
            <w:r>
              <w:rPr>
                <w:rFonts w:ascii="宋体" w:hAnsi="宋体" w:eastAsia="宋体" w:cs="宋体"/>
                <w:sz w:val="24"/>
                <w:szCs w:val="24"/>
                <w:vertAlign w:val="baseline"/>
                <w:lang w:val="zh-CN" w:eastAsia="zh-CN" w:bidi="zh-CN"/>
              </w:rPr>
              <w:t>；</w:t>
            </w:r>
          </w:p>
          <w:p w14:paraId="3BC8C22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ascii="宋体" w:hAnsi="宋体" w:eastAsia="宋体" w:cs="宋体"/>
                <w:sz w:val="24"/>
                <w:szCs w:val="24"/>
                <w:vertAlign w:val="baseline"/>
                <w:lang w:val="zh-CN" w:eastAsia="zh-CN" w:bidi="zh-CN"/>
              </w:rPr>
            </w:pPr>
            <w:r>
              <w:rPr>
                <w:rFonts w:ascii="宋体" w:hAnsi="宋体" w:eastAsia="宋体" w:cs="宋体"/>
                <w:sz w:val="24"/>
                <w:szCs w:val="24"/>
                <w:vertAlign w:val="baseline"/>
                <w:lang w:val="zh-CN" w:eastAsia="zh-CN" w:bidi="zh-CN"/>
              </w:rPr>
              <w:t>闪点：</w:t>
            </w:r>
            <w:r>
              <w:rPr>
                <w:rFonts w:ascii="Times New Roman" w:hAnsi="Times New Roman" w:eastAsia="Times New Roman" w:cs="宋体"/>
                <w:sz w:val="24"/>
                <w:szCs w:val="24"/>
                <w:vertAlign w:val="baseline"/>
                <w:lang w:val="zh-CN" w:eastAsia="zh-CN" w:bidi="zh-CN"/>
              </w:rPr>
              <w:t>-16.5</w:t>
            </w:r>
            <w:r>
              <w:rPr>
                <w:rFonts w:hint="eastAsia" w:ascii="新宋体" w:hAnsi="新宋体" w:eastAsia="新宋体" w:cs="宋体"/>
                <w:sz w:val="24"/>
                <w:szCs w:val="24"/>
                <w:vertAlign w:val="baseline"/>
                <w:lang w:val="zh-CN" w:eastAsia="zh-CN" w:bidi="zh-CN"/>
              </w:rPr>
              <w:t>℃</w:t>
            </w:r>
            <w:r>
              <w:rPr>
                <w:rFonts w:ascii="宋体" w:hAnsi="宋体" w:eastAsia="宋体" w:cs="宋体"/>
                <w:sz w:val="24"/>
                <w:szCs w:val="24"/>
                <w:vertAlign w:val="baseline"/>
                <w:lang w:val="zh-CN" w:eastAsia="zh-CN" w:bidi="zh-CN"/>
              </w:rPr>
              <w:t>；</w:t>
            </w:r>
          </w:p>
          <w:p w14:paraId="34E5A82E">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bCs/>
                <w:sz w:val="24"/>
                <w:szCs w:val="24"/>
                <w:lang w:val="en-US" w:eastAsia="zh-CN"/>
              </w:rPr>
            </w:pPr>
            <w:r>
              <w:rPr>
                <w:rFonts w:ascii="宋体" w:hAnsi="宋体" w:eastAsia="宋体" w:cs="宋体"/>
                <w:sz w:val="24"/>
                <w:szCs w:val="24"/>
                <w:vertAlign w:val="baseline"/>
                <w:lang w:val="zh-CN" w:eastAsia="zh-CN" w:bidi="zh-CN"/>
              </w:rPr>
              <w:t>溶解性：不溶于水，溶于乙醇、乙醚、苯、丙酮等多数有机溶剂；密度：相对密度</w:t>
            </w:r>
            <w:r>
              <w:rPr>
                <w:rFonts w:ascii="Times New Roman" w:hAnsi="Times New Roman" w:eastAsia="Times New Roman" w:cs="宋体"/>
                <w:sz w:val="24"/>
                <w:szCs w:val="24"/>
                <w:vertAlign w:val="baseline"/>
                <w:lang w:val="zh-CN" w:eastAsia="zh-CN" w:bidi="zh-CN"/>
              </w:rPr>
              <w:t>(</w:t>
            </w:r>
            <w:r>
              <w:rPr>
                <w:rFonts w:ascii="宋体" w:hAnsi="宋体" w:eastAsia="宋体" w:cs="宋体"/>
                <w:sz w:val="24"/>
                <w:szCs w:val="24"/>
                <w:vertAlign w:val="baseline"/>
                <w:lang w:val="zh-CN" w:eastAsia="zh-CN" w:bidi="zh-CN"/>
              </w:rPr>
              <w:t>水</w:t>
            </w:r>
            <w:r>
              <w:rPr>
                <w:rFonts w:ascii="Times New Roman" w:hAnsi="宋体" w:eastAsia="Times New Roman" w:cs="宋体"/>
                <w:sz w:val="24"/>
                <w:szCs w:val="24"/>
                <w:lang w:val="zh-CN" w:eastAsia="zh-CN" w:bidi="zh-CN"/>
              </w:rPr>
              <w:t>=1)0.78</w:t>
            </w:r>
            <w:r>
              <w:rPr>
                <w:rFonts w:ascii="宋体" w:hAnsi="宋体" w:eastAsia="宋体" w:cs="宋体"/>
                <w:sz w:val="24"/>
                <w:szCs w:val="24"/>
                <w:lang w:val="zh-CN" w:eastAsia="zh-CN" w:bidi="zh-CN"/>
              </w:rPr>
              <w:t>，相对密度</w:t>
            </w:r>
            <w:r>
              <w:rPr>
                <w:rFonts w:ascii="Times New Roman" w:hAnsi="宋体" w:eastAsia="Times New Roman" w:cs="宋体"/>
                <w:sz w:val="24"/>
                <w:szCs w:val="24"/>
                <w:lang w:val="zh-CN" w:eastAsia="zh-CN" w:bidi="zh-CN"/>
              </w:rPr>
              <w:t>(</w:t>
            </w:r>
            <w:r>
              <w:rPr>
                <w:rFonts w:ascii="宋体" w:hAnsi="宋体" w:eastAsia="宋体" w:cs="宋体"/>
                <w:sz w:val="24"/>
                <w:szCs w:val="24"/>
                <w:lang w:val="zh-CN" w:eastAsia="zh-CN" w:bidi="zh-CN"/>
              </w:rPr>
              <w:t>空气</w:t>
            </w:r>
            <w:r>
              <w:rPr>
                <w:rFonts w:ascii="Times New Roman" w:hAnsi="宋体" w:eastAsia="Times New Roman" w:cs="宋体"/>
                <w:sz w:val="24"/>
                <w:szCs w:val="24"/>
                <w:lang w:val="zh-CN" w:eastAsia="zh-CN" w:bidi="zh-CN"/>
              </w:rPr>
              <w:t>=1)2.90</w:t>
            </w:r>
            <w:r>
              <w:rPr>
                <w:rFonts w:ascii="宋体" w:hAnsi="宋体" w:eastAsia="宋体" w:cs="宋体"/>
                <w:sz w:val="24"/>
                <w:szCs w:val="24"/>
                <w:lang w:val="zh-CN" w:eastAsia="zh-CN" w:bidi="zh-CN"/>
              </w:rPr>
              <w:t>；稳定性：稳定；危险标记：</w:t>
            </w:r>
            <w:r>
              <w:rPr>
                <w:rFonts w:ascii="Times New Roman" w:hAnsi="宋体" w:eastAsia="Times New Roman" w:cs="宋体"/>
                <w:sz w:val="24"/>
                <w:szCs w:val="24"/>
                <w:lang w:val="zh-CN" w:eastAsia="zh-CN" w:bidi="zh-CN"/>
              </w:rPr>
              <w:t>7(</w:t>
            </w:r>
            <w:r>
              <w:rPr>
                <w:rFonts w:ascii="宋体" w:hAnsi="宋体" w:eastAsia="宋体" w:cs="宋体"/>
                <w:sz w:val="24"/>
                <w:szCs w:val="24"/>
                <w:lang w:val="zh-CN" w:eastAsia="zh-CN" w:bidi="zh-CN"/>
              </w:rPr>
              <w:t>易燃液体</w:t>
            </w:r>
            <w:r>
              <w:rPr>
                <w:rFonts w:ascii="Times New Roman" w:hAnsi="宋体" w:eastAsia="Times New Roman" w:cs="宋体"/>
                <w:sz w:val="24"/>
                <w:szCs w:val="24"/>
                <w:lang w:val="zh-CN" w:eastAsia="zh-CN" w:bidi="zh-CN"/>
              </w:rPr>
              <w:t>)</w:t>
            </w:r>
            <w:r>
              <w:rPr>
                <w:rFonts w:ascii="宋体" w:hAnsi="宋体" w:eastAsia="宋体" w:cs="宋体"/>
                <w:sz w:val="24"/>
                <w:szCs w:val="24"/>
                <w:lang w:val="zh-CN" w:eastAsia="zh-CN" w:bidi="zh-CN"/>
              </w:rPr>
              <w:t>。主要用途：用作一般溶剂、色谱分析标准物质及用于有机合成。</w:t>
            </w:r>
          </w:p>
          <w:p w14:paraId="2F43915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黑体" w:hAnsi="黑体" w:eastAsia="黑体" w:cs="黑体"/>
                <w:b w:val="0"/>
                <w:bCs w:val="0"/>
                <w:i w:val="0"/>
                <w:color w:val="auto"/>
                <w:kern w:val="0"/>
                <w:sz w:val="21"/>
                <w:szCs w:val="21"/>
                <w:highlight w:val="none"/>
                <w:u w:val="none"/>
                <w:lang w:val="en-US" w:eastAsia="zh-CN" w:bidi="ar"/>
              </w:rPr>
            </w:pPr>
            <w:r>
              <w:rPr>
                <w:rFonts w:hint="eastAsia" w:ascii="黑体" w:hAnsi="黑体" w:eastAsia="黑体" w:cs="黑体"/>
                <w:b w:val="0"/>
                <w:bCs w:val="0"/>
                <w:sz w:val="21"/>
                <w:szCs w:val="21"/>
                <w:lang w:val="en-US" w:eastAsia="zh-CN"/>
              </w:rPr>
              <w:t xml:space="preserve">表2-9     </w:t>
            </w:r>
            <w:r>
              <w:rPr>
                <w:rFonts w:hint="eastAsia" w:ascii="黑体" w:hAnsi="黑体" w:eastAsia="黑体" w:cs="黑体"/>
                <w:b w:val="0"/>
                <w:bCs w:val="0"/>
                <w:sz w:val="21"/>
                <w:szCs w:val="21"/>
              </w:rPr>
              <w:t>6#溶剂油组成一览表</w:t>
            </w:r>
            <w:r>
              <w:rPr>
                <w:rFonts w:hint="eastAsia" w:ascii="黑体" w:hAnsi="黑体" w:eastAsia="黑体" w:cs="黑体"/>
                <w:b w:val="0"/>
                <w:bCs w:val="0"/>
                <w:sz w:val="21"/>
                <w:szCs w:val="21"/>
                <w:lang w:val="en-US" w:eastAsia="zh-CN"/>
              </w:rPr>
              <w:t xml:space="preserve">        单位：</w:t>
            </w:r>
            <w:r>
              <w:rPr>
                <w:rFonts w:hint="eastAsia" w:ascii="黑体" w:hAnsi="黑体" w:eastAsia="黑体" w:cs="黑体"/>
                <w:b w:val="0"/>
                <w:bCs w:val="0"/>
                <w:sz w:val="21"/>
                <w:szCs w:val="21"/>
              </w:rPr>
              <w:t>质量%</w:t>
            </w:r>
          </w:p>
          <w:tbl>
            <w:tblPr>
              <w:tblStyle w:val="21"/>
              <w:tblW w:w="4998" w:type="pct"/>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7"/>
              <w:gridCol w:w="3051"/>
              <w:gridCol w:w="3109"/>
            </w:tblGrid>
            <w:tr w14:paraId="6B2D8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 w:hRule="atLeast"/>
              </w:trPr>
              <w:tc>
                <w:tcPr>
                  <w:tcW w:w="903" w:type="pct"/>
                  <w:tcBorders>
                    <w:tl2br w:val="nil"/>
                    <w:tr2bl w:val="nil"/>
                  </w:tcBorders>
                  <w:noWrap w:val="0"/>
                  <w:vAlign w:val="center"/>
                </w:tcPr>
                <w:p w14:paraId="5C5EB18D">
                  <w:pPr>
                    <w:jc w:val="center"/>
                  </w:pPr>
                  <w:r>
                    <w:t>芳烃</w:t>
                  </w:r>
                </w:p>
              </w:tc>
              <w:tc>
                <w:tcPr>
                  <w:tcW w:w="2029" w:type="pct"/>
                  <w:tcBorders>
                    <w:tl2br w:val="nil"/>
                    <w:tr2bl w:val="nil"/>
                  </w:tcBorders>
                  <w:noWrap w:val="0"/>
                  <w:vAlign w:val="center"/>
                </w:tcPr>
                <w:p w14:paraId="3B0FD9FD">
                  <w:pPr>
                    <w:jc w:val="center"/>
                  </w:pPr>
                  <w:r>
                    <w:t>8碳芳烃</w:t>
                  </w:r>
                </w:p>
              </w:tc>
              <w:tc>
                <w:tcPr>
                  <w:tcW w:w="2067" w:type="pct"/>
                  <w:tcBorders>
                    <w:tl2br w:val="nil"/>
                    <w:tr2bl w:val="nil"/>
                  </w:tcBorders>
                  <w:noWrap w:val="0"/>
                  <w:vAlign w:val="center"/>
                </w:tcPr>
                <w:p w14:paraId="2699DE3C">
                  <w:pPr>
                    <w:jc w:val="center"/>
                  </w:pPr>
                  <w:r>
                    <w:t>0.0025</w:t>
                  </w:r>
                </w:p>
              </w:tc>
            </w:tr>
            <w:tr w14:paraId="5C40D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903" w:type="pct"/>
                  <w:tcBorders>
                    <w:tl2br w:val="nil"/>
                    <w:tr2bl w:val="nil"/>
                  </w:tcBorders>
                  <w:noWrap w:val="0"/>
                  <w:vAlign w:val="center"/>
                </w:tcPr>
                <w:p w14:paraId="11216283">
                  <w:pPr>
                    <w:jc w:val="center"/>
                  </w:pPr>
                  <w:r>
                    <w:rPr>
                      <w:rFonts w:hint="eastAsia"/>
                      <w:lang w:eastAsia="zh-CN"/>
                    </w:rPr>
                    <w:t>烯烃</w:t>
                  </w:r>
                </w:p>
              </w:tc>
              <w:tc>
                <w:tcPr>
                  <w:tcW w:w="2029" w:type="pct"/>
                  <w:tcBorders>
                    <w:tl2br w:val="nil"/>
                    <w:tr2bl w:val="nil"/>
                  </w:tcBorders>
                  <w:noWrap w:val="0"/>
                  <w:vAlign w:val="center"/>
                </w:tcPr>
                <w:p w14:paraId="58A08109">
                  <w:pPr>
                    <w:jc w:val="center"/>
                  </w:pPr>
                  <w:r>
                    <w:t>—</w:t>
                  </w:r>
                </w:p>
              </w:tc>
              <w:tc>
                <w:tcPr>
                  <w:tcW w:w="2067" w:type="pct"/>
                  <w:tcBorders>
                    <w:tl2br w:val="nil"/>
                    <w:tr2bl w:val="nil"/>
                  </w:tcBorders>
                  <w:noWrap w:val="0"/>
                  <w:vAlign w:val="center"/>
                </w:tcPr>
                <w:p w14:paraId="5627B3A2">
                  <w:pPr>
                    <w:jc w:val="center"/>
                  </w:pPr>
                  <w:r>
                    <w:t>1.55</w:t>
                  </w:r>
                </w:p>
              </w:tc>
            </w:tr>
            <w:tr w14:paraId="69C11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903" w:type="pct"/>
                  <w:vMerge w:val="restart"/>
                  <w:tcBorders>
                    <w:tl2br w:val="nil"/>
                    <w:tr2bl w:val="nil"/>
                  </w:tcBorders>
                  <w:noWrap w:val="0"/>
                  <w:vAlign w:val="center"/>
                </w:tcPr>
                <w:p w14:paraId="66EA960F">
                  <w:pPr>
                    <w:jc w:val="center"/>
                  </w:pPr>
                  <w:r>
                    <w:t>环烷烃</w:t>
                  </w:r>
                </w:p>
              </w:tc>
              <w:tc>
                <w:tcPr>
                  <w:tcW w:w="2029" w:type="pct"/>
                  <w:tcBorders>
                    <w:tl2br w:val="nil"/>
                    <w:tr2bl w:val="nil"/>
                  </w:tcBorders>
                  <w:noWrap w:val="0"/>
                  <w:vAlign w:val="center"/>
                </w:tcPr>
                <w:p w14:paraId="6276DEE4">
                  <w:pPr>
                    <w:jc w:val="center"/>
                  </w:pPr>
                  <w:r>
                    <w:t>5碳环烷烃</w:t>
                  </w:r>
                </w:p>
              </w:tc>
              <w:tc>
                <w:tcPr>
                  <w:tcW w:w="2067" w:type="pct"/>
                  <w:tcBorders>
                    <w:tl2br w:val="nil"/>
                    <w:tr2bl w:val="nil"/>
                  </w:tcBorders>
                  <w:noWrap w:val="0"/>
                  <w:vAlign w:val="center"/>
                </w:tcPr>
                <w:p w14:paraId="0C0FF8E7">
                  <w:pPr>
                    <w:jc w:val="center"/>
                  </w:pPr>
                  <w:r>
                    <w:t>1.56</w:t>
                  </w:r>
                </w:p>
              </w:tc>
            </w:tr>
            <w:tr w14:paraId="071F1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903" w:type="pct"/>
                  <w:vMerge w:val="continue"/>
                  <w:tcBorders>
                    <w:tl2br w:val="nil"/>
                    <w:tr2bl w:val="nil"/>
                  </w:tcBorders>
                  <w:noWrap w:val="0"/>
                  <w:vAlign w:val="center"/>
                </w:tcPr>
                <w:p w14:paraId="1B9956AC">
                  <w:pPr>
                    <w:jc w:val="center"/>
                  </w:pPr>
                </w:p>
              </w:tc>
              <w:tc>
                <w:tcPr>
                  <w:tcW w:w="2029" w:type="pct"/>
                  <w:tcBorders>
                    <w:tl2br w:val="nil"/>
                    <w:tr2bl w:val="nil"/>
                  </w:tcBorders>
                  <w:noWrap w:val="0"/>
                  <w:vAlign w:val="center"/>
                </w:tcPr>
                <w:p w14:paraId="5246F598">
                  <w:pPr>
                    <w:jc w:val="center"/>
                  </w:pPr>
                  <w:r>
                    <w:t>6碳环烷烃</w:t>
                  </w:r>
                </w:p>
              </w:tc>
              <w:tc>
                <w:tcPr>
                  <w:tcW w:w="2067" w:type="pct"/>
                  <w:tcBorders>
                    <w:tl2br w:val="nil"/>
                    <w:tr2bl w:val="nil"/>
                  </w:tcBorders>
                  <w:noWrap w:val="0"/>
                  <w:vAlign w:val="center"/>
                </w:tcPr>
                <w:p w14:paraId="75C6835B">
                  <w:pPr>
                    <w:jc w:val="center"/>
                  </w:pPr>
                  <w:r>
                    <w:t>16.43</w:t>
                  </w:r>
                </w:p>
              </w:tc>
            </w:tr>
            <w:tr w14:paraId="47AA5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903" w:type="pct"/>
                  <w:vMerge w:val="continue"/>
                  <w:tcBorders>
                    <w:tl2br w:val="nil"/>
                    <w:tr2bl w:val="nil"/>
                  </w:tcBorders>
                  <w:noWrap w:val="0"/>
                  <w:vAlign w:val="center"/>
                </w:tcPr>
                <w:p w14:paraId="24D119F5">
                  <w:pPr>
                    <w:jc w:val="center"/>
                  </w:pPr>
                </w:p>
              </w:tc>
              <w:tc>
                <w:tcPr>
                  <w:tcW w:w="2029" w:type="pct"/>
                  <w:tcBorders>
                    <w:tl2br w:val="nil"/>
                    <w:tr2bl w:val="nil"/>
                  </w:tcBorders>
                  <w:noWrap w:val="0"/>
                  <w:vAlign w:val="center"/>
                </w:tcPr>
                <w:p w14:paraId="54ECEB8E">
                  <w:pPr>
                    <w:jc w:val="center"/>
                  </w:pPr>
                  <w:r>
                    <w:t>7碳环烷烃</w:t>
                  </w:r>
                </w:p>
              </w:tc>
              <w:tc>
                <w:tcPr>
                  <w:tcW w:w="2067" w:type="pct"/>
                  <w:tcBorders>
                    <w:tl2br w:val="nil"/>
                    <w:tr2bl w:val="nil"/>
                  </w:tcBorders>
                  <w:noWrap w:val="0"/>
                  <w:vAlign w:val="center"/>
                </w:tcPr>
                <w:p w14:paraId="62546993">
                  <w:pPr>
                    <w:jc w:val="center"/>
                  </w:pPr>
                  <w:r>
                    <w:t>0.16</w:t>
                  </w:r>
                </w:p>
              </w:tc>
            </w:tr>
            <w:tr w14:paraId="1E81B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903" w:type="pct"/>
                  <w:vMerge w:val="restart"/>
                  <w:tcBorders>
                    <w:tl2br w:val="nil"/>
                    <w:tr2bl w:val="nil"/>
                  </w:tcBorders>
                  <w:noWrap w:val="0"/>
                  <w:vAlign w:val="center"/>
                </w:tcPr>
                <w:p w14:paraId="42679123">
                  <w:pPr>
                    <w:jc w:val="center"/>
                  </w:pPr>
                  <w:r>
                    <w:t>烷烃</w:t>
                  </w:r>
                </w:p>
              </w:tc>
              <w:tc>
                <w:tcPr>
                  <w:tcW w:w="2029" w:type="pct"/>
                  <w:tcBorders>
                    <w:tl2br w:val="nil"/>
                    <w:tr2bl w:val="nil"/>
                  </w:tcBorders>
                  <w:noWrap w:val="0"/>
                  <w:vAlign w:val="center"/>
                </w:tcPr>
                <w:p w14:paraId="6874E7B6">
                  <w:pPr>
                    <w:jc w:val="center"/>
                  </w:pPr>
                  <w:r>
                    <w:t>5碳烷烃</w:t>
                  </w:r>
                </w:p>
              </w:tc>
              <w:tc>
                <w:tcPr>
                  <w:tcW w:w="2067" w:type="pct"/>
                  <w:tcBorders>
                    <w:tl2br w:val="nil"/>
                    <w:tr2bl w:val="nil"/>
                  </w:tcBorders>
                  <w:noWrap w:val="0"/>
                  <w:vAlign w:val="center"/>
                </w:tcPr>
                <w:p w14:paraId="755D6083">
                  <w:pPr>
                    <w:jc w:val="center"/>
                  </w:pPr>
                  <w:r>
                    <w:t>2.57</w:t>
                  </w:r>
                </w:p>
              </w:tc>
            </w:tr>
            <w:tr w14:paraId="04B33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903" w:type="pct"/>
                  <w:vMerge w:val="continue"/>
                  <w:tcBorders>
                    <w:tl2br w:val="nil"/>
                    <w:tr2bl w:val="nil"/>
                  </w:tcBorders>
                  <w:noWrap w:val="0"/>
                  <w:vAlign w:val="center"/>
                </w:tcPr>
                <w:p w14:paraId="5467F98F">
                  <w:pPr>
                    <w:jc w:val="center"/>
                  </w:pPr>
                </w:p>
              </w:tc>
              <w:tc>
                <w:tcPr>
                  <w:tcW w:w="2029" w:type="pct"/>
                  <w:tcBorders>
                    <w:tl2br w:val="nil"/>
                    <w:tr2bl w:val="nil"/>
                  </w:tcBorders>
                  <w:noWrap w:val="0"/>
                  <w:vAlign w:val="center"/>
                </w:tcPr>
                <w:p w14:paraId="20F6C028">
                  <w:pPr>
                    <w:jc w:val="center"/>
                  </w:pPr>
                  <w:r>
                    <w:t>6碳烷烃</w:t>
                  </w:r>
                </w:p>
              </w:tc>
              <w:tc>
                <w:tcPr>
                  <w:tcW w:w="2067" w:type="pct"/>
                  <w:tcBorders>
                    <w:tl2br w:val="nil"/>
                    <w:tr2bl w:val="nil"/>
                  </w:tcBorders>
                  <w:noWrap w:val="0"/>
                  <w:vAlign w:val="center"/>
                </w:tcPr>
                <w:p w14:paraId="1DAC9159">
                  <w:pPr>
                    <w:jc w:val="center"/>
                  </w:pPr>
                  <w:r>
                    <w:t>74.08</w:t>
                  </w:r>
                </w:p>
              </w:tc>
            </w:tr>
            <w:tr w14:paraId="35306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903" w:type="pct"/>
                  <w:vMerge w:val="continue"/>
                  <w:tcBorders>
                    <w:tl2br w:val="nil"/>
                    <w:tr2bl w:val="nil"/>
                  </w:tcBorders>
                  <w:noWrap w:val="0"/>
                  <w:vAlign w:val="center"/>
                </w:tcPr>
                <w:p w14:paraId="5D07A544">
                  <w:pPr>
                    <w:jc w:val="center"/>
                  </w:pPr>
                </w:p>
              </w:tc>
              <w:tc>
                <w:tcPr>
                  <w:tcW w:w="2029" w:type="pct"/>
                  <w:tcBorders>
                    <w:tl2br w:val="nil"/>
                    <w:tr2bl w:val="nil"/>
                  </w:tcBorders>
                  <w:noWrap w:val="0"/>
                  <w:vAlign w:val="center"/>
                </w:tcPr>
                <w:p w14:paraId="26B5D07C">
                  <w:pPr>
                    <w:jc w:val="center"/>
                  </w:pPr>
                  <w:r>
                    <w:t>7碳烷烃</w:t>
                  </w:r>
                </w:p>
              </w:tc>
              <w:tc>
                <w:tcPr>
                  <w:tcW w:w="2067" w:type="pct"/>
                  <w:tcBorders>
                    <w:tl2br w:val="nil"/>
                    <w:tr2bl w:val="nil"/>
                  </w:tcBorders>
                  <w:noWrap w:val="0"/>
                  <w:vAlign w:val="center"/>
                </w:tcPr>
                <w:p w14:paraId="089B8BF1">
                  <w:pPr>
                    <w:jc w:val="center"/>
                  </w:pPr>
                  <w:r>
                    <w:t>3.52</w:t>
                  </w:r>
                </w:p>
              </w:tc>
            </w:tr>
          </w:tbl>
          <w:p w14:paraId="77FD703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sz w:val="24"/>
                <w:szCs w:val="24"/>
                <w:lang w:val="zh-CN" w:eastAsia="zh-CN"/>
              </w:rPr>
            </w:pPr>
            <w:r>
              <w:rPr>
                <w:b/>
                <w:bCs/>
                <w:sz w:val="24"/>
                <w:szCs w:val="24"/>
                <w:lang w:val="zh-CN" w:eastAsia="zh-CN"/>
              </w:rPr>
              <w:t>火碱：</w:t>
            </w:r>
            <w:r>
              <w:rPr>
                <w:sz w:val="24"/>
                <w:szCs w:val="24"/>
                <w:lang w:val="zh-CN" w:eastAsia="zh-CN"/>
              </w:rPr>
              <w:t>氢氧化钠(NaOH)，俗称烧碱、火碱、苛性钠，</w:t>
            </w:r>
            <w:r>
              <w:rPr>
                <w:sz w:val="24"/>
                <w:szCs w:val="24"/>
                <w:lang w:val="zh-CN" w:eastAsia="zh-CN"/>
              </w:rPr>
              <w:fldChar w:fldCharType="begin"/>
            </w:r>
            <w:r>
              <w:rPr>
                <w:sz w:val="24"/>
                <w:szCs w:val="24"/>
                <w:lang w:val="zh-CN" w:eastAsia="zh-CN"/>
              </w:rPr>
              <w:instrText xml:space="preserve"> HYPERLINK "http://baike.baidu.com/view/63153.htm" \h </w:instrText>
            </w:r>
            <w:r>
              <w:rPr>
                <w:sz w:val="24"/>
                <w:szCs w:val="24"/>
                <w:lang w:val="zh-CN" w:eastAsia="zh-CN"/>
              </w:rPr>
              <w:fldChar w:fldCharType="separate"/>
            </w:r>
            <w:r>
              <w:rPr>
                <w:sz w:val="24"/>
                <w:szCs w:val="24"/>
                <w:lang w:val="zh-CN" w:eastAsia="zh-CN"/>
              </w:rPr>
              <w:t>常温</w:t>
            </w:r>
            <w:r>
              <w:rPr>
                <w:sz w:val="24"/>
                <w:szCs w:val="24"/>
                <w:lang w:val="zh-CN" w:eastAsia="zh-CN"/>
              </w:rPr>
              <w:fldChar w:fldCharType="end"/>
            </w:r>
            <w:r>
              <w:rPr>
                <w:sz w:val="24"/>
                <w:szCs w:val="24"/>
                <w:lang w:val="zh-CN" w:eastAsia="zh-CN"/>
              </w:rPr>
              <w:t>下是一种白色</w:t>
            </w:r>
            <w:r>
              <w:rPr>
                <w:sz w:val="24"/>
                <w:szCs w:val="24"/>
                <w:lang w:val="zh-CN" w:eastAsia="zh-CN"/>
              </w:rPr>
              <w:fldChar w:fldCharType="begin"/>
            </w:r>
            <w:r>
              <w:rPr>
                <w:sz w:val="24"/>
                <w:szCs w:val="24"/>
                <w:lang w:val="zh-CN" w:eastAsia="zh-CN"/>
              </w:rPr>
              <w:instrText xml:space="preserve"> HYPERLINK "http://baike.baidu.com/view/51869.htm" \h </w:instrText>
            </w:r>
            <w:r>
              <w:rPr>
                <w:sz w:val="24"/>
                <w:szCs w:val="24"/>
                <w:lang w:val="zh-CN" w:eastAsia="zh-CN"/>
              </w:rPr>
              <w:fldChar w:fldCharType="separate"/>
            </w:r>
            <w:r>
              <w:rPr>
                <w:sz w:val="24"/>
                <w:szCs w:val="24"/>
                <w:lang w:val="zh-CN" w:eastAsia="zh-CN"/>
              </w:rPr>
              <w:t>晶体</w:t>
            </w:r>
            <w:r>
              <w:rPr>
                <w:sz w:val="24"/>
                <w:szCs w:val="24"/>
                <w:lang w:val="zh-CN" w:eastAsia="zh-CN"/>
              </w:rPr>
              <w:fldChar w:fldCharType="end"/>
            </w:r>
            <w:r>
              <w:rPr>
                <w:sz w:val="24"/>
                <w:szCs w:val="24"/>
                <w:lang w:val="zh-CN" w:eastAsia="zh-CN"/>
              </w:rPr>
              <w:t>，具有强</w:t>
            </w:r>
            <w:r>
              <w:rPr>
                <w:sz w:val="24"/>
                <w:szCs w:val="24"/>
                <w:lang w:val="zh-CN" w:eastAsia="zh-CN"/>
              </w:rPr>
              <w:fldChar w:fldCharType="begin"/>
            </w:r>
            <w:r>
              <w:rPr>
                <w:sz w:val="24"/>
                <w:szCs w:val="24"/>
                <w:lang w:val="zh-CN" w:eastAsia="zh-CN"/>
              </w:rPr>
              <w:instrText xml:space="preserve"> HYPERLINK "http://baike.baidu.com/view/1456180.htm" \h </w:instrText>
            </w:r>
            <w:r>
              <w:rPr>
                <w:sz w:val="24"/>
                <w:szCs w:val="24"/>
                <w:lang w:val="zh-CN" w:eastAsia="zh-CN"/>
              </w:rPr>
              <w:fldChar w:fldCharType="separate"/>
            </w:r>
            <w:r>
              <w:rPr>
                <w:sz w:val="24"/>
                <w:szCs w:val="24"/>
                <w:lang w:val="zh-CN" w:eastAsia="zh-CN"/>
              </w:rPr>
              <w:t>腐蚀性</w:t>
            </w:r>
            <w:r>
              <w:rPr>
                <w:sz w:val="24"/>
                <w:szCs w:val="24"/>
                <w:lang w:val="zh-CN" w:eastAsia="zh-CN"/>
              </w:rPr>
              <w:fldChar w:fldCharType="end"/>
            </w:r>
            <w:r>
              <w:rPr>
                <w:sz w:val="24"/>
                <w:szCs w:val="24"/>
                <w:lang w:val="zh-CN" w:eastAsia="zh-CN"/>
              </w:rPr>
              <w:t>。易溶于水，其水溶液呈</w:t>
            </w:r>
            <w:r>
              <w:rPr>
                <w:sz w:val="24"/>
                <w:szCs w:val="24"/>
                <w:lang w:val="zh-CN" w:eastAsia="zh-CN"/>
              </w:rPr>
              <w:fldChar w:fldCharType="begin"/>
            </w:r>
            <w:r>
              <w:rPr>
                <w:sz w:val="24"/>
                <w:szCs w:val="24"/>
                <w:lang w:val="zh-CN" w:eastAsia="zh-CN"/>
              </w:rPr>
              <w:instrText xml:space="preserve"> HYPERLINK "http://baike.baidu.com/view/507270.htm" \h </w:instrText>
            </w:r>
            <w:r>
              <w:rPr>
                <w:sz w:val="24"/>
                <w:szCs w:val="24"/>
                <w:lang w:val="zh-CN" w:eastAsia="zh-CN"/>
              </w:rPr>
              <w:fldChar w:fldCharType="separate"/>
            </w:r>
            <w:r>
              <w:rPr>
                <w:sz w:val="24"/>
                <w:szCs w:val="24"/>
                <w:lang w:val="zh-CN" w:eastAsia="zh-CN"/>
              </w:rPr>
              <w:t>强碱</w:t>
            </w:r>
            <w:r>
              <w:rPr>
                <w:sz w:val="24"/>
                <w:szCs w:val="24"/>
                <w:lang w:val="zh-CN" w:eastAsia="zh-CN"/>
              </w:rPr>
              <w:fldChar w:fldCharType="end"/>
            </w:r>
            <w:r>
              <w:rPr>
                <w:sz w:val="24"/>
                <w:szCs w:val="24"/>
                <w:lang w:val="zh-CN" w:eastAsia="zh-CN"/>
              </w:rPr>
              <w:t>性，能使</w:t>
            </w:r>
            <w:r>
              <w:rPr>
                <w:sz w:val="24"/>
                <w:szCs w:val="24"/>
                <w:lang w:val="zh-CN" w:eastAsia="zh-CN"/>
              </w:rPr>
              <w:fldChar w:fldCharType="begin"/>
            </w:r>
            <w:r>
              <w:rPr>
                <w:sz w:val="24"/>
                <w:szCs w:val="24"/>
                <w:lang w:val="zh-CN" w:eastAsia="zh-CN"/>
              </w:rPr>
              <w:instrText xml:space="preserve"> HYPERLINK "http://baike.baidu.com/view/88468.htm" \h </w:instrText>
            </w:r>
            <w:r>
              <w:rPr>
                <w:sz w:val="24"/>
                <w:szCs w:val="24"/>
                <w:lang w:val="zh-CN" w:eastAsia="zh-CN"/>
              </w:rPr>
              <w:fldChar w:fldCharType="separate"/>
            </w:r>
            <w:r>
              <w:rPr>
                <w:sz w:val="24"/>
                <w:szCs w:val="24"/>
                <w:lang w:val="zh-CN" w:eastAsia="zh-CN"/>
              </w:rPr>
              <w:t>酚酞</w:t>
            </w:r>
            <w:r>
              <w:rPr>
                <w:sz w:val="24"/>
                <w:szCs w:val="24"/>
                <w:lang w:val="zh-CN" w:eastAsia="zh-CN"/>
              </w:rPr>
              <w:fldChar w:fldCharType="end"/>
            </w:r>
            <w:r>
              <w:rPr>
                <w:sz w:val="24"/>
                <w:szCs w:val="24"/>
                <w:lang w:val="zh-CN" w:eastAsia="zh-CN"/>
              </w:rPr>
              <w:t>变红。氢氧化钠是一种极常用的碱，是</w:t>
            </w:r>
            <w:r>
              <w:rPr>
                <w:sz w:val="24"/>
                <w:szCs w:val="24"/>
                <w:lang w:val="zh-CN" w:eastAsia="zh-CN"/>
              </w:rPr>
              <w:fldChar w:fldCharType="begin"/>
            </w:r>
            <w:r>
              <w:rPr>
                <w:sz w:val="24"/>
                <w:szCs w:val="24"/>
                <w:lang w:val="zh-CN" w:eastAsia="zh-CN"/>
              </w:rPr>
              <w:instrText xml:space="preserve"> HYPERLINK "http://baike.baidu.com/view/1102483.htm" \h </w:instrText>
            </w:r>
            <w:r>
              <w:rPr>
                <w:sz w:val="24"/>
                <w:szCs w:val="24"/>
                <w:lang w:val="zh-CN" w:eastAsia="zh-CN"/>
              </w:rPr>
              <w:fldChar w:fldCharType="separate"/>
            </w:r>
            <w:r>
              <w:rPr>
                <w:sz w:val="24"/>
                <w:szCs w:val="24"/>
                <w:lang w:val="zh-CN" w:eastAsia="zh-CN"/>
              </w:rPr>
              <w:t>化学实验室</w:t>
            </w:r>
            <w:r>
              <w:rPr>
                <w:sz w:val="24"/>
                <w:szCs w:val="24"/>
                <w:lang w:val="zh-CN" w:eastAsia="zh-CN"/>
              </w:rPr>
              <w:fldChar w:fldCharType="end"/>
            </w:r>
            <w:r>
              <w:rPr>
                <w:sz w:val="24"/>
                <w:szCs w:val="24"/>
                <w:lang w:val="zh-CN" w:eastAsia="zh-CN"/>
              </w:rPr>
              <w:t>的必备药品之一。氢氧化钠在</w:t>
            </w:r>
            <w:r>
              <w:rPr>
                <w:sz w:val="24"/>
                <w:szCs w:val="24"/>
                <w:lang w:val="zh-CN" w:eastAsia="zh-CN"/>
              </w:rPr>
              <w:fldChar w:fldCharType="begin"/>
            </w:r>
            <w:r>
              <w:rPr>
                <w:sz w:val="24"/>
                <w:szCs w:val="24"/>
                <w:lang w:val="zh-CN" w:eastAsia="zh-CN"/>
              </w:rPr>
              <w:instrText xml:space="preserve"> HYPERLINK "http://baike.baidu.com/view/10696.htm" \h </w:instrText>
            </w:r>
            <w:r>
              <w:rPr>
                <w:sz w:val="24"/>
                <w:szCs w:val="24"/>
                <w:lang w:val="zh-CN" w:eastAsia="zh-CN"/>
              </w:rPr>
              <w:fldChar w:fldCharType="separate"/>
            </w:r>
            <w:r>
              <w:rPr>
                <w:sz w:val="24"/>
                <w:szCs w:val="24"/>
                <w:lang w:val="zh-CN" w:eastAsia="zh-CN"/>
              </w:rPr>
              <w:t>空气</w:t>
            </w:r>
            <w:r>
              <w:rPr>
                <w:sz w:val="24"/>
                <w:szCs w:val="24"/>
                <w:lang w:val="zh-CN" w:eastAsia="zh-CN"/>
              </w:rPr>
              <w:fldChar w:fldCharType="end"/>
            </w:r>
            <w:r>
              <w:rPr>
                <w:sz w:val="24"/>
                <w:szCs w:val="24"/>
                <w:lang w:val="zh-CN" w:eastAsia="zh-CN"/>
              </w:rPr>
              <w:t>中易吸收水蒸气，对其必须密封保存，且要用橡胶瓶塞。它的</w:t>
            </w:r>
            <w:r>
              <w:rPr>
                <w:sz w:val="24"/>
                <w:szCs w:val="24"/>
                <w:lang w:val="zh-CN" w:eastAsia="zh-CN"/>
              </w:rPr>
              <w:fldChar w:fldCharType="begin"/>
            </w:r>
            <w:r>
              <w:rPr>
                <w:sz w:val="24"/>
                <w:szCs w:val="24"/>
                <w:lang w:val="zh-CN" w:eastAsia="zh-CN"/>
              </w:rPr>
              <w:instrText xml:space="preserve"> HYPERLINK "http://baike.baidu.com/view/57905.htm" \h </w:instrText>
            </w:r>
            <w:r>
              <w:rPr>
                <w:sz w:val="24"/>
                <w:szCs w:val="24"/>
                <w:lang w:val="zh-CN" w:eastAsia="zh-CN"/>
              </w:rPr>
              <w:fldChar w:fldCharType="separate"/>
            </w:r>
            <w:r>
              <w:rPr>
                <w:sz w:val="24"/>
                <w:szCs w:val="24"/>
                <w:lang w:val="zh-CN" w:eastAsia="zh-CN"/>
              </w:rPr>
              <w:t>溶液</w:t>
            </w:r>
            <w:r>
              <w:rPr>
                <w:sz w:val="24"/>
                <w:szCs w:val="24"/>
                <w:lang w:val="zh-CN" w:eastAsia="zh-CN"/>
              </w:rPr>
              <w:fldChar w:fldCharType="end"/>
            </w:r>
            <w:r>
              <w:rPr>
                <w:sz w:val="24"/>
                <w:szCs w:val="24"/>
                <w:lang w:val="zh-CN" w:eastAsia="zh-CN"/>
              </w:rPr>
              <w:t>可以用作</w:t>
            </w:r>
            <w:r>
              <w:rPr>
                <w:sz w:val="24"/>
                <w:szCs w:val="24"/>
                <w:lang w:val="zh-CN" w:eastAsia="zh-CN"/>
              </w:rPr>
              <w:fldChar w:fldCharType="begin"/>
            </w:r>
            <w:r>
              <w:rPr>
                <w:sz w:val="24"/>
                <w:szCs w:val="24"/>
                <w:lang w:val="zh-CN" w:eastAsia="zh-CN"/>
              </w:rPr>
              <w:instrText xml:space="preserve"> HYPERLINK "http://baike.baidu.com/view/2004780.htm" \h </w:instrText>
            </w:r>
            <w:r>
              <w:rPr>
                <w:sz w:val="24"/>
                <w:szCs w:val="24"/>
                <w:lang w:val="zh-CN" w:eastAsia="zh-CN"/>
              </w:rPr>
              <w:fldChar w:fldCharType="separate"/>
            </w:r>
            <w:r>
              <w:rPr>
                <w:sz w:val="24"/>
                <w:szCs w:val="24"/>
                <w:lang w:val="zh-CN" w:eastAsia="zh-CN"/>
              </w:rPr>
              <w:t>洗涤液</w:t>
            </w:r>
            <w:r>
              <w:rPr>
                <w:sz w:val="24"/>
                <w:szCs w:val="24"/>
                <w:lang w:val="zh-CN" w:eastAsia="zh-CN"/>
              </w:rPr>
              <w:fldChar w:fldCharType="end"/>
            </w:r>
            <w:r>
              <w:rPr>
                <w:sz w:val="24"/>
                <w:szCs w:val="24"/>
                <w:lang w:val="zh-CN" w:eastAsia="zh-CN"/>
              </w:rPr>
              <w:t>。</w:t>
            </w:r>
          </w:p>
          <w:p w14:paraId="058D48CD">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磷酸（食品级）：</w:t>
            </w:r>
            <w:r>
              <w:rPr>
                <w:rFonts w:hint="eastAsia"/>
                <w:sz w:val="24"/>
                <w:szCs w:val="24"/>
                <w:lang w:val="en-US" w:eastAsia="zh-CN"/>
              </w:rPr>
              <w:t>在食品工业中用作酸度调节剂、螯合剂、稳定剂、水分保持剂。在制糖加工工艺、油脂加工工艺、发酵工艺中用作澄清剂、精炼脱胶用营养物质。磷酸（H</w:t>
            </w:r>
            <w:r>
              <w:rPr>
                <w:rFonts w:hint="eastAsia"/>
                <w:sz w:val="24"/>
                <w:szCs w:val="24"/>
                <w:vertAlign w:val="subscript"/>
                <w:lang w:val="en-US" w:eastAsia="zh-CN"/>
              </w:rPr>
              <w:t>3</w:t>
            </w:r>
            <w:r>
              <w:rPr>
                <w:rFonts w:hint="eastAsia"/>
                <w:sz w:val="24"/>
                <w:szCs w:val="24"/>
                <w:lang w:val="en-US" w:eastAsia="zh-CN"/>
              </w:rPr>
              <w:t>PO</w:t>
            </w:r>
            <w:r>
              <w:rPr>
                <w:rFonts w:hint="eastAsia"/>
                <w:sz w:val="24"/>
                <w:szCs w:val="24"/>
                <w:vertAlign w:val="subscript"/>
                <w:lang w:val="en-US" w:eastAsia="zh-CN"/>
              </w:rPr>
              <w:t>4</w:t>
            </w:r>
            <w:r>
              <w:rPr>
                <w:rFonts w:hint="eastAsia"/>
                <w:sz w:val="24"/>
                <w:szCs w:val="24"/>
                <w:lang w:val="en-US" w:eastAsia="zh-CN"/>
              </w:rPr>
              <w:t>）</w:t>
            </w:r>
            <w:r>
              <w:rPr>
                <w:rFonts w:ascii="宋体" w:hAnsi="宋体" w:eastAsia="宋体" w:cs="宋体"/>
                <w:sz w:val="24"/>
                <w:szCs w:val="24"/>
              </w:rPr>
              <w:t>质量分数</w:t>
            </w:r>
            <w:r>
              <w:rPr>
                <w:rFonts w:hint="eastAsia"/>
                <w:sz w:val="24"/>
                <w:szCs w:val="24"/>
                <w:lang w:val="en-US" w:eastAsia="zh-CN"/>
              </w:rPr>
              <w:t>≥75.0~86.0，砷（As）w/%≤0.00005，氧化物（以F计）w/%≤0.001。</w:t>
            </w:r>
          </w:p>
          <w:p w14:paraId="33A05350">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sz w:val="24"/>
                <w:szCs w:val="24"/>
                <w:highlight w:val="none"/>
                <w:lang w:val="en-US" w:eastAsia="zh-CN"/>
              </w:rPr>
            </w:pPr>
            <w:r>
              <w:rPr>
                <w:rFonts w:hint="eastAsia" w:cs="Times New Roman"/>
                <w:b/>
                <w:bCs/>
                <w:sz w:val="24"/>
                <w:szCs w:val="24"/>
                <w:lang w:val="en-US" w:eastAsia="zh-CN"/>
              </w:rPr>
              <w:t xml:space="preserve">5 </w:t>
            </w:r>
            <w:r>
              <w:rPr>
                <w:rFonts w:hint="default" w:ascii="Times New Roman" w:hAnsi="Times New Roman" w:eastAsia="宋体" w:cs="Times New Roman"/>
                <w:b/>
                <w:bCs/>
                <w:sz w:val="24"/>
                <w:szCs w:val="24"/>
                <w:lang w:val="en-US" w:eastAsia="zh-CN"/>
              </w:rPr>
              <w:t>公</w:t>
            </w:r>
            <w:r>
              <w:rPr>
                <w:rFonts w:hint="default" w:ascii="Times New Roman" w:hAnsi="Times New Roman" w:eastAsia="宋体" w:cs="Times New Roman"/>
                <w:b/>
                <w:bCs/>
                <w:sz w:val="24"/>
                <w:szCs w:val="24"/>
                <w:highlight w:val="none"/>
                <w:lang w:val="en-US" w:eastAsia="zh-CN"/>
              </w:rPr>
              <w:t>用及辅助工程</w:t>
            </w:r>
          </w:p>
          <w:p w14:paraId="2BFF5D96">
            <w:pPr>
              <w:keepNext w:val="0"/>
              <w:keepLines w:val="0"/>
              <w:pageBreakBefore w:val="0"/>
              <w:widowControl w:val="0"/>
              <w:wordWrap/>
              <w:topLinePunct w:val="0"/>
              <w:bidi w:val="0"/>
              <w:adjustRightInd w:val="0"/>
              <w:snapToGrid w:val="0"/>
              <w:spacing w:line="360" w:lineRule="auto"/>
              <w:ind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本项目用水主要为</w:t>
            </w:r>
            <w:r>
              <w:rPr>
                <w:rFonts w:hint="eastAsia" w:ascii="Times New Roman" w:hAnsi="Times New Roman" w:eastAsia="宋体" w:cs="Times New Roman"/>
                <w:sz w:val="24"/>
                <w:szCs w:val="24"/>
                <w:highlight w:val="none"/>
                <w:lang w:val="en-US" w:eastAsia="zh-CN"/>
              </w:rPr>
              <w:t>食堂、</w:t>
            </w:r>
            <w:r>
              <w:rPr>
                <w:rFonts w:hint="default" w:ascii="Times New Roman" w:hAnsi="Times New Roman" w:eastAsia="宋体" w:cs="Times New Roman"/>
                <w:sz w:val="24"/>
                <w:szCs w:val="24"/>
                <w:highlight w:val="none"/>
                <w:lang w:val="en-US" w:eastAsia="zh-CN"/>
              </w:rPr>
              <w:t>员工生活</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用水，用水情况如下所述。</w:t>
            </w:r>
          </w:p>
          <w:p w14:paraId="166A6D17">
            <w:pPr>
              <w:keepNext w:val="0"/>
              <w:keepLines w:val="0"/>
              <w:pageBreakBefore w:val="0"/>
              <w:widowControl w:val="0"/>
              <w:wordWrap/>
              <w:topLinePunct w:val="0"/>
              <w:bidi w:val="0"/>
              <w:adjustRightInd w:val="0"/>
              <w:snapToGrid w:val="0"/>
              <w:spacing w:line="360" w:lineRule="auto"/>
              <w:ind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①员工生活用水</w:t>
            </w:r>
          </w:p>
          <w:p w14:paraId="5357FD44">
            <w:pPr>
              <w:keepNext w:val="0"/>
              <w:keepLines w:val="0"/>
              <w:pageBreakBefore w:val="0"/>
              <w:widowControl w:val="0"/>
              <w:wordWrap/>
              <w:topLinePunct w:val="0"/>
              <w:bidi w:val="0"/>
              <w:adjustRightInd w:val="0"/>
              <w:snapToGrid w:val="0"/>
              <w:spacing w:line="360" w:lineRule="auto"/>
              <w:ind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主要为职工生活用水</w:t>
            </w:r>
            <w:r>
              <w:rPr>
                <w:rFonts w:hint="eastAsia" w:cs="Times New Roman"/>
                <w:sz w:val="24"/>
                <w:szCs w:val="24"/>
                <w:highlight w:val="none"/>
                <w:lang w:eastAsia="zh-CN"/>
              </w:rPr>
              <w:t>、</w:t>
            </w:r>
            <w:r>
              <w:rPr>
                <w:rFonts w:hint="eastAsia" w:cs="Times New Roman"/>
                <w:sz w:val="24"/>
                <w:szCs w:val="24"/>
                <w:highlight w:val="none"/>
                <w:lang w:val="en-US" w:eastAsia="zh-CN"/>
              </w:rPr>
              <w:t>食堂用水</w:t>
            </w:r>
            <w:r>
              <w:rPr>
                <w:rFonts w:hint="default" w:ascii="Times New Roman" w:hAnsi="Times New Roman" w:eastAsia="宋体" w:cs="Times New Roman"/>
                <w:sz w:val="24"/>
                <w:szCs w:val="24"/>
                <w:highlight w:val="none"/>
              </w:rPr>
              <w:t>，职工人数为</w:t>
            </w:r>
            <w:r>
              <w:rPr>
                <w:rFonts w:hint="eastAsia" w:cs="Times New Roman"/>
                <w:sz w:val="24"/>
                <w:szCs w:val="24"/>
                <w:highlight w:val="none"/>
                <w:lang w:val="en-US" w:eastAsia="zh-CN"/>
              </w:rPr>
              <w:t>65</w:t>
            </w:r>
            <w:r>
              <w:rPr>
                <w:rFonts w:hint="default" w:ascii="Times New Roman" w:hAnsi="Times New Roman" w:eastAsia="宋体" w:cs="Times New Roman"/>
                <w:sz w:val="24"/>
                <w:szCs w:val="24"/>
                <w:highlight w:val="none"/>
              </w:rPr>
              <w:t>人，</w:t>
            </w:r>
            <w:r>
              <w:rPr>
                <w:rFonts w:hint="eastAsia" w:cs="Times New Roman"/>
                <w:sz w:val="24"/>
                <w:szCs w:val="24"/>
                <w:highlight w:val="none"/>
                <w:lang w:val="en-US" w:eastAsia="zh-CN"/>
              </w:rPr>
              <w:t>年生产300天，</w:t>
            </w:r>
            <w:r>
              <w:rPr>
                <w:rFonts w:hint="default" w:ascii="Times New Roman" w:hAnsi="Times New Roman" w:eastAsia="宋体" w:cs="Times New Roman"/>
                <w:sz w:val="24"/>
                <w:szCs w:val="24"/>
                <w:highlight w:val="none"/>
              </w:rPr>
              <w:t>项目总用水量为</w:t>
            </w:r>
            <w:r>
              <w:rPr>
                <w:rFonts w:hint="eastAsia" w:cs="Times New Roman"/>
                <w:sz w:val="24"/>
                <w:szCs w:val="24"/>
                <w:highlight w:val="none"/>
                <w:lang w:val="en-US" w:eastAsia="zh-CN"/>
              </w:rPr>
              <w:t>8.45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d（2535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a）</w:t>
            </w:r>
            <w:r>
              <w:rPr>
                <w:rFonts w:hint="default" w:ascii="Times New Roman" w:hAnsi="Times New Roman" w:eastAsia="宋体" w:cs="Times New Roman"/>
                <w:sz w:val="24"/>
                <w:szCs w:val="24"/>
                <w:highlight w:val="none"/>
              </w:rPr>
              <w:t>。</w:t>
            </w:r>
          </w:p>
          <w:p w14:paraId="1C7F3BC7">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②</w:t>
            </w:r>
            <w:r>
              <w:rPr>
                <w:rFonts w:hint="eastAsia" w:cs="Times New Roman"/>
                <w:sz w:val="24"/>
                <w:szCs w:val="24"/>
                <w:highlight w:val="none"/>
                <w:lang w:val="en-US" w:eastAsia="zh-CN"/>
              </w:rPr>
              <w:t>浸出车间、精炼车间给水</w:t>
            </w:r>
          </w:p>
          <w:p w14:paraId="6E79DC2B">
            <w:pPr>
              <w:pStyle w:val="26"/>
              <w:keepNext w:val="0"/>
              <w:keepLines w:val="0"/>
              <w:pageBreakBefore w:val="0"/>
              <w:widowControl w:val="0"/>
              <w:kinsoku/>
              <w:wordWrap/>
              <w:overflowPunct/>
              <w:topLinePunct w:val="0"/>
              <w:bidi w:val="0"/>
              <w:adjustRightInd w:val="0"/>
              <w:spacing w:beforeLines="0" w:afterLines="0" w:line="360" w:lineRule="auto"/>
              <w:ind w:firstLine="480" w:firstLineChars="200"/>
              <w:textAlignment w:val="auto"/>
              <w:rPr>
                <w:rFonts w:hint="eastAsia"/>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本项目浸出、精炼车间主要用水量192.5m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/d（57750m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p w14:paraId="03081EFA">
            <w:pPr>
              <w:snapToGrid w:val="0"/>
              <w:spacing w:line="360" w:lineRule="auto"/>
              <w:ind w:firstLine="480" w:firstLineChars="200"/>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③锅炉给</w:t>
            </w:r>
            <w:r>
              <w:rPr>
                <w:rFonts w:hint="default" w:ascii="Times New Roman" w:hAnsi="Times New Roman" w:cs="Times New Roman" w:eastAsiaTheme="minorEastAsia"/>
                <w:b w:val="0"/>
                <w:bCs w:val="0"/>
                <w:color w:val="auto"/>
                <w:sz w:val="24"/>
                <w:szCs w:val="24"/>
              </w:rPr>
              <w:t>水</w:t>
            </w:r>
          </w:p>
          <w:p w14:paraId="518CFC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lang w:val="en-US"/>
              </w:rPr>
            </w:pPr>
            <w:r>
              <w:rPr>
                <w:rFonts w:hint="default" w:ascii="Times New Roman" w:hAnsi="Times New Roman" w:eastAsia="宋体" w:cs="Times New Roman"/>
                <w:i w:val="0"/>
                <w:iCs w:val="0"/>
                <w:caps w:val="0"/>
                <w:spacing w:val="0"/>
                <w:sz w:val="24"/>
                <w:szCs w:val="24"/>
                <w:shd w:val="clear" w:fill="FFFFFF"/>
                <w:lang w:val="en-US" w:eastAsia="zh-CN"/>
              </w:rPr>
              <w:t>根据</w:t>
            </w:r>
            <w:r>
              <w:rPr>
                <w:rFonts w:hint="default" w:ascii="Times New Roman" w:hAnsi="Times New Roman" w:eastAsia="Segoe UI" w:cs="Times New Roman"/>
                <w:i w:val="0"/>
                <w:iCs w:val="0"/>
                <w:caps w:val="0"/>
                <w:spacing w:val="0"/>
                <w:sz w:val="24"/>
                <w:szCs w:val="24"/>
                <w:shd w:val="clear" w:fill="FFFFFF"/>
              </w:rPr>
              <w:t>《</w:t>
            </w:r>
            <w:r>
              <w:rPr>
                <w:rFonts w:hint="default" w:ascii="Times New Roman" w:hAnsi="Times New Roman" w:eastAsia="宋体" w:cs="Times New Roman"/>
                <w:i w:val="0"/>
                <w:iCs w:val="0"/>
                <w:caps w:val="0"/>
                <w:color w:val="333333"/>
                <w:spacing w:val="0"/>
                <w:sz w:val="24"/>
                <w:szCs w:val="24"/>
                <w:shd w:val="clear" w:fill="FFFFFF"/>
              </w:rPr>
              <w:t>工业锅炉技术规范</w:t>
            </w:r>
            <w:r>
              <w:rPr>
                <w:rFonts w:hint="default" w:ascii="Times New Roman" w:hAnsi="Times New Roman" w:eastAsia="Segoe UI" w:cs="Times New Roman"/>
                <w:i w:val="0"/>
                <w:iCs w:val="0"/>
                <w:caps w:val="0"/>
                <w:spacing w:val="0"/>
                <w:sz w:val="24"/>
                <w:szCs w:val="24"/>
                <w:shd w:val="clear" w:fill="FFFFFF"/>
              </w:rPr>
              <w:t>》</w:t>
            </w:r>
            <w:r>
              <w:rPr>
                <w:rFonts w:hint="default" w:ascii="Times New Roman" w:hAnsi="Times New Roman" w:eastAsia="宋体" w:cs="Times New Roman"/>
                <w:i w:val="0"/>
                <w:iCs w:val="0"/>
                <w:caps w:val="0"/>
                <w:spacing w:val="0"/>
                <w:sz w:val="24"/>
                <w:szCs w:val="24"/>
                <w:shd w:val="clear" w:fill="FFFFFF"/>
                <w:lang w:val="en-US" w:eastAsia="zh-CN"/>
              </w:rPr>
              <w:t>中说明，常规蒸汽锅炉补水量约为8%/d</w:t>
            </w:r>
            <w:r>
              <w:rPr>
                <w:rFonts w:hint="eastAsia" w:cs="Times New Roman"/>
                <w:i w:val="0"/>
                <w:iCs w:val="0"/>
                <w:caps w:val="0"/>
                <w:spacing w:val="0"/>
                <w:sz w:val="24"/>
                <w:szCs w:val="24"/>
                <w:shd w:val="clear" w:fill="FFFFFF"/>
                <w:lang w:val="en-US" w:eastAsia="zh-CN"/>
              </w:rPr>
              <w:t>，</w:t>
            </w:r>
            <w:r>
              <w:rPr>
                <w:rFonts w:hint="eastAsia" w:cs="Times New Roman" w:eastAsiaTheme="minorEastAsia"/>
                <w:b w:val="0"/>
                <w:bCs w:val="0"/>
                <w:color w:val="auto"/>
                <w:sz w:val="24"/>
                <w:szCs w:val="24"/>
                <w:lang w:val="en-US" w:eastAsia="zh-CN"/>
              </w:rPr>
              <w:t>本项目15t/h</w:t>
            </w:r>
            <w:r>
              <w:rPr>
                <w:rFonts w:hint="default" w:ascii="Times New Roman" w:hAnsi="Times New Roman" w:cs="Times New Roman" w:eastAsiaTheme="minorEastAsia"/>
                <w:b w:val="0"/>
                <w:bCs w:val="0"/>
                <w:color w:val="auto"/>
                <w:sz w:val="24"/>
                <w:szCs w:val="24"/>
                <w:lang w:val="en-US" w:eastAsia="zh-CN"/>
              </w:rPr>
              <w:t>天然气锅炉</w:t>
            </w:r>
            <w:r>
              <w:rPr>
                <w:rFonts w:hint="eastAsia" w:cs="Times New Roman" w:eastAsiaTheme="minorEastAsia"/>
                <w:b w:val="0"/>
                <w:bCs w:val="0"/>
                <w:color w:val="auto"/>
                <w:sz w:val="24"/>
                <w:szCs w:val="24"/>
                <w:lang w:val="en-US" w:eastAsia="zh-CN"/>
              </w:rPr>
              <w:t>补</w:t>
            </w:r>
            <w:r>
              <w:rPr>
                <w:rFonts w:hint="default" w:ascii="Times New Roman" w:hAnsi="Times New Roman" w:cs="Times New Roman" w:eastAsiaTheme="minorEastAsia"/>
                <w:b w:val="0"/>
                <w:bCs w:val="0"/>
                <w:color w:val="auto"/>
                <w:sz w:val="24"/>
                <w:szCs w:val="24"/>
                <w:lang w:val="en-US" w:eastAsia="zh-CN"/>
              </w:rPr>
              <w:t>水量为</w:t>
            </w:r>
            <w:r>
              <w:rPr>
                <w:rFonts w:hint="eastAsia" w:cs="Times New Roman" w:eastAsiaTheme="minorEastAsia"/>
                <w:b w:val="0"/>
                <w:bCs w:val="0"/>
                <w:color w:val="auto"/>
                <w:sz w:val="24"/>
                <w:szCs w:val="24"/>
                <w:lang w:val="en-US" w:eastAsia="zh-CN"/>
              </w:rPr>
              <w:t>28.8m</w:t>
            </w:r>
            <w:r>
              <w:rPr>
                <w:rFonts w:hint="default" w:ascii="Times New Roman" w:hAnsi="Times New Roman" w:cs="Times New Roman" w:eastAsiaTheme="minorEastAsia"/>
                <w:b w:val="0"/>
                <w:bCs w:val="0"/>
                <w:smallCaps w:val="0"/>
                <w:color w:val="auto"/>
                <w:kern w:val="2"/>
                <w:sz w:val="24"/>
                <w:szCs w:val="24"/>
                <w:lang w:val="en-US" w:eastAsia="zh-CN" w:bidi="ar-SA"/>
              </w:rPr>
              <w:t>³/d</w:t>
            </w:r>
            <w:r>
              <w:rPr>
                <w:rFonts w:hint="eastAsia" w:cs="Times New Roman" w:eastAsiaTheme="minorEastAsia"/>
                <w:b w:val="0"/>
                <w:bCs w:val="0"/>
                <w:smallCaps w:val="0"/>
                <w:color w:val="auto"/>
                <w:kern w:val="2"/>
                <w:sz w:val="24"/>
                <w:szCs w:val="24"/>
                <w:lang w:val="en-US" w:eastAsia="zh-CN" w:bidi="ar-SA"/>
              </w:rPr>
              <w:t>（5184</w:t>
            </w:r>
            <w:r>
              <w:rPr>
                <w:rFonts w:hint="default" w:ascii="Times New Roman" w:hAnsi="Times New Roman" w:cs="Times New Roman" w:eastAsiaTheme="minorEastAsia"/>
                <w:b w:val="0"/>
                <w:bCs w:val="0"/>
                <w:smallCaps w:val="0"/>
                <w:color w:val="auto"/>
                <w:kern w:val="2"/>
                <w:sz w:val="24"/>
                <w:szCs w:val="24"/>
                <w:lang w:val="en-US" w:eastAsia="zh-CN" w:bidi="ar-SA"/>
              </w:rPr>
              <w:t>m³/a</w:t>
            </w:r>
            <w:r>
              <w:rPr>
                <w:rFonts w:hint="eastAsia" w:cs="Times New Roman" w:eastAsiaTheme="minorEastAsia"/>
                <w:b w:val="0"/>
                <w:bCs w:val="0"/>
                <w:smallCaps w:val="0"/>
                <w:color w:val="auto"/>
                <w:kern w:val="2"/>
                <w:sz w:val="24"/>
                <w:szCs w:val="24"/>
                <w:lang w:val="en-US" w:eastAsia="zh-CN" w:bidi="ar-SA"/>
              </w:rPr>
              <w:t>）。</w:t>
            </w:r>
          </w:p>
          <w:p w14:paraId="73C2A0A5">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（2）排水</w:t>
            </w:r>
          </w:p>
          <w:p w14:paraId="7A27DAD7">
            <w:pPr>
              <w:keepNext w:val="0"/>
              <w:keepLines w:val="0"/>
              <w:pageBreakBefore w:val="0"/>
              <w:widowControl w:val="0"/>
              <w:tabs>
                <w:tab w:val="left" w:pos="736"/>
              </w:tabs>
              <w:kinsoku w:val="0"/>
              <w:wordWrap/>
              <w:overflowPunct w:val="0"/>
              <w:topLinePunct w:val="0"/>
              <w:autoSpaceDE/>
              <w:autoSpaceDN/>
              <w:bidi w:val="0"/>
              <w:adjustRightInd w:val="0"/>
              <w:snapToGrid w:val="0"/>
              <w:spacing w:line="360" w:lineRule="auto"/>
              <w:ind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①生活污水</w:t>
            </w:r>
          </w:p>
          <w:p w14:paraId="2E91227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000000"/>
                <w:sz w:val="24"/>
                <w:szCs w:val="24"/>
                <w:highlight w:val="none"/>
              </w:rPr>
              <w:t>项目员工</w:t>
            </w:r>
            <w:r>
              <w:rPr>
                <w:rFonts w:hint="eastAsia" w:cs="Times New Roman"/>
                <w:color w:val="000000"/>
                <w:sz w:val="24"/>
                <w:szCs w:val="24"/>
                <w:highlight w:val="none"/>
                <w:lang w:val="en-US" w:eastAsia="zh-CN"/>
              </w:rPr>
              <w:t>65</w:t>
            </w:r>
            <w:r>
              <w:rPr>
                <w:rFonts w:hint="default" w:ascii="Times New Roman" w:hAnsi="Times New Roman" w:eastAsia="宋体" w:cs="Times New Roman"/>
                <w:color w:val="000000"/>
                <w:sz w:val="24"/>
                <w:szCs w:val="24"/>
                <w:highlight w:val="none"/>
              </w:rPr>
              <w:t>人</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在厂区内食</w:t>
            </w:r>
            <w:r>
              <w:rPr>
                <w:rFonts w:hint="eastAsia" w:ascii="Times New Roman" w:hAnsi="Times New Roman" w:eastAsia="宋体" w:cs="Times New Roman"/>
                <w:color w:val="auto"/>
                <w:sz w:val="24"/>
                <w:szCs w:val="24"/>
                <w:highlight w:val="none"/>
                <w:lang w:val="en-US" w:eastAsia="zh-CN"/>
              </w:rPr>
              <w:t>宿，参考《新疆维吾尔自治区生活用水额定》—P992其他行业规定，</w:t>
            </w:r>
            <w:r>
              <w:rPr>
                <w:rFonts w:hint="default" w:ascii="Times New Roman" w:hAnsi="Times New Roman" w:eastAsia="宋体" w:cs="Times New Roman"/>
                <w:color w:val="auto"/>
                <w:sz w:val="24"/>
                <w:szCs w:val="24"/>
                <w:highlight w:val="none"/>
              </w:rPr>
              <w:t>生活</w:t>
            </w:r>
            <w:r>
              <w:rPr>
                <w:rFonts w:hint="eastAsia"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用水按</w:t>
            </w:r>
            <w:r>
              <w:rPr>
                <w:rFonts w:hint="eastAsia"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L/人·d计</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食堂按10</w:t>
            </w:r>
            <w:r>
              <w:rPr>
                <w:rFonts w:hint="default" w:ascii="Times New Roman" w:hAnsi="Times New Roman" w:eastAsia="宋体" w:cs="Times New Roman"/>
                <w:color w:val="auto"/>
                <w:sz w:val="24"/>
                <w:szCs w:val="24"/>
                <w:highlight w:val="none"/>
              </w:rPr>
              <w:t>L/人·d年工作时间</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则产生的生活用水量</w:t>
            </w:r>
            <w:r>
              <w:rPr>
                <w:rFonts w:hint="eastAsia" w:cs="Times New Roman"/>
                <w:color w:val="auto"/>
                <w:sz w:val="24"/>
                <w:szCs w:val="24"/>
                <w:highlight w:val="none"/>
                <w:lang w:val="en-US" w:eastAsia="zh-CN"/>
              </w:rPr>
              <w:t>8.45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2535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。生活污水产生量按用水量的80%计算</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则</w:t>
            </w:r>
            <w:r>
              <w:rPr>
                <w:rFonts w:hint="eastAsia" w:cs="Times New Roman"/>
                <w:snapToGrid w:val="0"/>
                <w:color w:val="auto"/>
                <w:sz w:val="24"/>
                <w:szCs w:val="24"/>
                <w:highlight w:val="none"/>
                <w:lang w:val="en-US" w:eastAsia="zh-CN"/>
              </w:rPr>
              <w:t>排放量</w:t>
            </w:r>
            <w:r>
              <w:rPr>
                <w:rFonts w:hint="default" w:ascii="Times New Roman" w:hAnsi="Times New Roman" w:eastAsia="宋体" w:cs="Times New Roman"/>
                <w:snapToGrid w:val="0"/>
                <w:color w:val="auto"/>
                <w:sz w:val="24"/>
                <w:szCs w:val="24"/>
                <w:highlight w:val="none"/>
              </w:rPr>
              <w:t>为</w:t>
            </w:r>
            <w:r>
              <w:rPr>
                <w:rFonts w:hint="eastAsia" w:cs="Times New Roman"/>
                <w:snapToGrid w:val="0"/>
                <w:color w:val="auto"/>
                <w:sz w:val="24"/>
                <w:szCs w:val="24"/>
                <w:highlight w:val="none"/>
                <w:lang w:val="en-US" w:eastAsia="zh-CN"/>
              </w:rPr>
              <w:t>6.76</w:t>
            </w:r>
            <w:r>
              <w:rPr>
                <w:rFonts w:hint="default" w:ascii="Times New Roman" w:hAnsi="Times New Roman" w:eastAsia="宋体" w:cs="Times New Roman"/>
                <w:snapToGrid w:val="0"/>
                <w:color w:val="auto"/>
                <w:sz w:val="24"/>
                <w:szCs w:val="24"/>
                <w:highlight w:val="none"/>
              </w:rPr>
              <w:t>m</w:t>
            </w:r>
            <w:r>
              <w:rPr>
                <w:rFonts w:hint="default" w:ascii="Times New Roman" w:hAnsi="Times New Roman" w:eastAsia="宋体" w:cs="Times New Roman"/>
                <w:snapToGrid w:val="0"/>
                <w:color w:val="auto"/>
                <w:sz w:val="24"/>
                <w:szCs w:val="24"/>
                <w:highlight w:val="none"/>
                <w:vertAlign w:val="superscript"/>
              </w:rPr>
              <w:t>3</w:t>
            </w:r>
            <w:r>
              <w:rPr>
                <w:rFonts w:hint="default" w:ascii="Times New Roman" w:hAnsi="Times New Roman" w:eastAsia="宋体" w:cs="Times New Roman"/>
                <w:snapToGrid w:val="0"/>
                <w:color w:val="auto"/>
                <w:sz w:val="24"/>
                <w:szCs w:val="24"/>
                <w:highlight w:val="none"/>
              </w:rPr>
              <w:t>/d（</w:t>
            </w:r>
            <w:r>
              <w:rPr>
                <w:rFonts w:hint="eastAsia" w:cs="Times New Roman"/>
                <w:snapToGrid w:val="0"/>
                <w:color w:val="auto"/>
                <w:sz w:val="24"/>
                <w:szCs w:val="24"/>
                <w:highlight w:val="none"/>
                <w:lang w:val="en-US" w:eastAsia="zh-CN"/>
              </w:rPr>
              <w:t>2028</w:t>
            </w:r>
            <w:r>
              <w:rPr>
                <w:rFonts w:hint="default" w:ascii="Times New Roman" w:hAnsi="Times New Roman" w:eastAsia="宋体" w:cs="Times New Roman"/>
                <w:snapToGrid w:val="0"/>
                <w:color w:val="auto"/>
                <w:sz w:val="24"/>
                <w:szCs w:val="24"/>
                <w:highlight w:val="none"/>
              </w:rPr>
              <w:t>m</w:t>
            </w:r>
            <w:r>
              <w:rPr>
                <w:rFonts w:hint="default" w:ascii="Times New Roman" w:hAnsi="Times New Roman" w:eastAsia="宋体" w:cs="Times New Roman"/>
                <w:snapToGrid w:val="0"/>
                <w:color w:val="auto"/>
                <w:sz w:val="24"/>
                <w:szCs w:val="24"/>
                <w:highlight w:val="none"/>
                <w:vertAlign w:val="superscript"/>
              </w:rPr>
              <w:t>3</w:t>
            </w:r>
            <w:r>
              <w:rPr>
                <w:rFonts w:hint="default" w:ascii="Times New Roman" w:hAnsi="Times New Roman" w:eastAsia="宋体" w:cs="Times New Roman"/>
                <w:snapToGrid w:val="0"/>
                <w:color w:val="auto"/>
                <w:sz w:val="24"/>
                <w:szCs w:val="24"/>
                <w:highlight w:val="none"/>
              </w:rPr>
              <w:t>/a）</w:t>
            </w:r>
            <w:r>
              <w:rPr>
                <w:rFonts w:hint="eastAsia" w:ascii="Times New Roman" w:hAnsi="Times New Roman" w:eastAsia="宋体" w:cs="Times New Roman"/>
                <w:sz w:val="24"/>
                <w:szCs w:val="24"/>
                <w:highlight w:val="none"/>
                <w:lang w:val="en-US" w:eastAsia="zh-CN"/>
              </w:rPr>
              <w:t>后排入</w:t>
            </w:r>
            <w:r>
              <w:rPr>
                <w:rFonts w:hint="eastAsia" w:cs="Times New Roman"/>
                <w:sz w:val="24"/>
                <w:szCs w:val="24"/>
                <w:highlight w:val="none"/>
                <w:lang w:val="en-US" w:eastAsia="zh-CN"/>
              </w:rPr>
              <w:t>厂区污水处理站处理，处理后排入市政管网</w:t>
            </w:r>
            <w:r>
              <w:rPr>
                <w:rFonts w:hint="default" w:ascii="Times New Roman" w:hAnsi="Times New Roman" w:eastAsia="宋体" w:cs="Times New Roman"/>
                <w:sz w:val="24"/>
                <w:szCs w:val="24"/>
                <w:highlight w:val="none"/>
              </w:rPr>
              <w:t>。</w:t>
            </w:r>
          </w:p>
          <w:p w14:paraId="114AD139">
            <w:pPr>
              <w:pStyle w:val="26"/>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②生产废水</w:t>
            </w:r>
          </w:p>
          <w:p w14:paraId="670D4C9D">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left"/>
              <w:textAlignment w:val="auto"/>
              <w:rPr>
                <w:rFonts w:hint="default" w:eastAsia="宋体"/>
                <w:sz w:val="24"/>
                <w:szCs w:val="24"/>
                <w:highlight w:val="none"/>
                <w:lang w:val="en-US" w:eastAsia="zh-CN"/>
              </w:rPr>
            </w:pPr>
            <w:r>
              <w:rPr>
                <w:rFonts w:hint="eastAsia"/>
                <w:sz w:val="24"/>
                <w:szCs w:val="24"/>
                <w:lang w:val="en-US" w:eastAsia="zh-CN"/>
              </w:rPr>
              <w:t>本项目生产废水为浸出车间、精炼车间排水，根据《排放源统计调查产排污核算方法和系数手册》生态环境部办公厅2021年6月11日印发，1331食用植物油加工行业系数手册，本项目</w:t>
            </w:r>
            <w:r>
              <w:rPr>
                <w:rFonts w:hint="default" w:ascii="Times New Roman" w:hAnsi="Times New Roman" w:eastAsia="宋体" w:cs="Times New Roman"/>
                <w:color w:val="000000"/>
                <w:kern w:val="0"/>
                <w:sz w:val="24"/>
                <w:szCs w:val="24"/>
                <w:lang w:val="en-US" w:eastAsia="zh-CN" w:bidi="ar"/>
              </w:rPr>
              <w:t>&lt;50</w:t>
            </w:r>
            <w:r>
              <w:rPr>
                <w:rFonts w:hint="default" w:ascii="Times New Roman" w:hAnsi="Times New Roman" w:eastAsia="宋体" w:cs="Times New Roman"/>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val="en-US" w:eastAsia="zh-CN" w:bidi="ar"/>
              </w:rPr>
              <w:t>吨</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原料</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天，</w:t>
            </w:r>
            <w:r>
              <w:rPr>
                <w:rFonts w:hint="eastAsia"/>
                <w:sz w:val="24"/>
                <w:szCs w:val="24"/>
                <w:highlight w:val="none"/>
                <w:lang w:val="en-US" w:eastAsia="zh-CN"/>
              </w:rPr>
              <w:t>成品以三级油为主，取表中工业废水量为</w:t>
            </w:r>
            <w:r>
              <w:rPr>
                <w:rFonts w:hint="eastAsia" w:cs="Times New Roman"/>
                <w:sz w:val="21"/>
                <w:szCs w:val="21"/>
                <w:highlight w:val="none"/>
                <w:vertAlign w:val="baseline"/>
                <w:lang w:val="en-US" w:eastAsia="zh-CN" w:bidi="ar-SA"/>
              </w:rPr>
              <w:t>152</w:t>
            </w:r>
            <w:r>
              <w:rPr>
                <w:rFonts w:hint="eastAsia" w:ascii="Times New Roman" w:hAnsi="Times New Roman" w:eastAsia="宋体" w:cs="Times New Roman"/>
                <w:sz w:val="21"/>
                <w:szCs w:val="21"/>
                <w:highlight w:val="none"/>
                <w:vertAlign w:val="baseline"/>
                <w:lang w:val="en-US" w:eastAsia="zh-CN" w:bidi="ar-SA"/>
              </w:rPr>
              <w:t>m</w:t>
            </w:r>
            <w:r>
              <w:rPr>
                <w:rFonts w:hint="eastAsia" w:ascii="Times New Roman" w:hAnsi="Times New Roman" w:eastAsia="宋体" w:cs="Times New Roman"/>
                <w:sz w:val="21"/>
                <w:szCs w:val="21"/>
                <w:highlight w:val="none"/>
                <w:vertAlign w:val="superscript"/>
                <w:lang w:val="en-US" w:eastAsia="zh-CN" w:bidi="ar-SA"/>
              </w:rPr>
              <w:t>3</w:t>
            </w:r>
            <w:r>
              <w:rPr>
                <w:rFonts w:hint="eastAsia"/>
                <w:sz w:val="24"/>
                <w:szCs w:val="24"/>
                <w:highlight w:val="none"/>
                <w:lang w:val="en-US" w:eastAsia="zh-CN"/>
              </w:rPr>
              <w:t>（45600m</w:t>
            </w:r>
            <w:r>
              <w:rPr>
                <w:rFonts w:hint="eastAsia"/>
                <w:sz w:val="24"/>
                <w:szCs w:val="24"/>
                <w:highlight w:val="none"/>
                <w:vertAlign w:val="superscript"/>
                <w:lang w:val="en-US" w:eastAsia="zh-CN"/>
              </w:rPr>
              <w:t>3</w:t>
            </w:r>
            <w:r>
              <w:rPr>
                <w:rFonts w:hint="eastAsia"/>
                <w:sz w:val="24"/>
                <w:szCs w:val="24"/>
                <w:highlight w:val="none"/>
                <w:lang w:val="en-US" w:eastAsia="zh-CN"/>
              </w:rPr>
              <w:t>/a）生产</w:t>
            </w:r>
            <w:r>
              <w:rPr>
                <w:rFonts w:hint="default" w:ascii="Times New Roman" w:hAnsi="Times New Roman" w:eastAsia="宋体" w:cs="Times New Roman"/>
                <w:sz w:val="24"/>
                <w:szCs w:val="24"/>
                <w:highlight w:val="none"/>
              </w:rPr>
              <w:t>废水排入</w:t>
            </w:r>
            <w:r>
              <w:rPr>
                <w:rFonts w:hint="default" w:ascii="Times New Roman" w:hAnsi="Times New Roman" w:eastAsia="宋体" w:cs="Times New Roman"/>
                <w:sz w:val="24"/>
                <w:szCs w:val="24"/>
                <w:highlight w:val="none"/>
                <w:lang w:val="en-US" w:eastAsia="zh-CN"/>
              </w:rPr>
              <w:t>污水处理</w:t>
            </w:r>
            <w:r>
              <w:rPr>
                <w:rFonts w:hint="eastAsia" w:cs="Times New Roman"/>
                <w:sz w:val="24"/>
                <w:szCs w:val="24"/>
                <w:highlight w:val="none"/>
                <w:lang w:val="en-US" w:eastAsia="zh-CN"/>
              </w:rPr>
              <w:t>站</w:t>
            </w:r>
            <w:r>
              <w:rPr>
                <w:rFonts w:hint="eastAsia" w:ascii="Times New Roman" w:hAnsi="Times New Roman" w:eastAsia="宋体" w:cs="Times New Roman"/>
                <w:sz w:val="24"/>
                <w:szCs w:val="24"/>
                <w:highlight w:val="none"/>
                <w:lang w:val="en-US" w:eastAsia="zh-CN"/>
              </w:rPr>
              <w:t>处理</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后排</w:t>
            </w:r>
            <w:r>
              <w:rPr>
                <w:rFonts w:hint="eastAsia" w:ascii="Times New Roman" w:hAnsi="Times New Roman" w:eastAsia="宋体" w:cs="Times New Roman"/>
                <w:sz w:val="24"/>
                <w:szCs w:val="24"/>
                <w:highlight w:val="none"/>
                <w:lang w:val="en-US" w:eastAsia="zh-CN"/>
              </w:rPr>
              <w:t>入</w:t>
            </w:r>
            <w:r>
              <w:rPr>
                <w:rFonts w:hint="eastAsia" w:cs="Times New Roman"/>
                <w:sz w:val="24"/>
                <w:szCs w:val="24"/>
                <w:highlight w:val="none"/>
                <w:lang w:val="en-US" w:eastAsia="zh-CN"/>
              </w:rPr>
              <w:t>市政管网</w:t>
            </w:r>
            <w:r>
              <w:rPr>
                <w:rFonts w:hint="default" w:ascii="Times New Roman" w:hAnsi="Times New Roman" w:eastAsia="宋体" w:cs="Times New Roman"/>
                <w:sz w:val="24"/>
                <w:szCs w:val="24"/>
                <w:highlight w:val="none"/>
              </w:rPr>
              <w:t>。</w:t>
            </w:r>
          </w:p>
          <w:p w14:paraId="0CB2BA36">
            <w:pPr>
              <w:snapToGrid w:val="0"/>
              <w:spacing w:line="360" w:lineRule="auto"/>
              <w:ind w:firstLine="480" w:firstLineChars="200"/>
              <w:rPr>
                <w:rFonts w:hint="eastAsia"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③锅炉排水</w:t>
            </w:r>
          </w:p>
          <w:p w14:paraId="2DB72A69">
            <w:pPr>
              <w:snapToGrid w:val="0"/>
              <w:spacing w:line="360" w:lineRule="auto"/>
              <w:ind w:firstLine="480" w:firstLineChars="200"/>
              <w:rPr>
                <w:rFonts w:hint="default"/>
                <w:lang w:val="en-US" w:eastAsia="zh-CN"/>
              </w:rPr>
            </w:pPr>
            <w:r>
              <w:rPr>
                <w:rFonts w:hint="eastAsia" w:eastAsia="宋体" w:cs="Times New Roman"/>
                <w:i w:val="0"/>
                <w:iCs w:val="0"/>
                <w:caps w:val="0"/>
                <w:spacing w:val="0"/>
                <w:sz w:val="24"/>
                <w:szCs w:val="24"/>
                <w:shd w:val="clear" w:fill="FFFFFF"/>
                <w:lang w:val="en-US" w:eastAsia="zh-CN"/>
              </w:rPr>
              <w:t>根据</w:t>
            </w:r>
            <w:r>
              <w:rPr>
                <w:rFonts w:hint="default" w:ascii="Times New Roman" w:hAnsi="Times New Roman" w:eastAsia="Segoe UI" w:cs="Times New Roman"/>
                <w:i w:val="0"/>
                <w:iCs w:val="0"/>
                <w:caps w:val="0"/>
                <w:spacing w:val="0"/>
                <w:sz w:val="24"/>
                <w:szCs w:val="24"/>
                <w:shd w:val="clear" w:fill="FFFFFF"/>
              </w:rPr>
              <w:t>《</w:t>
            </w:r>
            <w:r>
              <w:rPr>
                <w:rFonts w:hint="default" w:ascii="Times New Roman" w:hAnsi="Times New Roman" w:eastAsia="宋体" w:cs="Times New Roman"/>
                <w:i w:val="0"/>
                <w:iCs w:val="0"/>
                <w:caps w:val="0"/>
                <w:color w:val="333333"/>
                <w:spacing w:val="0"/>
                <w:sz w:val="24"/>
                <w:szCs w:val="24"/>
                <w:shd w:val="clear" w:fill="FFFFFF"/>
              </w:rPr>
              <w:t>工业锅炉技术规范</w:t>
            </w:r>
            <w:r>
              <w:rPr>
                <w:rFonts w:hint="default" w:ascii="Times New Roman" w:hAnsi="Times New Roman" w:eastAsia="Segoe UI" w:cs="Times New Roman"/>
                <w:i w:val="0"/>
                <w:iCs w:val="0"/>
                <w:caps w:val="0"/>
                <w:spacing w:val="0"/>
                <w:sz w:val="24"/>
                <w:szCs w:val="24"/>
                <w:shd w:val="clear" w:fill="FFFFFF"/>
              </w:rPr>
              <w:t>》</w:t>
            </w:r>
            <w:r>
              <w:rPr>
                <w:rFonts w:hint="eastAsia" w:eastAsia="宋体" w:cs="Times New Roman"/>
                <w:i w:val="0"/>
                <w:iCs w:val="0"/>
                <w:caps w:val="0"/>
                <w:spacing w:val="0"/>
                <w:sz w:val="24"/>
                <w:szCs w:val="24"/>
                <w:shd w:val="clear" w:fill="FFFFFF"/>
                <w:lang w:val="en-US" w:eastAsia="zh-CN"/>
              </w:rPr>
              <w:t>锅炉排污率为2%-5%，本项目取5%，</w:t>
            </w:r>
            <w:r>
              <w:rPr>
                <w:rFonts w:hint="eastAsia" w:cs="Times New Roman" w:eastAsiaTheme="minorEastAsia"/>
                <w:b w:val="0"/>
                <w:bCs w:val="0"/>
                <w:color w:val="auto"/>
                <w:sz w:val="24"/>
                <w:szCs w:val="24"/>
                <w:lang w:val="en-US" w:eastAsia="zh-CN"/>
              </w:rPr>
              <w:t>15t/h</w:t>
            </w:r>
            <w:r>
              <w:rPr>
                <w:rFonts w:hint="default" w:ascii="Times New Roman" w:hAnsi="Times New Roman" w:cs="Times New Roman" w:eastAsiaTheme="minorEastAsia"/>
                <w:b w:val="0"/>
                <w:bCs w:val="0"/>
                <w:color w:val="auto"/>
                <w:sz w:val="24"/>
                <w:szCs w:val="24"/>
                <w:lang w:val="en-US" w:eastAsia="zh-CN"/>
              </w:rPr>
              <w:t>天然气锅炉</w:t>
            </w:r>
            <w:r>
              <w:rPr>
                <w:rFonts w:hint="eastAsia" w:cs="Times New Roman" w:eastAsiaTheme="minorEastAsia"/>
                <w:b w:val="0"/>
                <w:bCs w:val="0"/>
                <w:color w:val="auto"/>
                <w:sz w:val="24"/>
                <w:szCs w:val="24"/>
                <w:lang w:val="en-US" w:eastAsia="zh-CN"/>
              </w:rPr>
              <w:t>排</w:t>
            </w:r>
            <w:r>
              <w:rPr>
                <w:rFonts w:hint="default" w:ascii="Times New Roman" w:hAnsi="Times New Roman" w:cs="Times New Roman" w:eastAsiaTheme="minorEastAsia"/>
                <w:b w:val="0"/>
                <w:bCs w:val="0"/>
                <w:color w:val="auto"/>
                <w:sz w:val="24"/>
                <w:szCs w:val="24"/>
                <w:lang w:val="en-US" w:eastAsia="zh-CN"/>
              </w:rPr>
              <w:t>水量为</w:t>
            </w:r>
            <w:r>
              <w:rPr>
                <w:rFonts w:hint="eastAsia" w:cs="Times New Roman" w:eastAsiaTheme="minorEastAsia"/>
                <w:b w:val="0"/>
                <w:bCs w:val="0"/>
                <w:color w:val="auto"/>
                <w:sz w:val="24"/>
                <w:szCs w:val="24"/>
                <w:lang w:val="en-US" w:eastAsia="zh-CN"/>
              </w:rPr>
              <w:t>18</w:t>
            </w:r>
            <w:r>
              <w:rPr>
                <w:rFonts w:hint="default" w:ascii="Times New Roman" w:hAnsi="Times New Roman" w:cs="Times New Roman" w:eastAsiaTheme="minorEastAsia"/>
                <w:b w:val="0"/>
                <w:bCs w:val="0"/>
                <w:smallCaps w:val="0"/>
                <w:color w:val="auto"/>
                <w:kern w:val="2"/>
                <w:sz w:val="24"/>
                <w:szCs w:val="24"/>
                <w:lang w:val="en-US" w:eastAsia="zh-CN" w:bidi="ar-SA"/>
              </w:rPr>
              <w:t>m³/d</w:t>
            </w:r>
            <w:r>
              <w:rPr>
                <w:rFonts w:hint="eastAsia" w:cs="Times New Roman" w:eastAsiaTheme="minorEastAsia"/>
                <w:b w:val="0"/>
                <w:bCs w:val="0"/>
                <w:smallCaps w:val="0"/>
                <w:color w:val="auto"/>
                <w:kern w:val="2"/>
                <w:sz w:val="24"/>
                <w:szCs w:val="24"/>
                <w:lang w:val="en-US" w:eastAsia="zh-CN" w:bidi="ar-SA"/>
              </w:rPr>
              <w:t>（5400</w:t>
            </w:r>
            <w:r>
              <w:rPr>
                <w:rFonts w:hint="default" w:ascii="Times New Roman" w:hAnsi="Times New Roman" w:cs="Times New Roman" w:eastAsiaTheme="minorEastAsia"/>
                <w:b w:val="0"/>
                <w:bCs w:val="0"/>
                <w:smallCaps w:val="0"/>
                <w:color w:val="auto"/>
                <w:kern w:val="2"/>
                <w:sz w:val="24"/>
                <w:szCs w:val="24"/>
                <w:lang w:val="en-US" w:eastAsia="zh-CN" w:bidi="ar-SA"/>
              </w:rPr>
              <w:t>m³/a</w:t>
            </w:r>
            <w:r>
              <w:rPr>
                <w:rFonts w:hint="eastAsia" w:cs="Times New Roman" w:eastAsiaTheme="minorEastAsia"/>
                <w:b w:val="0"/>
                <w:bCs w:val="0"/>
                <w:smallCaps w:val="0"/>
                <w:color w:val="auto"/>
                <w:kern w:val="2"/>
                <w:sz w:val="24"/>
                <w:szCs w:val="24"/>
                <w:lang w:val="en-US" w:eastAsia="zh-CN" w:bidi="ar-SA"/>
              </w:rPr>
              <w:t>），</w:t>
            </w:r>
            <w:r>
              <w:rPr>
                <w:rFonts w:hint="default" w:ascii="Times New Roman" w:hAnsi="Times New Roman" w:cs="Times New Roman" w:eastAsiaTheme="minorEastAsia"/>
                <w:color w:val="auto"/>
                <w:sz w:val="24"/>
                <w:szCs w:val="24"/>
                <w:lang w:val="en-US" w:eastAsia="zh-CN"/>
              </w:rPr>
              <w:t>天然气锅炉软水制备产生的污水</w:t>
            </w:r>
            <w:r>
              <w:rPr>
                <w:rFonts w:hint="default" w:ascii="Times New Roman" w:hAnsi="Times New Roman" w:eastAsia="宋体" w:cs="Times New Roman"/>
                <w:sz w:val="24"/>
                <w:szCs w:val="24"/>
                <w:highlight w:val="none"/>
              </w:rPr>
              <w:t>废水排入</w:t>
            </w:r>
            <w:r>
              <w:rPr>
                <w:rFonts w:hint="default" w:ascii="Times New Roman" w:hAnsi="Times New Roman" w:eastAsia="宋体" w:cs="Times New Roman"/>
                <w:sz w:val="24"/>
                <w:szCs w:val="24"/>
                <w:highlight w:val="none"/>
                <w:lang w:val="en-US" w:eastAsia="zh-CN"/>
              </w:rPr>
              <w:t>污水处理</w:t>
            </w:r>
            <w:r>
              <w:rPr>
                <w:rFonts w:hint="eastAsia" w:cs="Times New Roman"/>
                <w:sz w:val="24"/>
                <w:szCs w:val="24"/>
                <w:highlight w:val="none"/>
                <w:lang w:val="en-US" w:eastAsia="zh-CN"/>
              </w:rPr>
              <w:t>站</w:t>
            </w:r>
            <w:r>
              <w:rPr>
                <w:rFonts w:hint="eastAsia" w:ascii="Times New Roman" w:hAnsi="Times New Roman" w:eastAsia="宋体" w:cs="Times New Roman"/>
                <w:sz w:val="24"/>
                <w:szCs w:val="24"/>
                <w:highlight w:val="none"/>
                <w:lang w:val="en-US" w:eastAsia="zh-CN"/>
              </w:rPr>
              <w:t>处理</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后排</w:t>
            </w:r>
            <w:r>
              <w:rPr>
                <w:rFonts w:hint="eastAsia" w:ascii="Times New Roman" w:hAnsi="Times New Roman" w:eastAsia="宋体" w:cs="Times New Roman"/>
                <w:sz w:val="24"/>
                <w:szCs w:val="24"/>
                <w:highlight w:val="none"/>
                <w:lang w:val="en-US" w:eastAsia="zh-CN"/>
              </w:rPr>
              <w:t>入</w:t>
            </w:r>
            <w:r>
              <w:rPr>
                <w:rFonts w:hint="eastAsia" w:cs="Times New Roman"/>
                <w:sz w:val="24"/>
                <w:szCs w:val="24"/>
                <w:highlight w:val="none"/>
                <w:lang w:val="en-US" w:eastAsia="zh-CN"/>
              </w:rPr>
              <w:t>市政管网</w:t>
            </w:r>
            <w:r>
              <w:rPr>
                <w:rFonts w:hint="default" w:ascii="Times New Roman" w:hAnsi="Times New Roman" w:eastAsia="宋体" w:cs="Times New Roman"/>
                <w:sz w:val="24"/>
                <w:szCs w:val="24"/>
                <w:highlight w:val="none"/>
              </w:rPr>
              <w:t>。</w:t>
            </w:r>
          </w:p>
          <w:p w14:paraId="4DF877AD">
            <w:pPr>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775835" cy="3030220"/>
                  <wp:effectExtent l="0" t="0" r="0" b="0"/>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5"/>
                          <a:stretch>
                            <a:fillRect/>
                          </a:stretch>
                        </pic:blipFill>
                        <pic:spPr>
                          <a:xfrm>
                            <a:off x="0" y="0"/>
                            <a:ext cx="4775835" cy="3030220"/>
                          </a:xfrm>
                          <a:prstGeom prst="rect">
                            <a:avLst/>
                          </a:prstGeom>
                        </pic:spPr>
                      </pic:pic>
                    </a:graphicData>
                  </a:graphic>
                </wp:inline>
              </w:drawing>
            </w:r>
          </w:p>
          <w:p w14:paraId="1F744A21">
            <w:pPr>
              <w:jc w:val="center"/>
              <w:rPr>
                <w:rFonts w:hint="eastAsia"/>
                <w:sz w:val="21"/>
                <w:szCs w:val="21"/>
                <w:lang w:val="en-US" w:eastAsia="zh-CN"/>
              </w:rPr>
            </w:pPr>
            <w:r>
              <w:rPr>
                <w:rFonts w:hint="default" w:ascii="Times New Roman" w:hAnsi="Times New Roman" w:cs="Times New Roman"/>
                <w:b/>
                <w:bCs/>
                <w:sz w:val="21"/>
                <w:szCs w:val="21"/>
                <w:lang w:val="en-US" w:eastAsia="zh-CN"/>
              </w:rPr>
              <w:t xml:space="preserve">图1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 xml:space="preserve"> 项目水平衡图</w:t>
            </w:r>
          </w:p>
          <w:p w14:paraId="51C67580">
            <w:pPr>
              <w:pStyle w:val="1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b/>
                <w:bCs/>
                <w:sz w:val="24"/>
                <w:szCs w:val="24"/>
                <w:lang w:val="en-US" w:eastAsia="zh-CN"/>
              </w:rPr>
            </w:pPr>
            <w:r>
              <w:rPr>
                <w:rFonts w:hint="eastAsia"/>
                <w:b/>
                <w:bCs/>
                <w:sz w:val="24"/>
                <w:szCs w:val="24"/>
                <w:lang w:val="en-US" w:eastAsia="zh-CN"/>
              </w:rPr>
              <w:t xml:space="preserve">6 </w:t>
            </w:r>
            <w:r>
              <w:rPr>
                <w:rFonts w:hint="default"/>
                <w:b/>
                <w:bCs/>
                <w:sz w:val="24"/>
                <w:szCs w:val="24"/>
                <w:lang w:val="en-US" w:eastAsia="zh-CN"/>
              </w:rPr>
              <w:t>劳动定员及工作制度</w:t>
            </w:r>
          </w:p>
          <w:p w14:paraId="6DC80817">
            <w:pPr>
              <w:keepNext w:val="0"/>
              <w:keepLines w:val="0"/>
              <w:pageBreakBefore w:val="0"/>
              <w:widowControl w:val="0"/>
              <w:kinsoku/>
              <w:wordWrap/>
              <w:overflowPunct/>
              <w:topLinePunct w:val="0"/>
              <w:bidi w:val="0"/>
              <w:snapToGrid/>
              <w:spacing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本项目劳动定员</w:t>
            </w:r>
            <w:r>
              <w:rPr>
                <w:rFonts w:hint="eastAsia" w:cs="Times New Roman"/>
                <w:sz w:val="24"/>
                <w:szCs w:val="24"/>
                <w:lang w:val="en-US" w:eastAsia="zh-CN"/>
              </w:rPr>
              <w:t>65</w:t>
            </w:r>
            <w:r>
              <w:rPr>
                <w:rFonts w:hint="default" w:ascii="Times New Roman" w:hAnsi="Times New Roman" w:eastAsia="宋体" w:cs="Times New Roman"/>
                <w:sz w:val="24"/>
                <w:szCs w:val="24"/>
                <w:lang w:val="en-US" w:eastAsia="zh-CN"/>
              </w:rPr>
              <w:t>人，年工作</w:t>
            </w:r>
            <w:r>
              <w:rPr>
                <w:rFonts w:hint="eastAsia" w:cs="Times New Roman"/>
                <w:sz w:val="24"/>
                <w:szCs w:val="24"/>
                <w:lang w:val="en-US" w:eastAsia="zh-CN"/>
              </w:rPr>
              <w:t>300</w:t>
            </w:r>
            <w:r>
              <w:rPr>
                <w:rFonts w:hint="default" w:ascii="Times New Roman" w:hAnsi="Times New Roman" w:eastAsia="宋体" w:cs="Times New Roman"/>
                <w:sz w:val="24"/>
                <w:szCs w:val="24"/>
                <w:lang w:val="en-US" w:eastAsia="zh-CN"/>
              </w:rPr>
              <w:t>d，</w:t>
            </w:r>
            <w:r>
              <w:rPr>
                <w:rFonts w:hint="eastAsia" w:cs="Times New Roman"/>
                <w:sz w:val="24"/>
                <w:szCs w:val="24"/>
                <w:lang w:val="en-US" w:eastAsia="zh-CN"/>
              </w:rPr>
              <w:t>两班制</w:t>
            </w:r>
            <w:r>
              <w:rPr>
                <w:rFonts w:hint="default" w:ascii="Times New Roman" w:hAnsi="Times New Roman" w:eastAsia="宋体" w:cs="Times New Roman"/>
                <w:sz w:val="24"/>
                <w:szCs w:val="24"/>
                <w:lang w:val="en-US" w:eastAsia="zh-CN"/>
              </w:rPr>
              <w:t>，每班</w:t>
            </w: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h。</w:t>
            </w:r>
          </w:p>
          <w:p w14:paraId="5D0539B3">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 xml:space="preserve">7 </w:t>
            </w:r>
            <w:r>
              <w:rPr>
                <w:rFonts w:hint="default" w:ascii="Times New Roman" w:hAnsi="Times New Roman" w:eastAsia="宋体" w:cs="Times New Roman"/>
                <w:b/>
                <w:bCs/>
                <w:sz w:val="24"/>
                <w:szCs w:val="24"/>
                <w:lang w:val="en-US" w:eastAsia="zh-CN"/>
              </w:rPr>
              <w:t>厂区平面布置</w:t>
            </w:r>
            <w:r>
              <w:rPr>
                <w:rFonts w:hint="eastAsia" w:cs="Times New Roman"/>
                <w:b/>
                <w:bCs/>
                <w:sz w:val="24"/>
                <w:szCs w:val="24"/>
                <w:lang w:val="en-US" w:eastAsia="zh-CN"/>
              </w:rPr>
              <w:t>及周边环境</w:t>
            </w:r>
            <w:r>
              <w:rPr>
                <w:rFonts w:hint="eastAsia" w:ascii="Times New Roman" w:hAnsi="Times New Roman" w:eastAsia="宋体" w:cs="Times New Roman"/>
                <w:b/>
                <w:bCs/>
                <w:sz w:val="24"/>
                <w:szCs w:val="24"/>
                <w:highlight w:val="none"/>
                <w:lang w:val="en-US" w:eastAsia="zh-CN"/>
              </w:rPr>
              <w:t>概况</w:t>
            </w:r>
          </w:p>
          <w:p w14:paraId="1E1554D7">
            <w:pPr>
              <w:pStyle w:val="26"/>
              <w:keepNext w:val="0"/>
              <w:keepLines w:val="0"/>
              <w:pageBreakBefore w:val="0"/>
              <w:widowControl w:val="0"/>
              <w:wordWrap/>
              <w:topLinePunct w:val="0"/>
              <w:bidi w:val="0"/>
              <w:spacing w:beforeLines="0" w:afterLines="0"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（1）平面布置</w:t>
            </w:r>
          </w:p>
          <w:p w14:paraId="01753203">
            <w:pPr>
              <w:pStyle w:val="26"/>
              <w:keepNext w:val="0"/>
              <w:keepLines w:val="0"/>
              <w:pageBreakBefore w:val="0"/>
              <w:widowControl w:val="0"/>
              <w:wordWrap/>
              <w:topLinePunct w:val="0"/>
              <w:bidi w:val="0"/>
              <w:spacing w:beforeLines="0" w:afterLines="0"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项目所在厂区分为</w:t>
            </w:r>
            <w:r>
              <w:rPr>
                <w:rFonts w:hint="eastAsia" w:ascii="Times New Roman" w:hAnsi="Times New Roman" w:eastAsia="宋体" w:cs="Times New Roman"/>
                <w:sz w:val="24"/>
                <w:szCs w:val="24"/>
                <w:highlight w:val="none"/>
                <w:lang w:val="en-US" w:eastAsia="zh-CN"/>
              </w:rPr>
              <w:t>办公楼、宿舍楼、剥绒车间、</w:t>
            </w:r>
            <w:r>
              <w:rPr>
                <w:rFonts w:hint="default" w:ascii="Times New Roman" w:hAnsi="Times New Roman" w:eastAsia="宋体" w:cs="Times New Roman"/>
                <w:color w:val="auto"/>
                <w:sz w:val="24"/>
                <w:szCs w:val="24"/>
                <w:highlight w:val="none"/>
              </w:rPr>
              <w:t>预处理车间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浸出车间</w:t>
            </w:r>
            <w:r>
              <w:rPr>
                <w:rFonts w:hint="eastAsia" w:ascii="Times New Roman" w:hAnsi="Times New Roman" w:eastAsia="宋体" w:cs="Times New Roman"/>
                <w:color w:val="auto"/>
                <w:sz w:val="24"/>
                <w:szCs w:val="24"/>
                <w:highlight w:val="none"/>
                <w:lang w:val="en-US" w:eastAsia="zh-CN"/>
              </w:rPr>
              <w:t>、精炼车间、粉碎包装车间、油罐区</w:t>
            </w:r>
            <w:r>
              <w:rPr>
                <w:rFonts w:hint="eastAsia" w:ascii="Times New Roman" w:hAnsi="Times New Roman" w:eastAsia="宋体" w:cs="Times New Roman"/>
                <w:sz w:val="24"/>
                <w:szCs w:val="24"/>
                <w:highlight w:val="none"/>
                <w:lang w:val="en-US" w:eastAsia="zh-CN"/>
              </w:rPr>
              <w:t>。剥绒车间位于厂区东北</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包装粉碎区位于厂区西南</w:t>
            </w:r>
            <w:r>
              <w:rPr>
                <w:rFonts w:hint="eastAsia" w:ascii="Times New Roman" w:hAnsi="Times New Roman" w:eastAsia="宋体" w:cs="Times New Roman"/>
                <w:color w:val="auto"/>
                <w:sz w:val="24"/>
                <w:szCs w:val="24"/>
                <w:highlight w:val="none"/>
                <w:lang w:val="en-US" w:eastAsia="zh-CN"/>
              </w:rPr>
              <w:t>侧</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油罐区位于厂区东南侧</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精炼车间、预处理车间厂区中部</w:t>
            </w:r>
            <w:r>
              <w:rPr>
                <w:rFonts w:hint="default" w:ascii="Times New Roman" w:hAnsi="Times New Roman" w:eastAsia="宋体" w:cs="Times New Roman"/>
                <w:sz w:val="24"/>
                <w:szCs w:val="24"/>
                <w:highlight w:val="none"/>
                <w:lang w:val="en-US" w:eastAsia="zh-CN"/>
              </w:rPr>
              <w:t>。项目总平面布置</w:t>
            </w:r>
            <w:r>
              <w:rPr>
                <w:rFonts w:ascii="宋体" w:hAnsi="宋体" w:eastAsia="宋体" w:cs="宋体"/>
                <w:sz w:val="24"/>
                <w:szCs w:val="24"/>
              </w:rPr>
              <w:t>锅炉补水量</w:t>
            </w:r>
            <w:r>
              <w:rPr>
                <w:rFonts w:hint="default" w:ascii="Times New Roman" w:hAnsi="Times New Roman" w:eastAsia="宋体" w:cs="Times New Roman"/>
                <w:sz w:val="24"/>
                <w:szCs w:val="24"/>
                <w:highlight w:val="none"/>
                <w:lang w:val="en-US" w:eastAsia="zh-CN"/>
              </w:rPr>
              <w:t>因地制宜，布局紧凑，节约投资的同时满足防火、防爆、安全、卫生等有关规范要求，厂内平面布置见</w:t>
            </w:r>
            <w:r>
              <w:rPr>
                <w:rFonts w:hint="eastAsia" w:ascii="Times New Roman" w:hAnsi="Times New Roman" w:eastAsia="宋体" w:cs="Times New Roman"/>
                <w:sz w:val="24"/>
                <w:szCs w:val="24"/>
                <w:highlight w:val="none"/>
                <w:lang w:val="en-US" w:eastAsia="zh-CN"/>
              </w:rPr>
              <w:t>附</w:t>
            </w:r>
            <w:r>
              <w:rPr>
                <w:rFonts w:hint="default" w:ascii="Times New Roman" w:hAnsi="Times New Roman" w:eastAsia="宋体" w:cs="Times New Roman"/>
                <w:sz w:val="24"/>
                <w:szCs w:val="24"/>
                <w:highlight w:val="none"/>
                <w:lang w:val="en-US" w:eastAsia="zh-CN"/>
              </w:rPr>
              <w:t>图</w:t>
            </w:r>
            <w:r>
              <w:rPr>
                <w:rFonts w:hint="eastAsia" w:ascii="Times New Roman" w:hAnsi="Times New Roman" w:eastAsia="宋体" w:cs="Times New Roman"/>
                <w:sz w:val="24"/>
                <w:szCs w:val="24"/>
                <w:highlight w:val="none"/>
                <w:lang w:val="en-US" w:eastAsia="zh-CN"/>
              </w:rPr>
              <w:t>。</w:t>
            </w:r>
          </w:p>
          <w:p w14:paraId="56E930B7">
            <w:pPr>
              <w:pStyle w:val="26"/>
              <w:keepNext w:val="0"/>
              <w:keepLines w:val="0"/>
              <w:pageBreakBefore w:val="0"/>
              <w:widowControl w:val="0"/>
              <w:wordWrap/>
              <w:topLinePunct w:val="0"/>
              <w:bidi w:val="0"/>
              <w:spacing w:beforeLines="0" w:afterLines="0"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（2）周边环境概况</w:t>
            </w:r>
          </w:p>
          <w:p w14:paraId="48175744">
            <w:pPr>
              <w:pStyle w:val="26"/>
              <w:keepNext w:val="0"/>
              <w:keepLines w:val="0"/>
              <w:pageBreakBefore w:val="0"/>
              <w:widowControl w:val="0"/>
              <w:wordWrap/>
              <w:topLinePunct w:val="0"/>
              <w:bidi w:val="0"/>
              <w:spacing w:beforeLines="0" w:afterLines="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Cs w:val="21"/>
                <w:lang w:val="en-US" w:eastAsia="zh-CN"/>
              </w:rPr>
              <w:t>项目区</w:t>
            </w:r>
            <w:r>
              <w:rPr>
                <w:rFonts w:hint="eastAsia" w:ascii="Times New Roman" w:hAnsi="Times New Roman" w:eastAsia="宋体" w:cs="Times New Roman"/>
                <w:bCs/>
                <w:szCs w:val="21"/>
                <w:lang w:val="en-US" w:eastAsia="zh-CN"/>
              </w:rPr>
              <w:t>厂界</w:t>
            </w:r>
            <w:r>
              <w:rPr>
                <w:rFonts w:hint="default" w:ascii="Times New Roman" w:hAnsi="Times New Roman" w:eastAsia="宋体" w:cs="Times New Roman"/>
                <w:bCs/>
                <w:szCs w:val="21"/>
                <w:lang w:val="en-US" w:eastAsia="zh-CN"/>
              </w:rPr>
              <w:t>北侧</w:t>
            </w:r>
            <w:r>
              <w:rPr>
                <w:rFonts w:hint="eastAsia" w:ascii="Times New Roman" w:hAnsi="Times New Roman" w:eastAsia="宋体" w:cs="Times New Roman"/>
                <w:bCs/>
                <w:szCs w:val="21"/>
                <w:lang w:val="en-US" w:eastAsia="zh-CN"/>
              </w:rPr>
              <w:t>克其克亚沟距离8m</w:t>
            </w:r>
            <w:r>
              <w:rPr>
                <w:rFonts w:hint="default" w:ascii="Times New Roman" w:hAnsi="Times New Roman" w:eastAsia="宋体" w:cs="Times New Roman"/>
                <w:color w:val="auto"/>
                <w:sz w:val="24"/>
                <w:szCs w:val="24"/>
                <w:lang w:val="en-US" w:eastAsia="zh-CN"/>
              </w:rPr>
              <w:t>，西侧</w:t>
            </w:r>
            <w:r>
              <w:rPr>
                <w:rFonts w:hint="eastAsia" w:ascii="Times New Roman" w:hAnsi="Times New Roman" w:eastAsia="宋体" w:cs="Times New Roman"/>
                <w:color w:val="auto"/>
                <w:sz w:val="24"/>
                <w:szCs w:val="24"/>
                <w:lang w:val="en-US" w:eastAsia="zh-CN"/>
              </w:rPr>
              <w:t>厂界外轧花厂距离3m</w:t>
            </w:r>
            <w:r>
              <w:rPr>
                <w:rFonts w:hint="default" w:ascii="Times New Roman" w:hAnsi="Times New Roman" w:eastAsia="宋体" w:cs="Times New Roman"/>
                <w:color w:val="auto"/>
                <w:sz w:val="24"/>
                <w:szCs w:val="24"/>
                <w:lang w:val="en-US" w:eastAsia="zh-CN"/>
              </w:rPr>
              <w:t>，项目区东侧为空地，</w:t>
            </w:r>
            <w:r>
              <w:rPr>
                <w:rFonts w:hint="eastAsia" w:ascii="Times New Roman" w:hAnsi="Times New Roman" w:eastAsia="宋体" w:cs="Times New Roman"/>
                <w:color w:val="auto"/>
                <w:sz w:val="24"/>
                <w:szCs w:val="24"/>
                <w:lang w:val="en-US" w:eastAsia="zh-CN"/>
              </w:rPr>
              <w:t>项目南侧为轮台县汇众混凝土有限公司距离50m</w:t>
            </w:r>
            <w:r>
              <w:rPr>
                <w:rFonts w:hint="default" w:ascii="Times New Roman" w:hAnsi="Times New Roman" w:eastAsia="宋体" w:cs="Times New Roman"/>
                <w:color w:val="auto"/>
                <w:sz w:val="24"/>
                <w:szCs w:val="24"/>
                <w:lang w:val="en-US" w:eastAsia="zh-CN"/>
              </w:rPr>
              <w:t>，具体见</w:t>
            </w:r>
            <w:r>
              <w:rPr>
                <w:rFonts w:hint="eastAsia" w:ascii="Times New Roman" w:hAnsi="Times New Roman" w:eastAsia="宋体" w:cs="Times New Roman"/>
                <w:color w:val="auto"/>
                <w:sz w:val="24"/>
                <w:szCs w:val="24"/>
                <w:lang w:val="en-US" w:eastAsia="zh-CN"/>
              </w:rPr>
              <w:t>附图</w:t>
            </w:r>
            <w:r>
              <w:rPr>
                <w:rFonts w:hint="default" w:ascii="Times New Roman" w:hAnsi="Times New Roman" w:eastAsia="宋体" w:cs="Times New Roman"/>
                <w:color w:val="auto"/>
                <w:sz w:val="24"/>
                <w:szCs w:val="24"/>
                <w:lang w:val="en-US" w:eastAsia="zh-CN"/>
              </w:rPr>
              <w:t>3环境目标及周围环境概况图。</w:t>
            </w:r>
          </w:p>
          <w:p w14:paraId="4F9862D8">
            <w:pPr>
              <w:pStyle w:val="26"/>
              <w:keepNext w:val="0"/>
              <w:keepLines w:val="0"/>
              <w:pageBreakBefore w:val="0"/>
              <w:widowControl w:val="0"/>
              <w:wordWrap/>
              <w:topLinePunct w:val="0"/>
              <w:bidi w:val="0"/>
              <w:spacing w:beforeLines="0" w:afterLines="0" w:line="360" w:lineRule="auto"/>
              <w:textAlignment w:val="auto"/>
              <w:rPr>
                <w:rFonts w:hint="default" w:ascii="宋体" w:hAnsi="宋体" w:eastAsia="黑体" w:cs="宋体"/>
                <w:bCs/>
                <w:szCs w:val="21"/>
                <w:lang w:val="en-US" w:eastAsia="zh-CN"/>
              </w:rPr>
            </w:pPr>
          </w:p>
          <w:p w14:paraId="7A3F7429">
            <w:pPr>
              <w:rPr>
                <w:rFonts w:hint="default" w:ascii="宋体" w:hAnsi="宋体" w:eastAsia="黑体" w:cs="宋体"/>
                <w:bCs/>
                <w:szCs w:val="21"/>
                <w:lang w:val="en-US" w:eastAsia="zh-CN"/>
              </w:rPr>
            </w:pPr>
          </w:p>
          <w:p w14:paraId="111CB547">
            <w:pPr>
              <w:rPr>
                <w:rFonts w:hint="default" w:ascii="宋体" w:hAnsi="宋体" w:eastAsia="黑体" w:cs="宋体"/>
                <w:bCs/>
                <w:szCs w:val="21"/>
                <w:lang w:val="en-US" w:eastAsia="zh-CN"/>
              </w:rPr>
            </w:pPr>
          </w:p>
          <w:p w14:paraId="0880E6EA">
            <w:pPr>
              <w:rPr>
                <w:rFonts w:hint="default"/>
                <w:lang w:val="en-US" w:eastAsia="zh-CN"/>
              </w:rPr>
            </w:pPr>
          </w:p>
        </w:tc>
      </w:tr>
      <w:tr w14:paraId="372FD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1048" w:type="dxa"/>
            <w:tcBorders>
              <w:tl2br w:val="nil"/>
              <w:tr2bl w:val="nil"/>
            </w:tcBorders>
            <w:noWrap w:val="0"/>
            <w:vAlign w:val="center"/>
          </w:tcPr>
          <w:p w14:paraId="47D401F7">
            <w:pPr>
              <w:pStyle w:val="19"/>
              <w:adjustRightInd w:val="0"/>
              <w:snapToGrid w:val="0"/>
              <w:spacing w:before="0" w:beforeAutospacing="0" w:after="0" w:afterAutospacing="0"/>
              <w:jc w:val="center"/>
              <w:rPr>
                <w:rFonts w:cs="宋体"/>
                <w:b/>
                <w:bCs/>
                <w:sz w:val="24"/>
                <w:szCs w:val="24"/>
              </w:rPr>
            </w:pPr>
            <w:r>
              <w:rPr>
                <w:rFonts w:hint="eastAsia" w:cs="宋体"/>
                <w:b/>
                <w:bCs/>
                <w:sz w:val="24"/>
                <w:szCs w:val="24"/>
              </w:rPr>
              <w:t>工艺流程和产排污环节</w:t>
            </w:r>
          </w:p>
        </w:tc>
        <w:tc>
          <w:tcPr>
            <w:tcW w:w="7752" w:type="dxa"/>
            <w:tcBorders>
              <w:tl2br w:val="nil"/>
              <w:tr2bl w:val="nil"/>
            </w:tcBorders>
            <w:noWrap w:val="0"/>
            <w:vAlign w:val="top"/>
          </w:tcPr>
          <w:p w14:paraId="042CDE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val="0"/>
                <w:sz w:val="24"/>
                <w:szCs w:val="24"/>
                <w:highlight w:val="none"/>
                <w:lang w:val="en-US" w:eastAsia="zh-CN"/>
              </w:rPr>
            </w:pPr>
            <w:r>
              <w:rPr>
                <w:rFonts w:hint="eastAsia" w:cs="Times New Roman"/>
                <w:b/>
                <w:bCs w:val="0"/>
                <w:sz w:val="24"/>
                <w:szCs w:val="24"/>
                <w:highlight w:val="none"/>
                <w:lang w:val="en-US" w:eastAsia="zh-CN"/>
              </w:rPr>
              <w:t xml:space="preserve">1 </w:t>
            </w:r>
            <w:r>
              <w:rPr>
                <w:rFonts w:hint="eastAsia" w:ascii="Times New Roman" w:hAnsi="Times New Roman" w:cs="Times New Roman"/>
                <w:b/>
                <w:bCs w:val="0"/>
                <w:sz w:val="24"/>
                <w:szCs w:val="24"/>
                <w:highlight w:val="none"/>
                <w:lang w:val="en-US" w:eastAsia="zh-CN"/>
              </w:rPr>
              <w:t>施工期</w:t>
            </w:r>
          </w:p>
          <w:p w14:paraId="70BD44FE">
            <w:pPr>
              <w:pStyle w:val="3"/>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本项目属于重大变动重新报批项目，目前已建设完成，不涉及施工期工艺分析。</w:t>
            </w:r>
          </w:p>
          <w:p w14:paraId="17655641">
            <w:pPr>
              <w:pStyle w:val="26"/>
              <w:keepNext w:val="0"/>
              <w:keepLines w:val="0"/>
              <w:pageBreakBefore w:val="0"/>
              <w:widowControl w:val="0"/>
              <w:tabs>
                <w:tab w:val="left" w:pos="1050"/>
              </w:tabs>
              <w:kinsoku/>
              <w:wordWrap/>
              <w:overflowPunct/>
              <w:topLinePunct w:val="0"/>
              <w:bidi w:val="0"/>
              <w:adjustRightInd w:val="0"/>
              <w:spacing w:beforeLines="0" w:afterLines="0" w:line="360" w:lineRule="auto"/>
              <w:ind w:firstLine="0" w:firstLineChars="0"/>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lang w:val="en-US" w:eastAsia="zh-CN"/>
              </w:rPr>
              <w:t>运营期</w:t>
            </w:r>
          </w:p>
          <w:p w14:paraId="57B4C603">
            <w:pPr>
              <w:pStyle w:val="26"/>
              <w:jc w:val="center"/>
              <w:rPr>
                <w:rFonts w:hint="eastAsia"/>
                <w:lang w:val="en-US" w:eastAsia="zh-CN"/>
              </w:rPr>
            </w:pPr>
            <w:r>
              <w:rPr>
                <w:rFonts w:hint="eastAsia"/>
                <w:lang w:val="en-US" w:eastAsia="zh-CN"/>
              </w:rPr>
              <w:drawing>
                <wp:inline distT="0" distB="0" distL="114300" distR="114300">
                  <wp:extent cx="3409315" cy="2450465"/>
                  <wp:effectExtent l="0" t="0" r="0" b="0"/>
                  <wp:docPr id="1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2" descr="wps"/>
                          <pic:cNvPicPr>
                            <a:picLocks noChangeAspect="1"/>
                          </pic:cNvPicPr>
                        </pic:nvPicPr>
                        <pic:blipFill>
                          <a:blip r:embed="rId6"/>
                          <a:stretch>
                            <a:fillRect/>
                          </a:stretch>
                        </pic:blipFill>
                        <pic:spPr>
                          <a:xfrm>
                            <a:off x="0" y="0"/>
                            <a:ext cx="3409315" cy="2450465"/>
                          </a:xfrm>
                          <a:prstGeom prst="rect">
                            <a:avLst/>
                          </a:prstGeom>
                        </pic:spPr>
                      </pic:pic>
                    </a:graphicData>
                  </a:graphic>
                </wp:inline>
              </w:drawing>
            </w:r>
          </w:p>
          <w:p w14:paraId="0CCC2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color w:val="000000"/>
                <w:sz w:val="21"/>
                <w:szCs w:val="21"/>
                <w:lang w:val="en-US" w:eastAsia="zh-CN"/>
              </w:rPr>
            </w:pPr>
            <w:r>
              <w:rPr>
                <w:rFonts w:hint="default" w:ascii="Times New Roman" w:hAnsi="Times New Roman" w:eastAsia="宋体" w:cs="Times New Roman"/>
                <w:b/>
                <w:color w:val="000000"/>
                <w:sz w:val="21"/>
                <w:szCs w:val="21"/>
              </w:rPr>
              <w:t>图</w:t>
            </w:r>
            <w:r>
              <w:rPr>
                <w:rFonts w:hint="eastAsia" w:cs="Times New Roman"/>
                <w:b/>
                <w:color w:val="000000"/>
                <w:sz w:val="21"/>
                <w:szCs w:val="21"/>
                <w:lang w:val="en-US" w:eastAsia="zh-CN"/>
              </w:rPr>
              <w:t>2</w:t>
            </w:r>
            <w:r>
              <w:rPr>
                <w:rFonts w:hint="eastAsia" w:ascii="Times New Roman" w:hAnsi="Times New Roman" w:cs="Times New Roman"/>
                <w:b/>
                <w:color w:val="000000"/>
                <w:sz w:val="21"/>
                <w:szCs w:val="21"/>
                <w:lang w:val="en-US" w:eastAsia="zh-CN"/>
              </w:rPr>
              <w:t xml:space="preserve">   </w:t>
            </w:r>
            <w:r>
              <w:rPr>
                <w:rFonts w:hint="eastAsia" w:cs="Times New Roman"/>
                <w:b/>
                <w:color w:val="000000"/>
                <w:sz w:val="21"/>
                <w:szCs w:val="21"/>
                <w:lang w:val="en-US" w:eastAsia="zh-CN"/>
              </w:rPr>
              <w:t>项目总体工艺流程图</w:t>
            </w:r>
          </w:p>
          <w:p w14:paraId="467EE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131DB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63DC5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73DFF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520AF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4E67C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20ED9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5DE73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38EEF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6FA21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31F17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173FE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s="Times New Roman"/>
                <w:b/>
                <w:color w:val="000000"/>
                <w:sz w:val="21"/>
                <w:szCs w:val="21"/>
                <w:lang w:val="en-US" w:eastAsia="zh-CN"/>
              </w:rPr>
            </w:pPr>
          </w:p>
          <w:p w14:paraId="31F2734E">
            <w:pPr>
              <w:pStyle w:val="17"/>
              <w:ind w:left="0" w:leftChars="0" w:firstLine="0" w:firstLineChars="0"/>
              <w:rPr>
                <w:rFonts w:hint="eastAsia" w:cs="Times New Roman"/>
                <w:b/>
                <w:color w:val="000000"/>
                <w:sz w:val="21"/>
                <w:szCs w:val="21"/>
                <w:lang w:val="en-US" w:eastAsia="zh-CN"/>
              </w:rPr>
            </w:pPr>
          </w:p>
          <w:p w14:paraId="05B2536F">
            <w:pPr>
              <w:rPr>
                <w:rFonts w:hint="eastAsia" w:cs="Times New Roman"/>
                <w:b/>
                <w:color w:val="000000"/>
                <w:sz w:val="21"/>
                <w:szCs w:val="21"/>
                <w:lang w:val="en-US" w:eastAsia="zh-CN"/>
              </w:rPr>
            </w:pPr>
          </w:p>
          <w:p w14:paraId="20426247">
            <w:pPr>
              <w:pStyle w:val="17"/>
              <w:ind w:left="0" w:leftChars="0" w:firstLine="0" w:firstLineChars="0"/>
              <w:rPr>
                <w:rFonts w:hint="eastAsia" w:cs="Times New Roman"/>
                <w:b/>
                <w:color w:val="000000"/>
                <w:sz w:val="21"/>
                <w:szCs w:val="21"/>
                <w:lang w:val="en-US" w:eastAsia="zh-CN"/>
              </w:rPr>
            </w:pPr>
          </w:p>
          <w:p w14:paraId="1A82ABCA">
            <w:pPr>
              <w:rPr>
                <w:rFonts w:hint="eastAsia" w:cs="Times New Roman"/>
                <w:b/>
                <w:color w:val="000000"/>
                <w:sz w:val="21"/>
                <w:szCs w:val="21"/>
                <w:lang w:val="en-US" w:eastAsia="zh-CN"/>
              </w:rPr>
            </w:pPr>
          </w:p>
          <w:p w14:paraId="7D404FCB">
            <w:pPr>
              <w:pStyle w:val="17"/>
              <w:ind w:left="0" w:leftChars="0" w:firstLine="0" w:firstLineChars="0"/>
              <w:rPr>
                <w:rFonts w:hint="eastAsia" w:cs="Times New Roman"/>
                <w:b/>
                <w:color w:val="000000"/>
                <w:sz w:val="21"/>
                <w:szCs w:val="21"/>
                <w:lang w:val="en-US" w:eastAsia="zh-CN"/>
              </w:rPr>
            </w:pPr>
          </w:p>
          <w:p w14:paraId="3FB4027E">
            <w:pPr>
              <w:rPr>
                <w:rFonts w:hint="eastAsia" w:cs="Times New Roman"/>
                <w:b/>
                <w:color w:val="000000"/>
                <w:sz w:val="21"/>
                <w:szCs w:val="21"/>
                <w:lang w:val="en-US" w:eastAsia="zh-CN"/>
              </w:rPr>
            </w:pPr>
          </w:p>
          <w:p w14:paraId="3262CDAD">
            <w:pPr>
              <w:pStyle w:val="17"/>
              <w:ind w:left="0" w:leftChars="0" w:firstLine="0" w:firstLineChars="0"/>
              <w:rPr>
                <w:rFonts w:hint="eastAsia" w:cs="Times New Roman"/>
                <w:b/>
                <w:color w:val="000000"/>
                <w:sz w:val="21"/>
                <w:szCs w:val="21"/>
                <w:lang w:val="en-US" w:eastAsia="zh-CN"/>
              </w:rPr>
            </w:pPr>
          </w:p>
          <w:p w14:paraId="14D38FE9">
            <w:pPr>
              <w:rPr>
                <w:rFonts w:hint="eastAsia" w:cs="Times New Roman"/>
                <w:b/>
                <w:color w:val="000000"/>
                <w:sz w:val="21"/>
                <w:szCs w:val="21"/>
                <w:lang w:val="en-US" w:eastAsia="zh-CN"/>
              </w:rPr>
            </w:pPr>
          </w:p>
          <w:p w14:paraId="1DFDAD9D">
            <w:pPr>
              <w:pStyle w:val="17"/>
              <w:ind w:left="0" w:leftChars="0" w:firstLine="0" w:firstLineChars="0"/>
              <w:rPr>
                <w:rFonts w:hint="eastAsia" w:cs="Times New Roman"/>
                <w:b/>
                <w:color w:val="000000"/>
                <w:sz w:val="21"/>
                <w:szCs w:val="21"/>
                <w:lang w:val="en-US" w:eastAsia="zh-CN"/>
              </w:rPr>
            </w:pPr>
          </w:p>
          <w:p w14:paraId="191A79A8">
            <w:pPr>
              <w:rPr>
                <w:rFonts w:hint="eastAsia" w:cs="Times New Roman"/>
                <w:b/>
                <w:color w:val="000000"/>
                <w:sz w:val="21"/>
                <w:szCs w:val="21"/>
                <w:lang w:val="en-US" w:eastAsia="zh-CN"/>
              </w:rPr>
            </w:pPr>
          </w:p>
          <w:p w14:paraId="7DCD79FC">
            <w:pPr>
              <w:pStyle w:val="17"/>
              <w:ind w:left="0" w:leftChars="0" w:firstLine="0" w:firstLineChars="0"/>
              <w:rPr>
                <w:rFonts w:hint="eastAsia" w:cs="Times New Roman"/>
                <w:b/>
                <w:color w:val="000000"/>
                <w:sz w:val="21"/>
                <w:szCs w:val="21"/>
                <w:lang w:val="en-US" w:eastAsia="zh-CN"/>
              </w:rPr>
            </w:pPr>
          </w:p>
          <w:p w14:paraId="6EF47A52">
            <w:pPr>
              <w:rPr>
                <w:rFonts w:hint="eastAsia"/>
                <w:lang w:val="en-US" w:eastAsia="zh-CN"/>
              </w:rPr>
            </w:pPr>
          </w:p>
          <w:p w14:paraId="639C5C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rPr>
            </w:pPr>
            <w:r>
              <w:rPr>
                <w:rFonts w:hint="eastAsia" w:cs="Times New Roman"/>
                <w:b/>
                <w:bCs/>
                <w:color w:val="auto"/>
                <w:sz w:val="24"/>
                <w:szCs w:val="24"/>
                <w:lang w:val="en-US" w:eastAsia="zh-CN"/>
              </w:rPr>
              <w:t>2.2 剥绒</w:t>
            </w:r>
            <w:r>
              <w:rPr>
                <w:rFonts w:hint="default" w:ascii="Times New Roman" w:hAnsi="Times New Roman" w:eastAsia="宋体" w:cs="Times New Roman"/>
                <w:b/>
                <w:bCs/>
                <w:color w:val="auto"/>
                <w:sz w:val="24"/>
                <w:szCs w:val="24"/>
                <w:lang w:val="en-US" w:eastAsia="zh-CN"/>
              </w:rPr>
              <w:t>车间</w:t>
            </w:r>
          </w:p>
          <w:p w14:paraId="13C3F058">
            <w:pPr>
              <w:jc w:val="center"/>
              <w:rPr>
                <w:rFonts w:hint="eastAsia" w:eastAsia="宋体"/>
                <w:lang w:eastAsia="zh-CN"/>
              </w:rPr>
            </w:pPr>
            <w:r>
              <w:rPr>
                <w:rFonts w:hint="eastAsia" w:eastAsia="宋体"/>
                <w:lang w:eastAsia="zh-CN"/>
              </w:rPr>
              <w:drawing>
                <wp:inline distT="0" distB="0" distL="114300" distR="114300">
                  <wp:extent cx="4780915" cy="5494655"/>
                  <wp:effectExtent l="0" t="0" r="0" b="0"/>
                  <wp:docPr id="13"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3" descr="wps"/>
                          <pic:cNvPicPr>
                            <a:picLocks noChangeAspect="1"/>
                          </pic:cNvPicPr>
                        </pic:nvPicPr>
                        <pic:blipFill>
                          <a:blip r:embed="rId7"/>
                          <a:stretch>
                            <a:fillRect/>
                          </a:stretch>
                        </pic:blipFill>
                        <pic:spPr>
                          <a:xfrm>
                            <a:off x="0" y="0"/>
                            <a:ext cx="4780915" cy="5494655"/>
                          </a:xfrm>
                          <a:prstGeom prst="rect">
                            <a:avLst/>
                          </a:prstGeom>
                        </pic:spPr>
                      </pic:pic>
                    </a:graphicData>
                  </a:graphic>
                </wp:inline>
              </w:drawing>
            </w:r>
          </w:p>
          <w:p w14:paraId="0B26F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color w:val="000000"/>
                <w:sz w:val="21"/>
                <w:szCs w:val="21"/>
              </w:rPr>
              <w:t>图</w:t>
            </w:r>
            <w:r>
              <w:rPr>
                <w:rFonts w:hint="eastAsia" w:cs="Times New Roman"/>
                <w:b/>
                <w:color w:val="000000"/>
                <w:sz w:val="21"/>
                <w:szCs w:val="21"/>
                <w:lang w:val="en-US" w:eastAsia="zh-CN"/>
              </w:rPr>
              <w:t>3</w:t>
            </w:r>
            <w:r>
              <w:rPr>
                <w:rFonts w:hint="eastAsia" w:ascii="Times New Roman" w:hAnsi="Times New Roman"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项目</w:t>
            </w:r>
            <w:r>
              <w:rPr>
                <w:rFonts w:hint="eastAsia" w:cs="Times New Roman"/>
                <w:b/>
                <w:color w:val="000000"/>
                <w:sz w:val="21"/>
                <w:szCs w:val="21"/>
                <w:lang w:val="en-US" w:eastAsia="zh-CN"/>
              </w:rPr>
              <w:t>剥绒</w:t>
            </w:r>
            <w:r>
              <w:rPr>
                <w:rFonts w:hint="default" w:ascii="Times New Roman" w:hAnsi="Times New Roman" w:eastAsia="宋体" w:cs="Times New Roman"/>
                <w:b/>
                <w:color w:val="000000"/>
                <w:sz w:val="21"/>
                <w:szCs w:val="21"/>
                <w:lang w:val="en-US" w:eastAsia="zh-CN"/>
              </w:rPr>
              <w:t>车间工艺流</w:t>
            </w:r>
            <w:r>
              <w:rPr>
                <w:rFonts w:hint="default" w:ascii="Times New Roman" w:hAnsi="Times New Roman" w:eastAsia="宋体" w:cs="Times New Roman"/>
                <w:b/>
                <w:color w:val="000000"/>
                <w:sz w:val="21"/>
                <w:szCs w:val="21"/>
              </w:rPr>
              <w:t>程及产</w:t>
            </w:r>
            <w:r>
              <w:rPr>
                <w:rFonts w:hint="eastAsia" w:ascii="Times New Roman" w:hAnsi="Times New Roman" w:eastAsia="宋体" w:cs="Times New Roman"/>
                <w:b/>
                <w:color w:val="000000"/>
                <w:sz w:val="21"/>
                <w:szCs w:val="21"/>
                <w:lang w:eastAsia="zh-CN"/>
              </w:rPr>
              <w:t>污</w:t>
            </w:r>
            <w:r>
              <w:rPr>
                <w:rFonts w:hint="default" w:ascii="Times New Roman" w:hAnsi="Times New Roman" w:eastAsia="宋体" w:cs="Times New Roman"/>
                <w:b/>
                <w:color w:val="000000"/>
                <w:sz w:val="21"/>
                <w:szCs w:val="21"/>
              </w:rPr>
              <w:t>环节图</w:t>
            </w:r>
          </w:p>
          <w:p w14:paraId="41B1D255">
            <w:pPr>
              <w:pStyle w:val="26"/>
              <w:keepNext w:val="0"/>
              <w:keepLines w:val="0"/>
              <w:pageBreakBefore w:val="0"/>
              <w:widowControl w:val="0"/>
              <w:suppressLineNumbers w:val="0"/>
              <w:kinsoku/>
              <w:wordWrap/>
              <w:overflowPunct/>
              <w:topLinePunct w:val="0"/>
              <w:autoSpaceDE w:val="0"/>
              <w:autoSpaceDN w:val="0"/>
              <w:bidi w:val="0"/>
              <w:adjustRightInd w:val="0"/>
              <w:snapToGrid/>
              <w:spacing w:before="0" w:beforeLines="0" w:beforeAutospacing="0" w:after="0" w:afterLines="0" w:afterAutospacing="0" w:line="500" w:lineRule="exact"/>
              <w:ind w:left="0" w:right="0" w:firstLine="482" w:firstLineChars="200"/>
              <w:textAlignment w:val="auto"/>
              <w:rPr>
                <w:rFonts w:hint="default" w:ascii="Times New Roman" w:hAnsi="Times New Roman" w:eastAsia="宋体" w:cs="Times New Roman"/>
                <w:b/>
                <w:bCs/>
                <w:color w:val="auto"/>
                <w:kern w:val="2"/>
                <w:sz w:val="24"/>
                <w:szCs w:val="24"/>
                <w:lang w:val="en-US" w:eastAsia="zh-CN"/>
              </w:rPr>
            </w:pPr>
            <w:r>
              <w:rPr>
                <w:rFonts w:hint="default" w:ascii="Times New Roman" w:hAnsi="Times New Roman" w:eastAsia="宋体" w:cs="Times New Roman"/>
                <w:b/>
                <w:bCs/>
                <w:color w:val="auto"/>
                <w:kern w:val="2"/>
                <w:sz w:val="24"/>
                <w:szCs w:val="24"/>
                <w:lang w:val="en-US" w:eastAsia="zh-CN"/>
              </w:rPr>
              <w:t>生产工艺流程简述：</w:t>
            </w:r>
          </w:p>
          <w:p w14:paraId="35C18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s="Times New Roman"/>
                <w:b/>
                <w:bCs/>
                <w:color w:val="auto"/>
                <w:sz w:val="24"/>
                <w:szCs w:val="24"/>
                <w:lang w:val="en-US" w:eastAsia="zh-CN"/>
              </w:rPr>
            </w:pPr>
            <w:r>
              <w:rPr>
                <w:rFonts w:hint="default" w:ascii="Times New Roman" w:hAnsi="Times New Roman" w:eastAsia="宋体" w:cs="Times New Roman"/>
                <w:color w:val="auto"/>
                <w:sz w:val="24"/>
                <w:szCs w:val="24"/>
                <w:lang w:val="zh-CN" w:eastAsia="zh-CN"/>
              </w:rPr>
              <w:t>毛籽</w:t>
            </w:r>
            <w:r>
              <w:rPr>
                <w:rFonts w:hint="eastAsia" w:cs="Times New Roman"/>
                <w:color w:val="auto"/>
                <w:sz w:val="24"/>
                <w:szCs w:val="24"/>
                <w:lang w:val="zh-CN" w:eastAsia="zh-CN"/>
              </w:rPr>
              <w:t>进入</w:t>
            </w:r>
            <w:r>
              <w:rPr>
                <w:rFonts w:hint="default" w:ascii="Times New Roman" w:hAnsi="Times New Roman" w:eastAsia="宋体" w:cs="Times New Roman"/>
                <w:color w:val="auto"/>
                <w:sz w:val="24"/>
                <w:szCs w:val="24"/>
                <w:lang w:val="zh-CN" w:eastAsia="zh-CN"/>
              </w:rPr>
              <w:t>车间后，通过提升机提入风力清籽机，</w:t>
            </w:r>
            <w:r>
              <w:rPr>
                <w:rFonts w:hint="eastAsia" w:cs="Times New Roman"/>
                <w:color w:val="auto"/>
                <w:sz w:val="24"/>
                <w:szCs w:val="24"/>
                <w:lang w:val="zh-CN" w:eastAsia="zh-CN"/>
              </w:rPr>
              <w:t>清除</w:t>
            </w:r>
            <w:r>
              <w:rPr>
                <w:rFonts w:hint="default" w:ascii="Times New Roman" w:hAnsi="Times New Roman" w:eastAsia="宋体" w:cs="Times New Roman"/>
                <w:color w:val="auto"/>
                <w:sz w:val="24"/>
                <w:szCs w:val="24"/>
                <w:lang w:val="zh-CN" w:eastAsia="zh-CN"/>
              </w:rPr>
              <w:t>棉籽中的</w:t>
            </w:r>
            <w:r>
              <w:rPr>
                <w:rFonts w:hint="eastAsia" w:cs="Times New Roman"/>
                <w:color w:val="auto"/>
                <w:sz w:val="24"/>
                <w:szCs w:val="24"/>
                <w:lang w:val="en-US" w:eastAsia="zh-CN"/>
              </w:rPr>
              <w:t>杂质</w:t>
            </w:r>
            <w:r>
              <w:rPr>
                <w:rFonts w:hint="default" w:ascii="Times New Roman" w:hAnsi="Times New Roman" w:eastAsia="宋体" w:cs="Times New Roman"/>
                <w:color w:val="auto"/>
                <w:sz w:val="24"/>
                <w:szCs w:val="24"/>
                <w:lang w:val="zh-CN" w:eastAsia="zh-CN"/>
              </w:rPr>
              <w:t>，如石块、铁屑，棉籽通过绞龙输送器均匀喂入</w:t>
            </w:r>
            <w:r>
              <w:rPr>
                <w:rFonts w:hint="eastAsia" w:cs="Times New Roman"/>
                <w:color w:val="auto"/>
                <w:sz w:val="24"/>
                <w:szCs w:val="24"/>
                <w:lang w:val="en-US" w:eastAsia="zh-CN"/>
              </w:rPr>
              <w:t>第一道</w:t>
            </w:r>
            <w:r>
              <w:rPr>
                <w:rFonts w:hint="default" w:ascii="Times New Roman" w:hAnsi="Times New Roman" w:eastAsia="宋体" w:cs="Times New Roman"/>
                <w:color w:val="auto"/>
                <w:sz w:val="24"/>
                <w:szCs w:val="24"/>
                <w:lang w:val="zh-CN" w:eastAsia="zh-CN"/>
              </w:rPr>
              <w:t>剥绒机，然后经过绞龙输送器喂入</w:t>
            </w:r>
            <w:r>
              <w:rPr>
                <w:rFonts w:hint="eastAsia" w:cs="Times New Roman"/>
                <w:color w:val="auto"/>
                <w:sz w:val="24"/>
                <w:szCs w:val="24"/>
                <w:lang w:val="en-US" w:eastAsia="zh-CN"/>
              </w:rPr>
              <w:t>第二</w:t>
            </w:r>
            <w:r>
              <w:rPr>
                <w:rFonts w:hint="default" w:ascii="Times New Roman" w:hAnsi="Times New Roman" w:eastAsia="宋体" w:cs="Times New Roman"/>
                <w:color w:val="auto"/>
                <w:sz w:val="24"/>
                <w:szCs w:val="24"/>
                <w:lang w:val="zh-CN" w:eastAsia="zh-CN"/>
              </w:rPr>
              <w:t>道剥绒机，通过高速旋转的锯片钩拉，将棉籽上头道短绒轻剥下后，</w:t>
            </w:r>
            <w:r>
              <w:rPr>
                <w:rFonts w:hint="eastAsia" w:cs="Times New Roman"/>
                <w:color w:val="auto"/>
                <w:sz w:val="24"/>
                <w:szCs w:val="24"/>
                <w:lang w:val="en-US" w:eastAsia="zh-CN"/>
              </w:rPr>
              <w:t>棉绒</w:t>
            </w:r>
            <w:r>
              <w:rPr>
                <w:rFonts w:hint="default" w:ascii="Times New Roman" w:hAnsi="Times New Roman" w:eastAsia="宋体" w:cs="Times New Roman"/>
                <w:color w:val="auto"/>
                <w:sz w:val="24"/>
                <w:szCs w:val="24"/>
                <w:lang w:val="zh-CN" w:eastAsia="zh-CN"/>
              </w:rPr>
              <w:t>通过</w:t>
            </w:r>
            <w:r>
              <w:rPr>
                <w:rFonts w:hint="eastAsia" w:cs="Times New Roman"/>
                <w:color w:val="auto"/>
                <w:sz w:val="24"/>
                <w:szCs w:val="24"/>
                <w:lang w:val="en-US" w:eastAsia="zh-CN"/>
              </w:rPr>
              <w:t>晒棒条、清绒机</w:t>
            </w:r>
            <w:r>
              <w:rPr>
                <w:rFonts w:hint="default" w:ascii="Times New Roman" w:hAnsi="Times New Roman" w:eastAsia="宋体" w:cs="Times New Roman"/>
                <w:color w:val="auto"/>
                <w:sz w:val="24"/>
                <w:szCs w:val="24"/>
                <w:lang w:val="zh-CN" w:eastAsia="zh-CN"/>
              </w:rPr>
              <w:t>打包入库</w:t>
            </w:r>
            <w:r>
              <w:rPr>
                <w:rFonts w:hint="eastAsia" w:cs="Times New Roman"/>
                <w:color w:val="auto"/>
                <w:sz w:val="24"/>
                <w:szCs w:val="24"/>
                <w:lang w:val="zh-CN" w:eastAsia="zh-CN"/>
              </w:rPr>
              <w:t>。</w:t>
            </w:r>
            <w:r>
              <w:rPr>
                <w:rFonts w:hint="eastAsia" w:cs="Times New Roman"/>
                <w:color w:val="auto"/>
                <w:sz w:val="24"/>
                <w:szCs w:val="24"/>
                <w:lang w:val="en-US" w:eastAsia="zh-CN"/>
              </w:rPr>
              <w:t>第二道剥绒工序使得</w:t>
            </w:r>
            <w:r>
              <w:rPr>
                <w:rFonts w:hint="default" w:ascii="Times New Roman" w:hAnsi="Times New Roman" w:eastAsia="宋体" w:cs="Times New Roman"/>
                <w:color w:val="auto"/>
                <w:sz w:val="24"/>
                <w:szCs w:val="24"/>
                <w:lang w:val="zh-CN" w:eastAsia="zh-CN"/>
              </w:rPr>
              <w:t>棉籽残绒小于3%，</w:t>
            </w:r>
            <w:r>
              <w:rPr>
                <w:rFonts w:hint="eastAsia" w:cs="Times New Roman"/>
                <w:color w:val="auto"/>
                <w:sz w:val="24"/>
                <w:szCs w:val="24"/>
                <w:lang w:val="en-US" w:eastAsia="zh-CN"/>
              </w:rPr>
              <w:t>光籽进入预处理车间</w:t>
            </w:r>
            <w:r>
              <w:rPr>
                <w:rFonts w:hint="default" w:ascii="Times New Roman" w:hAnsi="Times New Roman" w:eastAsia="宋体" w:cs="Times New Roman"/>
                <w:color w:val="auto"/>
                <w:sz w:val="24"/>
                <w:szCs w:val="24"/>
                <w:lang w:val="zh-CN" w:eastAsia="zh-CN"/>
              </w:rPr>
              <w:t>。</w:t>
            </w:r>
          </w:p>
          <w:p w14:paraId="369BD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cs="Times New Roman"/>
                <w:b w:val="0"/>
                <w:bCs w:val="0"/>
                <w:color w:val="auto"/>
                <w:sz w:val="24"/>
                <w:szCs w:val="24"/>
                <w:lang w:val="en-US" w:eastAsia="zh-CN"/>
              </w:rPr>
            </w:pPr>
            <w:r>
              <w:rPr>
                <w:rFonts w:hint="eastAsia" w:cs="Times New Roman"/>
                <w:b/>
                <w:bCs/>
                <w:color w:val="auto"/>
                <w:sz w:val="24"/>
                <w:szCs w:val="24"/>
                <w:lang w:val="en-US" w:eastAsia="zh-CN"/>
              </w:rPr>
              <w:t>此工序产污环节：</w:t>
            </w:r>
            <w:r>
              <w:rPr>
                <w:rFonts w:hint="eastAsia" w:cs="Times New Roman"/>
                <w:b w:val="0"/>
                <w:bCs w:val="0"/>
                <w:color w:val="auto"/>
                <w:sz w:val="24"/>
                <w:szCs w:val="24"/>
                <w:lang w:val="en-US" w:eastAsia="zh-CN"/>
              </w:rPr>
              <w:t>初清筛会产生固体废物（铁质石块）；风力清籽、转网尘笼、第一二道剥绒、清绒机会产生粉尘（颗粒物、棉绒粉尘产生）；设备运行产生的噪声。</w:t>
            </w:r>
          </w:p>
          <w:p w14:paraId="0DEBAFCF">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val="0"/>
                <w:bCs w:val="0"/>
                <w:color w:val="auto"/>
                <w:sz w:val="24"/>
                <w:szCs w:val="24"/>
                <w:highlight w:val="none"/>
                <w:lang w:val="en-US" w:eastAsia="zh-CN"/>
              </w:rPr>
            </w:pPr>
            <w:r>
              <w:rPr>
                <w:rFonts w:hint="eastAsia" w:cs="Times New Roman"/>
                <w:b/>
                <w:bCs/>
                <w:color w:val="auto"/>
                <w:sz w:val="24"/>
                <w:szCs w:val="24"/>
                <w:lang w:val="en-US" w:eastAsia="zh-CN"/>
              </w:rPr>
              <w:t>此工序排放去向：</w:t>
            </w:r>
            <w:r>
              <w:rPr>
                <w:rFonts w:hint="eastAsia" w:cs="Times New Roman"/>
                <w:b w:val="0"/>
                <w:bCs w:val="0"/>
                <w:color w:val="auto"/>
                <w:sz w:val="24"/>
                <w:szCs w:val="24"/>
                <w:lang w:val="en-US" w:eastAsia="zh-CN"/>
              </w:rPr>
              <w:t>铁质石块、除尘器粉尘等固体废物定期由环卫部门清运；粉尘通过全密闭+多管旋风除尘器+袋式滤筒除尘器+15m</w:t>
            </w:r>
            <w:r>
              <w:rPr>
                <w:rFonts w:hint="eastAsia" w:cs="Times New Roman"/>
                <w:b w:val="0"/>
                <w:bCs w:val="0"/>
                <w:color w:val="auto"/>
                <w:sz w:val="24"/>
                <w:szCs w:val="24"/>
                <w:highlight w:val="none"/>
                <w:lang w:val="en-US" w:eastAsia="zh-CN"/>
              </w:rPr>
              <w:t>高排气筒外排（DA001、DA002）；除尘器回收棉絮重新打包外售。</w:t>
            </w:r>
          </w:p>
          <w:p w14:paraId="6303F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2.1 粉碎包装</w:t>
            </w:r>
            <w:r>
              <w:rPr>
                <w:rFonts w:hint="default" w:ascii="Times New Roman" w:hAnsi="Times New Roman" w:eastAsia="宋体" w:cs="Times New Roman"/>
                <w:b/>
                <w:bCs/>
                <w:color w:val="auto"/>
                <w:sz w:val="24"/>
                <w:szCs w:val="24"/>
                <w:lang w:val="en-US" w:eastAsia="zh-CN"/>
              </w:rPr>
              <w:t>车间</w:t>
            </w:r>
          </w:p>
          <w:p w14:paraId="10A7E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drawing>
                <wp:inline distT="0" distB="0" distL="114300" distR="114300">
                  <wp:extent cx="4775200" cy="1921510"/>
                  <wp:effectExtent l="0" t="0" r="0" b="0"/>
                  <wp:docPr id="28"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4" descr="wps"/>
                          <pic:cNvPicPr>
                            <a:picLocks noChangeAspect="1"/>
                          </pic:cNvPicPr>
                        </pic:nvPicPr>
                        <pic:blipFill>
                          <a:blip r:embed="rId8"/>
                          <a:stretch>
                            <a:fillRect/>
                          </a:stretch>
                        </pic:blipFill>
                        <pic:spPr>
                          <a:xfrm>
                            <a:off x="0" y="0"/>
                            <a:ext cx="4775200" cy="1921510"/>
                          </a:xfrm>
                          <a:prstGeom prst="rect">
                            <a:avLst/>
                          </a:prstGeom>
                        </pic:spPr>
                      </pic:pic>
                    </a:graphicData>
                  </a:graphic>
                </wp:inline>
              </w:drawing>
            </w:r>
          </w:p>
          <w:p w14:paraId="1384B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color w:val="000000"/>
                <w:sz w:val="21"/>
                <w:szCs w:val="21"/>
              </w:rPr>
              <w:t>图</w:t>
            </w:r>
            <w:r>
              <w:rPr>
                <w:rFonts w:hint="eastAsia" w:cs="Times New Roman"/>
                <w:b/>
                <w:color w:val="000000"/>
                <w:sz w:val="21"/>
                <w:szCs w:val="21"/>
                <w:lang w:val="en-US" w:eastAsia="zh-CN"/>
              </w:rPr>
              <w:t>4</w:t>
            </w:r>
            <w:r>
              <w:rPr>
                <w:rFonts w:hint="eastAsia" w:ascii="Times New Roman" w:hAnsi="Times New Roman"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项目</w:t>
            </w:r>
            <w:r>
              <w:rPr>
                <w:rFonts w:hint="eastAsia" w:cs="Times New Roman"/>
                <w:b/>
                <w:color w:val="000000"/>
                <w:sz w:val="21"/>
                <w:szCs w:val="21"/>
                <w:lang w:val="en-US" w:eastAsia="zh-CN"/>
              </w:rPr>
              <w:t>粉碎包装</w:t>
            </w:r>
            <w:r>
              <w:rPr>
                <w:rFonts w:hint="default" w:ascii="Times New Roman" w:hAnsi="Times New Roman" w:eastAsia="宋体" w:cs="Times New Roman"/>
                <w:b/>
                <w:color w:val="000000"/>
                <w:sz w:val="21"/>
                <w:szCs w:val="21"/>
                <w:lang w:val="en-US" w:eastAsia="zh-CN"/>
              </w:rPr>
              <w:t>车间工艺流</w:t>
            </w:r>
            <w:r>
              <w:rPr>
                <w:rFonts w:hint="default" w:ascii="Times New Roman" w:hAnsi="Times New Roman" w:eastAsia="宋体" w:cs="Times New Roman"/>
                <w:b/>
                <w:color w:val="000000"/>
                <w:sz w:val="21"/>
                <w:szCs w:val="21"/>
              </w:rPr>
              <w:t>程及产</w:t>
            </w:r>
            <w:r>
              <w:rPr>
                <w:rFonts w:hint="eastAsia" w:ascii="Times New Roman" w:hAnsi="Times New Roman" w:eastAsia="宋体" w:cs="Times New Roman"/>
                <w:b/>
                <w:color w:val="000000"/>
                <w:sz w:val="21"/>
                <w:szCs w:val="21"/>
                <w:lang w:eastAsia="zh-CN"/>
              </w:rPr>
              <w:t>污</w:t>
            </w:r>
            <w:r>
              <w:rPr>
                <w:rFonts w:hint="default" w:ascii="Times New Roman" w:hAnsi="Times New Roman" w:eastAsia="宋体" w:cs="Times New Roman"/>
                <w:b/>
                <w:color w:val="000000"/>
                <w:sz w:val="21"/>
                <w:szCs w:val="21"/>
              </w:rPr>
              <w:t>环节图</w:t>
            </w:r>
          </w:p>
          <w:p w14:paraId="3D475D82">
            <w:pPr>
              <w:pStyle w:val="12"/>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棉粕经高压罗茨风机从浸出车间风运至粉碎包装车间原料仓，经关风器、绞龙、提升机等输送设备进入永磁筒磁选器清除铁质杂质后进入破碎机，破碎后的物料由绞龙、提升机等输送设备送入1#、2#高方筛，筛分出成品、中杂、大杂三种物料：成品由绞龙、提升机等输送设备送入成品仓；中杂进入1#磨粉机进行细磨，细磨后的物料通过绞龙、提升机等输送设备送入3#、4#高方筛（二道筛选），二道高方筛分出成品、中杂、大杂三种物料，成品由绞龙、提升机等输送设备送入成品仓，中杂进入2#磨粉机进行细磨，细磨后的物料通过绞龙、提升机等输送设备再次送入3#、4#高方筛（循环筛选）；大杂通过绞龙送至棒条机，棒条机筛上物由输送设备送至黄壳库，黄壳库到原料仓输送绞龙之间设有黄壳返库刮板，如做60以下蛋白，黄壳可通过刮板再次加工；棒条机筛下物通过提升机输送至原料仓再加工。</w:t>
            </w:r>
          </w:p>
          <w:p w14:paraId="793F16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成品蛋白通过绞龙送，</w:t>
            </w:r>
            <w:r>
              <w:rPr>
                <w:rFonts w:hint="eastAsia" w:cs="Times New Roman"/>
                <w:b w:val="0"/>
                <w:bCs w:val="0"/>
                <w:color w:val="auto"/>
                <w:kern w:val="2"/>
                <w:sz w:val="24"/>
                <w:szCs w:val="24"/>
                <w:lang w:val="en-US" w:eastAsia="zh-CN" w:bidi="ar-SA"/>
              </w:rPr>
              <w:t>再</w:t>
            </w:r>
            <w:r>
              <w:rPr>
                <w:rFonts w:hint="eastAsia" w:ascii="Times New Roman" w:hAnsi="Times New Roman" w:eastAsia="宋体" w:cs="Times New Roman"/>
                <w:b w:val="0"/>
                <w:bCs w:val="0"/>
                <w:color w:val="auto"/>
                <w:kern w:val="2"/>
                <w:sz w:val="24"/>
                <w:szCs w:val="24"/>
                <w:lang w:val="en-US" w:eastAsia="zh-CN" w:bidi="ar-SA"/>
              </w:rPr>
              <w:t>通过输送设备进入成品仓，成品仓下设置下料关风器，均匀进入绞龙、提升机输送至检查筛，检查筛筛选出的块状不合格产品收集后</w:t>
            </w:r>
            <w:r>
              <w:rPr>
                <w:rFonts w:hint="eastAsia" w:cs="Times New Roman"/>
                <w:b w:val="0"/>
                <w:bCs w:val="0"/>
                <w:color w:val="auto"/>
                <w:kern w:val="2"/>
                <w:sz w:val="24"/>
                <w:szCs w:val="24"/>
                <w:lang w:val="en-US" w:eastAsia="zh-CN" w:bidi="ar-SA"/>
              </w:rPr>
              <w:t>再次</w:t>
            </w:r>
            <w:r>
              <w:rPr>
                <w:rFonts w:hint="eastAsia" w:ascii="Times New Roman" w:hAnsi="Times New Roman" w:eastAsia="宋体" w:cs="Times New Roman"/>
                <w:b w:val="0"/>
                <w:bCs w:val="0"/>
                <w:color w:val="auto"/>
                <w:kern w:val="2"/>
                <w:sz w:val="24"/>
                <w:szCs w:val="24"/>
                <w:lang w:val="en-US" w:eastAsia="zh-CN" w:bidi="ar-SA"/>
              </w:rPr>
              <w:t>加工，合格蛋白进入全自动灌包、缝包、码垛，</w:t>
            </w:r>
            <w:r>
              <w:rPr>
                <w:rFonts w:hint="eastAsia" w:cs="Times New Roman"/>
                <w:b w:val="0"/>
                <w:bCs w:val="0"/>
                <w:color w:val="auto"/>
                <w:kern w:val="2"/>
                <w:sz w:val="24"/>
                <w:szCs w:val="24"/>
                <w:lang w:val="en-US" w:eastAsia="zh-CN" w:bidi="ar-SA"/>
              </w:rPr>
              <w:t>后进行出库外售</w:t>
            </w:r>
            <w:r>
              <w:rPr>
                <w:rFonts w:hint="eastAsia" w:ascii="Times New Roman" w:hAnsi="Times New Roman" w:eastAsia="宋体" w:cs="Times New Roman"/>
                <w:b w:val="0"/>
                <w:bCs w:val="0"/>
                <w:color w:val="auto"/>
                <w:kern w:val="2"/>
                <w:sz w:val="24"/>
                <w:szCs w:val="24"/>
                <w:lang w:val="en-US" w:eastAsia="zh-CN" w:bidi="ar-SA"/>
              </w:rPr>
              <w:t>。</w:t>
            </w:r>
          </w:p>
          <w:p w14:paraId="3B005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cs="Times New Roman"/>
                <w:b w:val="0"/>
                <w:bCs w:val="0"/>
                <w:color w:val="auto"/>
                <w:sz w:val="24"/>
                <w:szCs w:val="24"/>
                <w:lang w:val="en-US" w:eastAsia="zh-CN"/>
              </w:rPr>
            </w:pPr>
            <w:r>
              <w:rPr>
                <w:rFonts w:hint="eastAsia" w:cs="Times New Roman"/>
                <w:b/>
                <w:bCs/>
                <w:color w:val="auto"/>
                <w:sz w:val="24"/>
                <w:szCs w:val="24"/>
                <w:lang w:val="en-US" w:eastAsia="zh-CN"/>
              </w:rPr>
              <w:t>此工序产污环节：</w:t>
            </w:r>
            <w:r>
              <w:rPr>
                <w:rFonts w:hint="eastAsia" w:cs="Times New Roman"/>
                <w:b w:val="0"/>
                <w:bCs w:val="0"/>
                <w:color w:val="auto"/>
                <w:sz w:val="24"/>
                <w:szCs w:val="24"/>
                <w:lang w:val="en-US" w:eastAsia="zh-CN"/>
              </w:rPr>
              <w:t>破碎产生的颗粒物；设备运行产生的噪声。</w:t>
            </w:r>
          </w:p>
          <w:p w14:paraId="356416E4">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val="0"/>
                <w:bCs w:val="0"/>
                <w:color w:val="auto"/>
                <w:sz w:val="24"/>
                <w:szCs w:val="24"/>
                <w:highlight w:val="none"/>
                <w:lang w:val="en-US" w:eastAsia="zh-CN"/>
              </w:rPr>
            </w:pPr>
            <w:r>
              <w:rPr>
                <w:rFonts w:hint="eastAsia" w:cs="Times New Roman"/>
                <w:b/>
                <w:bCs/>
                <w:color w:val="auto"/>
                <w:sz w:val="24"/>
                <w:szCs w:val="24"/>
                <w:lang w:val="en-US" w:eastAsia="zh-CN"/>
              </w:rPr>
              <w:t>此工序排放去向：</w:t>
            </w:r>
            <w:r>
              <w:rPr>
                <w:rFonts w:hint="eastAsia" w:cs="Times New Roman"/>
                <w:b w:val="0"/>
                <w:bCs w:val="0"/>
                <w:color w:val="auto"/>
                <w:sz w:val="24"/>
                <w:szCs w:val="24"/>
                <w:lang w:val="en-US" w:eastAsia="zh-CN"/>
              </w:rPr>
              <w:t>颗粒物通过全密闭+脉冲除尘器+15m</w:t>
            </w:r>
            <w:r>
              <w:rPr>
                <w:rFonts w:hint="eastAsia" w:cs="Times New Roman"/>
                <w:b w:val="0"/>
                <w:bCs w:val="0"/>
                <w:color w:val="auto"/>
                <w:sz w:val="24"/>
                <w:szCs w:val="24"/>
                <w:highlight w:val="none"/>
                <w:lang w:val="en-US" w:eastAsia="zh-CN"/>
              </w:rPr>
              <w:t>高排气筒外排（DA003）；</w:t>
            </w:r>
            <w:r>
              <w:rPr>
                <w:rFonts w:hint="eastAsia" w:cs="Times New Roman"/>
                <w:b w:val="0"/>
                <w:bCs w:val="0"/>
                <w:color w:val="auto"/>
                <w:sz w:val="24"/>
                <w:szCs w:val="24"/>
                <w:lang w:val="en-US" w:eastAsia="zh-CN"/>
              </w:rPr>
              <w:t>除尘器粉尘等固体废物定期由环卫部门清运</w:t>
            </w:r>
            <w:r>
              <w:rPr>
                <w:rFonts w:hint="eastAsia" w:cs="Times New Roman"/>
                <w:b w:val="0"/>
                <w:bCs w:val="0"/>
                <w:color w:val="auto"/>
                <w:sz w:val="24"/>
                <w:szCs w:val="24"/>
                <w:highlight w:val="none"/>
                <w:lang w:val="en-US" w:eastAsia="zh-CN"/>
              </w:rPr>
              <w:t>。</w:t>
            </w:r>
          </w:p>
          <w:p w14:paraId="02386B0B">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eastAsia" w:cs="Times New Roman"/>
                <w:b/>
                <w:bCs/>
                <w:color w:val="auto"/>
                <w:sz w:val="24"/>
                <w:szCs w:val="24"/>
                <w:lang w:val="en-US" w:eastAsia="zh-CN"/>
              </w:rPr>
              <w:t>1.2 预处理车间</w:t>
            </w:r>
          </w:p>
          <w:p w14:paraId="0EE2C038">
            <w:pPr>
              <w:pStyle w:val="26"/>
              <w:jc w:val="center"/>
              <w:rPr>
                <w:rFonts w:hint="default"/>
                <w:lang w:val="en-US" w:eastAsia="zh-CN"/>
              </w:rPr>
            </w:pPr>
            <w:r>
              <w:rPr>
                <w:rFonts w:hint="default"/>
                <w:lang w:val="en-US" w:eastAsia="zh-CN"/>
              </w:rPr>
              <w:drawing>
                <wp:inline distT="0" distB="0" distL="114300" distR="114300">
                  <wp:extent cx="4777105" cy="3785870"/>
                  <wp:effectExtent l="0" t="0" r="0" b="0"/>
                  <wp:docPr id="29"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5" descr="wps"/>
                          <pic:cNvPicPr>
                            <a:picLocks noChangeAspect="1"/>
                          </pic:cNvPicPr>
                        </pic:nvPicPr>
                        <pic:blipFill>
                          <a:blip r:embed="rId9"/>
                          <a:stretch>
                            <a:fillRect/>
                          </a:stretch>
                        </pic:blipFill>
                        <pic:spPr>
                          <a:xfrm>
                            <a:off x="0" y="0"/>
                            <a:ext cx="4777105" cy="3785870"/>
                          </a:xfrm>
                          <a:prstGeom prst="rect">
                            <a:avLst/>
                          </a:prstGeom>
                        </pic:spPr>
                      </pic:pic>
                    </a:graphicData>
                  </a:graphic>
                </wp:inline>
              </w:drawing>
            </w:r>
          </w:p>
          <w:p w14:paraId="562DD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图</w:t>
            </w:r>
            <w:r>
              <w:rPr>
                <w:rFonts w:hint="eastAsia" w:cs="Times New Roman"/>
                <w:b/>
                <w:color w:val="000000"/>
                <w:sz w:val="21"/>
                <w:szCs w:val="21"/>
                <w:lang w:val="en-US" w:eastAsia="zh-CN"/>
              </w:rPr>
              <w:t>5</w:t>
            </w:r>
            <w:r>
              <w:rPr>
                <w:rFonts w:hint="eastAsia" w:ascii="Times New Roman" w:hAnsi="Times New Roman"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项目</w:t>
            </w:r>
            <w:r>
              <w:rPr>
                <w:rFonts w:hint="default" w:ascii="Times New Roman" w:hAnsi="Times New Roman" w:eastAsia="宋体" w:cs="Times New Roman"/>
                <w:b/>
                <w:color w:val="000000"/>
                <w:sz w:val="21"/>
                <w:szCs w:val="21"/>
                <w:lang w:val="en-US" w:eastAsia="zh-CN"/>
              </w:rPr>
              <w:t>预处理车间工艺流</w:t>
            </w:r>
            <w:r>
              <w:rPr>
                <w:rFonts w:hint="default" w:ascii="Times New Roman" w:hAnsi="Times New Roman" w:eastAsia="宋体" w:cs="Times New Roman"/>
                <w:b/>
                <w:color w:val="000000"/>
                <w:sz w:val="21"/>
                <w:szCs w:val="21"/>
              </w:rPr>
              <w:t>程及产</w:t>
            </w:r>
            <w:r>
              <w:rPr>
                <w:rFonts w:hint="eastAsia" w:ascii="Times New Roman" w:hAnsi="Times New Roman" w:eastAsia="宋体" w:cs="Times New Roman"/>
                <w:b/>
                <w:color w:val="000000"/>
                <w:sz w:val="21"/>
                <w:szCs w:val="21"/>
                <w:lang w:eastAsia="zh-CN"/>
              </w:rPr>
              <w:t>污</w:t>
            </w:r>
            <w:r>
              <w:rPr>
                <w:rFonts w:hint="default" w:ascii="Times New Roman" w:hAnsi="Times New Roman" w:eastAsia="宋体" w:cs="Times New Roman"/>
                <w:b/>
                <w:color w:val="000000"/>
                <w:sz w:val="21"/>
                <w:szCs w:val="21"/>
              </w:rPr>
              <w:t>环节图</w:t>
            </w:r>
          </w:p>
          <w:p w14:paraId="3FF65E2E">
            <w:pPr>
              <w:pStyle w:val="26"/>
              <w:keepNext w:val="0"/>
              <w:keepLines w:val="0"/>
              <w:pageBreakBefore w:val="0"/>
              <w:widowControl w:val="0"/>
              <w:suppressLineNumbers w:val="0"/>
              <w:kinsoku/>
              <w:wordWrap/>
              <w:overflowPunct/>
              <w:topLinePunct w:val="0"/>
              <w:autoSpaceDE w:val="0"/>
              <w:autoSpaceDN w:val="0"/>
              <w:bidi w:val="0"/>
              <w:adjustRightInd w:val="0"/>
              <w:snapToGrid/>
              <w:spacing w:before="0" w:beforeLines="0" w:beforeAutospacing="0" w:after="0" w:afterLines="0" w:afterAutospacing="0" w:line="500" w:lineRule="exact"/>
              <w:ind w:left="0" w:right="0" w:firstLine="482" w:firstLineChars="200"/>
              <w:textAlignment w:val="auto"/>
              <w:rPr>
                <w:rFonts w:hint="default" w:ascii="Times New Roman" w:hAnsi="Times New Roman" w:eastAsia="宋体" w:cs="Times New Roman"/>
                <w:b/>
                <w:bCs/>
                <w:color w:val="auto"/>
                <w:kern w:val="2"/>
                <w:sz w:val="24"/>
                <w:szCs w:val="24"/>
                <w:lang w:val="en-US" w:eastAsia="zh-CN"/>
              </w:rPr>
            </w:pPr>
            <w:r>
              <w:rPr>
                <w:rFonts w:hint="default" w:ascii="Times New Roman" w:hAnsi="Times New Roman" w:eastAsia="宋体" w:cs="Times New Roman"/>
                <w:b/>
                <w:bCs/>
                <w:color w:val="auto"/>
                <w:kern w:val="2"/>
                <w:sz w:val="24"/>
                <w:szCs w:val="24"/>
                <w:lang w:val="en-US" w:eastAsia="zh-CN"/>
              </w:rPr>
              <w:t>生产工艺流程简述：</w:t>
            </w:r>
          </w:p>
          <w:p w14:paraId="29E01CA8">
            <w:pPr>
              <w:keepNext w:val="0"/>
              <w:keepLines w:val="0"/>
              <w:pageBreakBefore w:val="0"/>
              <w:widowControl w:val="0"/>
              <w:suppressLineNumbers w:val="0"/>
              <w:kinsoku/>
              <w:wordWrap/>
              <w:overflowPunct/>
              <w:topLinePunct w:val="0"/>
              <w:bidi w:val="0"/>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原料进入厂区后</w:t>
            </w:r>
            <w:r>
              <w:rPr>
                <w:rFonts w:hint="eastAsia" w:ascii="Times New Roman" w:hAnsi="Times New Roman" w:eastAsia="宋体" w:cs="Times New Roman"/>
                <w:b w:val="0"/>
                <w:bCs w:val="0"/>
                <w:color w:val="auto"/>
                <w:sz w:val="24"/>
                <w:szCs w:val="24"/>
                <w:lang w:val="en-US" w:eastAsia="zh-CN"/>
              </w:rPr>
              <w:t>均匀喂料，</w:t>
            </w:r>
            <w:r>
              <w:rPr>
                <w:rFonts w:hint="default" w:ascii="Times New Roman" w:hAnsi="Times New Roman" w:eastAsia="宋体" w:cs="Times New Roman"/>
                <w:b w:val="0"/>
                <w:bCs w:val="0"/>
                <w:color w:val="auto"/>
                <w:sz w:val="24"/>
                <w:szCs w:val="24"/>
                <w:lang w:val="en-US" w:eastAsia="zh-CN"/>
              </w:rPr>
              <w:t>喂料</w:t>
            </w:r>
            <w:r>
              <w:rPr>
                <w:rFonts w:hint="eastAsia" w:ascii="Times New Roman" w:hAnsi="Times New Roman" w:eastAsia="宋体" w:cs="Times New Roman"/>
                <w:b w:val="0"/>
                <w:bCs w:val="0"/>
                <w:color w:val="auto"/>
                <w:sz w:val="24"/>
                <w:szCs w:val="24"/>
                <w:lang w:val="en-US" w:eastAsia="zh-CN"/>
              </w:rPr>
              <w:t>后</w:t>
            </w:r>
            <w:r>
              <w:rPr>
                <w:rFonts w:hint="default" w:ascii="Times New Roman" w:hAnsi="Times New Roman" w:eastAsia="宋体" w:cs="Times New Roman"/>
                <w:b w:val="0"/>
                <w:bCs w:val="0"/>
                <w:color w:val="auto"/>
                <w:sz w:val="24"/>
                <w:szCs w:val="24"/>
                <w:lang w:val="en-US" w:eastAsia="zh-CN"/>
              </w:rPr>
              <w:t>进行清籽</w:t>
            </w:r>
            <w:r>
              <w:rPr>
                <w:rFonts w:hint="eastAsia" w:ascii="Times New Roman" w:hAnsi="Times New Roman" w:eastAsia="宋体" w:cs="Times New Roman"/>
                <w:b w:val="0"/>
                <w:bCs w:val="0"/>
                <w:color w:val="auto"/>
                <w:sz w:val="24"/>
                <w:szCs w:val="24"/>
                <w:lang w:val="en-US" w:eastAsia="zh-CN"/>
              </w:rPr>
              <w:t>后用剥壳机进行破碎剥壳</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将籽分为壳与仁两部分，分离出的</w:t>
            </w:r>
            <w:r>
              <w:rPr>
                <w:rFonts w:hint="eastAsia" w:cs="Times New Roman"/>
                <w:b w:val="0"/>
                <w:bCs w:val="0"/>
                <w:color w:val="auto"/>
                <w:sz w:val="24"/>
                <w:szCs w:val="24"/>
                <w:lang w:val="en-US" w:eastAsia="zh-CN"/>
              </w:rPr>
              <w:t>棉</w:t>
            </w:r>
            <w:r>
              <w:rPr>
                <w:rFonts w:hint="eastAsia" w:ascii="Times New Roman" w:hAnsi="Times New Roman" w:eastAsia="宋体" w:cs="Times New Roman"/>
                <w:b w:val="0"/>
                <w:bCs w:val="0"/>
                <w:color w:val="auto"/>
                <w:sz w:val="24"/>
                <w:szCs w:val="24"/>
                <w:lang w:val="en-US" w:eastAsia="zh-CN"/>
              </w:rPr>
              <w:t>壳进行打包外售。</w:t>
            </w:r>
            <w:r>
              <w:rPr>
                <w:rFonts w:hint="eastAsia" w:ascii="Times New Roman" w:hAnsi="Times New Roman" w:eastAsia="宋体" w:cs="Times New Roman"/>
                <w:b w:val="0"/>
                <w:bCs w:val="0"/>
                <w:color w:val="auto"/>
                <w:sz w:val="24"/>
                <w:szCs w:val="24"/>
                <w:highlight w:val="none"/>
                <w:lang w:val="en-US" w:eastAsia="zh-CN"/>
              </w:rPr>
              <w:t>剥壳后</w:t>
            </w:r>
            <w:r>
              <w:rPr>
                <w:rFonts w:hint="eastAsia" w:cs="Times New Roman"/>
                <w:b w:val="0"/>
                <w:bCs w:val="0"/>
                <w:color w:val="auto"/>
                <w:sz w:val="24"/>
                <w:szCs w:val="24"/>
                <w:highlight w:val="none"/>
                <w:lang w:val="en-US" w:eastAsia="zh-CN"/>
              </w:rPr>
              <w:t>进入</w:t>
            </w:r>
            <w:r>
              <w:rPr>
                <w:rFonts w:hint="eastAsia" w:ascii="Times New Roman" w:hAnsi="Times New Roman" w:eastAsia="宋体" w:cs="Times New Roman"/>
                <w:b w:val="0"/>
                <w:bCs w:val="0"/>
                <w:color w:val="auto"/>
                <w:sz w:val="24"/>
                <w:szCs w:val="24"/>
                <w:highlight w:val="none"/>
                <w:lang w:val="en-US" w:eastAsia="zh-CN"/>
              </w:rPr>
              <w:t>绞龙筛，分离出的壳</w:t>
            </w:r>
            <w:r>
              <w:rPr>
                <w:rFonts w:hint="eastAsia" w:cs="Times New Roman"/>
                <w:b w:val="0"/>
                <w:bCs w:val="0"/>
                <w:color w:val="auto"/>
                <w:sz w:val="24"/>
                <w:szCs w:val="24"/>
                <w:highlight w:val="none"/>
                <w:lang w:val="en-US" w:eastAsia="zh-CN"/>
              </w:rPr>
              <w:t>进入棉壳车间</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棉仁通过蒸汽</w:t>
            </w:r>
            <w:r>
              <w:rPr>
                <w:rFonts w:hint="eastAsia" w:ascii="Times New Roman" w:hAnsi="Times New Roman" w:eastAsia="宋体" w:cs="Times New Roman"/>
                <w:b w:val="0"/>
                <w:bCs w:val="0"/>
                <w:color w:val="auto"/>
                <w:sz w:val="24"/>
                <w:szCs w:val="24"/>
                <w:highlight w:val="none"/>
                <w:lang w:val="en-US" w:eastAsia="zh-CN"/>
              </w:rPr>
              <w:t>进行软化，</w:t>
            </w:r>
            <w:r>
              <w:rPr>
                <w:rFonts w:hint="eastAsia" w:cs="Times New Roman"/>
                <w:b w:val="0"/>
                <w:bCs w:val="0"/>
                <w:color w:val="auto"/>
                <w:sz w:val="24"/>
                <w:szCs w:val="24"/>
                <w:highlight w:val="none"/>
                <w:lang w:val="en-US" w:eastAsia="zh-CN"/>
              </w:rPr>
              <w:t>后进行轧坯目的是通过轧辊的碾压和油料细胞之间的相互作用，使油料细胞壁破坏，同时使料胚成为片状后进行轧坯</w:t>
            </w:r>
            <w:r>
              <w:rPr>
                <w:rFonts w:hint="eastAsia" w:ascii="Times New Roman" w:hAnsi="Times New Roman" w:eastAsia="宋体" w:cs="Times New Roman"/>
                <w:b w:val="0"/>
                <w:bCs w:val="0"/>
                <w:color w:val="auto"/>
                <w:sz w:val="24"/>
                <w:szCs w:val="24"/>
                <w:highlight w:val="none"/>
                <w:lang w:val="en-US" w:eastAsia="zh-CN"/>
              </w:rPr>
              <w:t>棉仁及送入蒸锅，</w:t>
            </w:r>
            <w:r>
              <w:rPr>
                <w:rFonts w:hint="eastAsia" w:cs="Times New Roman"/>
                <w:b w:val="0"/>
                <w:bCs w:val="0"/>
                <w:color w:val="auto"/>
                <w:sz w:val="24"/>
                <w:szCs w:val="24"/>
                <w:highlight w:val="none"/>
                <w:lang w:val="en-US" w:eastAsia="zh-CN"/>
              </w:rPr>
              <w:t>再进行间接烘干，烘干后的</w:t>
            </w:r>
            <w:r>
              <w:rPr>
                <w:rFonts w:hint="eastAsia" w:ascii="Times New Roman" w:hAnsi="Times New Roman" w:eastAsia="宋体" w:cs="Times New Roman"/>
                <w:b w:val="0"/>
                <w:bCs w:val="0"/>
                <w:color w:val="auto"/>
                <w:sz w:val="24"/>
                <w:szCs w:val="24"/>
                <w:highlight w:val="none"/>
                <w:lang w:val="en-US" w:eastAsia="zh-CN"/>
              </w:rPr>
              <w:t>棉饼经</w:t>
            </w:r>
            <w:r>
              <w:rPr>
                <w:rFonts w:hint="eastAsia" w:cs="Times New Roman"/>
                <w:b w:val="0"/>
                <w:bCs w:val="0"/>
                <w:color w:val="auto"/>
                <w:sz w:val="24"/>
                <w:szCs w:val="24"/>
                <w:highlight w:val="none"/>
                <w:lang w:val="en-US" w:eastAsia="zh-CN"/>
              </w:rPr>
              <w:t>膨化使棉饼变成颗粒化，再进行进一步的烘干，后</w:t>
            </w:r>
            <w:r>
              <w:rPr>
                <w:rFonts w:hint="eastAsia" w:ascii="Times New Roman" w:hAnsi="Times New Roman" w:eastAsia="宋体" w:cs="Times New Roman"/>
                <w:b w:val="0"/>
                <w:bCs w:val="0"/>
                <w:color w:val="auto"/>
                <w:sz w:val="24"/>
                <w:szCs w:val="24"/>
                <w:highlight w:val="none"/>
                <w:lang w:val="en-US" w:eastAsia="zh-CN"/>
              </w:rPr>
              <w:t>输送设备送入</w:t>
            </w:r>
            <w:r>
              <w:rPr>
                <w:rFonts w:hint="eastAsia" w:cs="Times New Roman"/>
                <w:b w:val="0"/>
                <w:bCs w:val="0"/>
                <w:color w:val="auto"/>
                <w:sz w:val="24"/>
                <w:szCs w:val="24"/>
                <w:highlight w:val="none"/>
                <w:lang w:val="en-US" w:eastAsia="zh-CN"/>
              </w:rPr>
              <w:t>浸出</w:t>
            </w:r>
            <w:r>
              <w:rPr>
                <w:rFonts w:hint="eastAsia" w:ascii="Times New Roman" w:hAnsi="Times New Roman" w:eastAsia="宋体" w:cs="Times New Roman"/>
                <w:b w:val="0"/>
                <w:bCs w:val="0"/>
                <w:color w:val="auto"/>
                <w:sz w:val="24"/>
                <w:szCs w:val="24"/>
                <w:highlight w:val="none"/>
                <w:lang w:val="en-US" w:eastAsia="zh-CN"/>
              </w:rPr>
              <w:t>车间。项目软化、蒸和烘干工序所用热源均为</w:t>
            </w:r>
            <w:r>
              <w:rPr>
                <w:rFonts w:hint="eastAsia" w:cs="Times New Roman"/>
                <w:b w:val="0"/>
                <w:bCs w:val="0"/>
                <w:color w:val="auto"/>
                <w:sz w:val="24"/>
                <w:szCs w:val="24"/>
                <w:highlight w:val="none"/>
                <w:lang w:val="en-US" w:eastAsia="zh-CN"/>
              </w:rPr>
              <w:t>厂区15t燃气锅炉供热</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园区现有燃气管网供气</w:t>
            </w:r>
            <w:r>
              <w:rPr>
                <w:rFonts w:hint="eastAsia" w:ascii="Times New Roman" w:hAnsi="Times New Roman" w:eastAsia="宋体" w:cs="Times New Roman"/>
                <w:b w:val="0"/>
                <w:bCs w:val="0"/>
                <w:color w:val="auto"/>
                <w:sz w:val="24"/>
                <w:szCs w:val="24"/>
                <w:lang w:val="en-US" w:eastAsia="zh-CN"/>
              </w:rPr>
              <w:t>。</w:t>
            </w:r>
          </w:p>
          <w:p w14:paraId="07FC1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cs="Times New Roman"/>
                <w:b w:val="0"/>
                <w:bCs w:val="0"/>
                <w:color w:val="auto"/>
                <w:sz w:val="24"/>
                <w:szCs w:val="24"/>
                <w:lang w:val="en-US" w:eastAsia="zh-CN"/>
              </w:rPr>
            </w:pPr>
            <w:r>
              <w:rPr>
                <w:rFonts w:hint="eastAsia" w:cs="Times New Roman"/>
                <w:b/>
                <w:bCs/>
                <w:color w:val="auto"/>
                <w:sz w:val="24"/>
                <w:szCs w:val="24"/>
                <w:lang w:val="en-US" w:eastAsia="zh-CN"/>
              </w:rPr>
              <w:t>此工序产污环节：</w:t>
            </w:r>
            <w:r>
              <w:rPr>
                <w:rFonts w:hint="eastAsia" w:cs="Times New Roman"/>
                <w:b w:val="0"/>
                <w:bCs w:val="0"/>
                <w:color w:val="auto"/>
                <w:sz w:val="24"/>
                <w:szCs w:val="24"/>
                <w:lang w:val="en-US" w:eastAsia="zh-CN"/>
              </w:rPr>
              <w:t>清籽、破碎剥壳会产生粉尘（颗粒物、棉绒粉尘产生）；软化产生臭气浓度。</w:t>
            </w:r>
          </w:p>
          <w:p w14:paraId="5066458F">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eastAsia"/>
                <w:lang w:val="en-US" w:eastAsia="zh-CN"/>
              </w:rPr>
            </w:pPr>
            <w:r>
              <w:rPr>
                <w:rFonts w:hint="eastAsia" w:cs="Times New Roman"/>
                <w:b/>
                <w:bCs/>
                <w:color w:val="auto"/>
                <w:sz w:val="24"/>
                <w:szCs w:val="24"/>
                <w:lang w:val="en-US" w:eastAsia="zh-CN"/>
              </w:rPr>
              <w:t>此工序排放去向：</w:t>
            </w:r>
            <w:r>
              <w:rPr>
                <w:rFonts w:hint="eastAsia" w:cs="Times New Roman"/>
                <w:b w:val="0"/>
                <w:bCs w:val="0"/>
                <w:color w:val="auto"/>
                <w:sz w:val="24"/>
                <w:szCs w:val="24"/>
                <w:lang w:val="en-US" w:eastAsia="zh-CN"/>
              </w:rPr>
              <w:t>粉尘通过中央集尘系统+多管旋风除尘器+15m高排气筒外排（DA003）；除尘器少量棉絮回收重新打包外售；臭气浓度通过二级活性炭+15m高排气筒排放。</w:t>
            </w:r>
          </w:p>
          <w:p w14:paraId="69233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浸出车间</w:t>
            </w:r>
          </w:p>
          <w:p w14:paraId="4DCCC920">
            <w:pPr>
              <w:rPr>
                <w:rFonts w:hint="eastAsia"/>
                <w:lang w:val="en-US" w:eastAsia="zh-CN"/>
              </w:rPr>
            </w:pPr>
            <w:r>
              <w:rPr>
                <w:rFonts w:hint="eastAsia"/>
                <w:lang w:val="en-US" w:eastAsia="zh-CN"/>
              </w:rPr>
              <w:drawing>
                <wp:inline distT="0" distB="0" distL="114300" distR="114300">
                  <wp:extent cx="4777105" cy="3543935"/>
                  <wp:effectExtent l="0" t="0" r="0" b="0"/>
                  <wp:docPr id="31"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6" descr="wps"/>
                          <pic:cNvPicPr>
                            <a:picLocks noChangeAspect="1"/>
                          </pic:cNvPicPr>
                        </pic:nvPicPr>
                        <pic:blipFill>
                          <a:blip r:embed="rId10"/>
                          <a:stretch>
                            <a:fillRect/>
                          </a:stretch>
                        </pic:blipFill>
                        <pic:spPr>
                          <a:xfrm>
                            <a:off x="0" y="0"/>
                            <a:ext cx="4777105" cy="3543935"/>
                          </a:xfrm>
                          <a:prstGeom prst="rect">
                            <a:avLst/>
                          </a:prstGeom>
                        </pic:spPr>
                      </pic:pic>
                    </a:graphicData>
                  </a:graphic>
                </wp:inline>
              </w:drawing>
            </w:r>
          </w:p>
          <w:p w14:paraId="25D07F6F">
            <w:pPr>
              <w:pStyle w:val="26"/>
              <w:numPr>
                <w:ilvl w:val="0"/>
                <w:numId w:val="0"/>
              </w:num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color w:val="000000"/>
                <w:kern w:val="2"/>
                <w:sz w:val="21"/>
                <w:szCs w:val="21"/>
                <w:lang w:val="en-US" w:eastAsia="zh-CN" w:bidi="ar-SA"/>
              </w:rPr>
              <w:t>图6   浸出车间棉籽油生产工艺流程图</w:t>
            </w:r>
          </w:p>
          <w:p w14:paraId="0A41A4A4">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eastAsia" w:ascii="Times New Roman" w:hAnsi="Times New Roman" w:eastAsia="宋体" w:cs="Times New Roman"/>
                <w:b w:val="0"/>
                <w:bCs w:val="0"/>
                <w:color w:val="auto"/>
                <w:sz w:val="24"/>
                <w:szCs w:val="24"/>
                <w:lang w:val="en-US" w:eastAsia="zh-CN"/>
              </w:rPr>
              <w:t>（1）毛油生产工艺</w:t>
            </w:r>
          </w:p>
          <w:p w14:paraId="7D12B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原料预处理：原料经清理除杂（去除砂石、杂质）、破碎/</w:t>
            </w:r>
            <w:r>
              <w:rPr>
                <w:rFonts w:hint="eastAsia" w:cs="Times New Roman"/>
                <w:b w:val="0"/>
                <w:bCs w:val="0"/>
                <w:color w:val="auto"/>
                <w:sz w:val="24"/>
                <w:szCs w:val="24"/>
                <w:lang w:val="en-US" w:eastAsia="zh-CN"/>
              </w:rPr>
              <w:t>轧坯</w:t>
            </w:r>
            <w:r>
              <w:rPr>
                <w:rFonts w:hint="default" w:ascii="Times New Roman" w:hAnsi="Times New Roman" w:eastAsia="宋体" w:cs="Times New Roman"/>
                <w:b w:val="0"/>
                <w:bCs w:val="0"/>
                <w:color w:val="auto"/>
                <w:sz w:val="24"/>
                <w:szCs w:val="24"/>
                <w:lang w:val="en-US" w:eastAsia="zh-CN"/>
              </w:rPr>
              <w:t>（油料轧成薄胚，增大接触面积）、调质（控制水分10%-12%、温度40-60℃），确保后续萃取效率；预处理后原料通过密闭刮板输送机送入浸出器，避免粉尘污染与溶剂挥发。</w:t>
            </w:r>
          </w:p>
          <w:p w14:paraId="0259D1B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②</w:t>
            </w:r>
            <w:r>
              <w:rPr>
                <w:rFonts w:hint="default" w:ascii="Times New Roman" w:hAnsi="Times New Roman" w:eastAsia="宋体" w:cs="Times New Roman"/>
                <w:b w:val="0"/>
                <w:bCs w:val="0"/>
                <w:color w:val="auto"/>
                <w:sz w:val="24"/>
                <w:szCs w:val="24"/>
                <w:lang w:val="en-US" w:eastAsia="zh-CN"/>
              </w:rPr>
              <w:t>逆流萃取工序：预处理原料进入连续式浸出器，与溶剂按料液比1:6-1:8逆流接触，在40-50℃、常压（或微负压）下萃取2-4小时，目标组分充分溶解于溶剂中，形成“混合油”，剩余固体为“湿粕”。</w:t>
            </w:r>
          </w:p>
          <w:p w14:paraId="7C48C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③</w:t>
            </w:r>
            <w:r>
              <w:rPr>
                <w:rFonts w:hint="default" w:ascii="Times New Roman" w:hAnsi="Times New Roman" w:eastAsia="宋体" w:cs="Times New Roman"/>
                <w:b w:val="0"/>
                <w:bCs w:val="0"/>
                <w:color w:val="auto"/>
                <w:sz w:val="24"/>
                <w:szCs w:val="24"/>
                <w:lang w:val="en-US" w:eastAsia="zh-CN"/>
              </w:rPr>
              <w:t>混合油分离提纯：混合油经初滤去除固体杂质后，进入蒸发系统（一效、二效蒸发器），在60-80℃、负压条件下蒸发脱溶，溶剂汽化回收，混合油浓度提升至90℃以上；随后进入汽提塔，用直接蒸汽吹扫，去除残留溶剂，得到成品油，溶剂残留量控制在国家标准限值内。</w:t>
            </w:r>
          </w:p>
          <w:p w14:paraId="356328E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④</w:t>
            </w:r>
            <w:r>
              <w:rPr>
                <w:rFonts w:hint="default" w:ascii="Times New Roman" w:hAnsi="Times New Roman" w:eastAsia="宋体" w:cs="Times New Roman"/>
                <w:b w:val="0"/>
                <w:bCs w:val="0"/>
                <w:color w:val="auto"/>
                <w:sz w:val="24"/>
                <w:szCs w:val="24"/>
                <w:lang w:val="en-US" w:eastAsia="zh-CN"/>
              </w:rPr>
              <w:t>粕脱溶处理：浸出后的湿粕（含溶剂15%-20%）送入盘式烘干机，在105-110℃下烘干30-60分钟，脱除残留溶剂；脱溶后粕经冷却（降至40℃以下）、粉碎，得到棉籽粕，溶剂残留达标后包装储存。</w:t>
            </w:r>
          </w:p>
          <w:p w14:paraId="004E82A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⑤</w:t>
            </w:r>
            <w:r>
              <w:rPr>
                <w:rFonts w:hint="default" w:ascii="Times New Roman" w:hAnsi="Times New Roman" w:eastAsia="宋体" w:cs="Times New Roman"/>
                <w:b w:val="0"/>
                <w:bCs w:val="0"/>
                <w:color w:val="auto"/>
                <w:sz w:val="24"/>
                <w:szCs w:val="24"/>
                <w:lang w:val="en-US" w:eastAsia="zh-CN"/>
              </w:rPr>
              <w:t>溶剂回收循环：蒸发、汽提、蒸脱过程中汽化的溶剂蒸汽，经冷凝器冷凝为液态，再通过分相器分离水分，回收的溶剂（纯度≥99.5%）返回萃取工序循环使用；少量不凝性气体经尾气吸收塔处理，达标后排放，避免溶剂泄漏与安全风险。</w:t>
            </w:r>
            <w:r>
              <w:rPr>
                <w:rFonts w:hint="eastAsia" w:cs="Times New Roman"/>
                <w:b w:val="0"/>
                <w:bCs w:val="0"/>
                <w:color w:val="auto"/>
                <w:sz w:val="24"/>
                <w:szCs w:val="24"/>
                <w:lang w:val="en-US" w:eastAsia="zh-CN"/>
              </w:rPr>
              <w:t>⑥</w:t>
            </w:r>
            <w:r>
              <w:rPr>
                <w:rFonts w:hint="default" w:ascii="Times New Roman" w:hAnsi="Times New Roman" w:eastAsia="宋体" w:cs="Times New Roman"/>
                <w:b w:val="0"/>
                <w:bCs w:val="0"/>
                <w:color w:val="auto"/>
                <w:sz w:val="24"/>
                <w:szCs w:val="24"/>
                <w:lang w:val="en-US" w:eastAsia="zh-CN"/>
              </w:rPr>
              <w:t>脱酚后，棉酚控制在400ppm以内，进入精馏塔蒸煮回收。</w:t>
            </w:r>
          </w:p>
          <w:p w14:paraId="3B065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cs="Times New Roman"/>
                <w:b w:val="0"/>
                <w:bCs w:val="0"/>
                <w:color w:val="auto"/>
                <w:sz w:val="24"/>
                <w:szCs w:val="24"/>
                <w:highlight w:val="yellow"/>
                <w:lang w:val="en-US" w:eastAsia="zh-CN"/>
              </w:rPr>
            </w:pPr>
            <w:r>
              <w:rPr>
                <w:rFonts w:hint="eastAsia" w:cs="Times New Roman"/>
                <w:b/>
                <w:bCs/>
                <w:color w:val="auto"/>
                <w:sz w:val="24"/>
                <w:szCs w:val="24"/>
                <w:lang w:val="en-US" w:eastAsia="zh-CN"/>
              </w:rPr>
              <w:t>此工序产污环节：</w:t>
            </w:r>
            <w:r>
              <w:rPr>
                <w:rFonts w:hint="eastAsia" w:cs="Times New Roman"/>
                <w:b w:val="0"/>
                <w:bCs w:val="0"/>
                <w:color w:val="auto"/>
                <w:sz w:val="24"/>
                <w:szCs w:val="24"/>
                <w:lang w:val="en-US" w:eastAsia="zh-CN"/>
              </w:rPr>
              <w:t>一蒸、二蒸、汽提会产生溶剂气体（非甲烷总烃）；</w:t>
            </w:r>
            <w:r>
              <w:rPr>
                <w:rFonts w:hint="eastAsia" w:cs="Times New Roman"/>
                <w:b w:val="0"/>
                <w:bCs w:val="0"/>
                <w:color w:val="auto"/>
                <w:sz w:val="24"/>
                <w:szCs w:val="24"/>
                <w:highlight w:val="none"/>
                <w:lang w:val="en-US" w:eastAsia="zh-CN"/>
              </w:rPr>
              <w:t>冷凝过程会产生溶剂不凝气（非甲烷总烃）。</w:t>
            </w:r>
          </w:p>
          <w:p w14:paraId="72149982">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bCs/>
                <w:color w:val="auto"/>
                <w:sz w:val="24"/>
                <w:szCs w:val="24"/>
                <w:lang w:val="en-US" w:eastAsia="zh-CN"/>
              </w:rPr>
              <w:t>此工序排放去向：</w:t>
            </w:r>
            <w:r>
              <w:rPr>
                <w:rFonts w:hint="eastAsia" w:cs="Times New Roman"/>
                <w:b w:val="0"/>
                <w:bCs w:val="0"/>
                <w:color w:val="auto"/>
                <w:sz w:val="24"/>
                <w:szCs w:val="24"/>
                <w:lang w:val="en-US" w:eastAsia="zh-CN"/>
              </w:rPr>
              <w:t>溶剂气体通过冷凝法溶剂重新回收利用，冷凝过程中产生的不凝气体通过冷冻法+15m高排气筒外排（DA004）；</w:t>
            </w:r>
            <w:r>
              <w:rPr>
                <w:rFonts w:hint="eastAsia" w:ascii="Times New Roman" w:hAnsi="Times New Roman" w:eastAsia="宋体" w:cs="Times New Roman"/>
                <w:b w:val="0"/>
                <w:bCs w:val="0"/>
                <w:color w:val="auto"/>
                <w:kern w:val="2"/>
                <w:sz w:val="24"/>
                <w:szCs w:val="24"/>
                <w:lang w:val="en-US" w:eastAsia="zh-CN" w:bidi="ar-SA"/>
              </w:rPr>
              <w:t>离心废水</w:t>
            </w:r>
            <w:r>
              <w:rPr>
                <w:rFonts w:hint="eastAsia" w:cs="Times New Roman"/>
                <w:b w:val="0"/>
                <w:bCs w:val="0"/>
                <w:color w:val="auto"/>
                <w:kern w:val="2"/>
                <w:sz w:val="24"/>
                <w:szCs w:val="24"/>
                <w:lang w:val="en-US" w:eastAsia="zh-CN" w:bidi="ar-SA"/>
              </w:rPr>
              <w:t>排入封水池内，废水排入污水处理站处理后排入园区管网（DW001）。</w:t>
            </w:r>
          </w:p>
          <w:p w14:paraId="1600B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4 精炼</w:t>
            </w:r>
            <w:r>
              <w:rPr>
                <w:rFonts w:hint="default" w:ascii="Times New Roman" w:hAnsi="Times New Roman" w:eastAsia="宋体" w:cs="Times New Roman"/>
                <w:b/>
                <w:bCs/>
                <w:color w:val="auto"/>
                <w:sz w:val="24"/>
                <w:szCs w:val="24"/>
                <w:lang w:val="en-US" w:eastAsia="zh-CN"/>
              </w:rPr>
              <w:t>车间</w:t>
            </w:r>
          </w:p>
          <w:p w14:paraId="601EA7C8">
            <w:pPr>
              <w:pStyle w:val="26"/>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（1）三级油生产工艺</w:t>
            </w:r>
          </w:p>
          <w:p w14:paraId="3C64DDD3">
            <w:pPr>
              <w:pStyle w:val="20"/>
              <w:ind w:left="0" w:leftChars="0" w:firstLine="0" w:firstLineChars="0"/>
              <w:rPr>
                <w:rFonts w:hint="eastAsia"/>
                <w:lang w:val="en-US" w:eastAsia="zh-CN"/>
              </w:rPr>
            </w:pPr>
            <w:r>
              <w:rPr>
                <w:rFonts w:hint="eastAsia"/>
                <w:lang w:val="en-US" w:eastAsia="zh-CN"/>
              </w:rPr>
              <w:drawing>
                <wp:inline distT="0" distB="0" distL="114300" distR="114300">
                  <wp:extent cx="4828540" cy="1931670"/>
                  <wp:effectExtent l="0" t="0" r="0" b="0"/>
                  <wp:docPr id="11"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7" descr="wps"/>
                          <pic:cNvPicPr>
                            <a:picLocks noChangeAspect="1"/>
                          </pic:cNvPicPr>
                        </pic:nvPicPr>
                        <pic:blipFill>
                          <a:blip r:embed="rId11"/>
                          <a:stretch>
                            <a:fillRect/>
                          </a:stretch>
                        </pic:blipFill>
                        <pic:spPr>
                          <a:xfrm>
                            <a:off x="0" y="0"/>
                            <a:ext cx="4828540" cy="1931670"/>
                          </a:xfrm>
                          <a:prstGeom prst="rect">
                            <a:avLst/>
                          </a:prstGeom>
                        </pic:spPr>
                      </pic:pic>
                    </a:graphicData>
                  </a:graphic>
                </wp:inline>
              </w:drawing>
            </w:r>
          </w:p>
          <w:p w14:paraId="1822BC65">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bCs/>
                <w:color w:val="auto"/>
                <w:sz w:val="21"/>
                <w:szCs w:val="21"/>
                <w:lang w:val="en-US" w:eastAsia="zh-CN"/>
              </w:rPr>
              <w:t>图8   精炼车间三级油生产工艺流程图</w:t>
            </w:r>
          </w:p>
          <w:p w14:paraId="24C17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cs="Times New Roman"/>
                <w:b w:val="0"/>
                <w:bCs w:val="0"/>
                <w:color w:val="auto"/>
                <w:kern w:val="2"/>
                <w:sz w:val="24"/>
                <w:szCs w:val="24"/>
                <w:highlight w:val="none"/>
                <w:shd w:val="clear"/>
                <w:lang w:val="en-US" w:eastAsia="zh-CN" w:bidi="ar-SA"/>
              </w:rPr>
            </w:pPr>
            <w:r>
              <w:rPr>
                <w:rFonts w:hint="eastAsia" w:cs="Times New Roman"/>
                <w:b w:val="0"/>
                <w:bCs w:val="0"/>
                <w:color w:val="auto"/>
                <w:kern w:val="2"/>
                <w:sz w:val="24"/>
                <w:szCs w:val="24"/>
                <w:highlight w:val="none"/>
                <w:shd w:val="clear"/>
                <w:lang w:val="en-US" w:eastAsia="zh-CN" w:bidi="ar-SA"/>
              </w:rPr>
              <w:t>①碱炼脱酸+初步脱棉酚：加液碱（NaOH，浓度10%~16%），70~75℃中和游离脂肪酸，同时碱与棉酚结合生成酚盐，随皂脚分离，完成初步脱棉酚。</w:t>
            </w:r>
          </w:p>
          <w:p w14:paraId="49071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cs="Times New Roman"/>
                <w:b w:val="0"/>
                <w:bCs w:val="0"/>
                <w:color w:val="auto"/>
                <w:kern w:val="2"/>
                <w:sz w:val="24"/>
                <w:szCs w:val="24"/>
                <w:highlight w:val="none"/>
                <w:shd w:val="clear"/>
                <w:lang w:val="en-US" w:eastAsia="zh-CN" w:bidi="ar-SA"/>
              </w:rPr>
            </w:pPr>
            <w:r>
              <w:rPr>
                <w:rFonts w:hint="eastAsia" w:cs="Times New Roman"/>
                <w:b w:val="0"/>
                <w:bCs w:val="0"/>
                <w:color w:val="auto"/>
                <w:kern w:val="2"/>
                <w:sz w:val="24"/>
                <w:szCs w:val="24"/>
                <w:highlight w:val="none"/>
                <w:shd w:val="clear"/>
                <w:lang w:val="en-US" w:eastAsia="zh-CN" w:bidi="ar-SA"/>
              </w:rPr>
              <w:t>②皂脚分离+水洗脱皂：离心分离皂脚后，用80~85℃软水水洗2~3次，每次加水量10%~15%，去除残留皂脚和酚盐。</w:t>
            </w:r>
          </w:p>
          <w:p w14:paraId="2DDEA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cs="Times New Roman"/>
                <w:b w:val="0"/>
                <w:bCs w:val="0"/>
                <w:color w:val="auto"/>
                <w:kern w:val="2"/>
                <w:sz w:val="24"/>
                <w:szCs w:val="24"/>
                <w:highlight w:val="none"/>
                <w:shd w:val="clear"/>
                <w:lang w:val="en-US" w:eastAsia="zh-CN" w:bidi="ar-SA"/>
              </w:rPr>
            </w:pPr>
            <w:r>
              <w:rPr>
                <w:rFonts w:hint="eastAsia" w:cs="Times New Roman"/>
                <w:b w:val="0"/>
                <w:bCs w:val="0"/>
                <w:color w:val="auto"/>
                <w:kern w:val="2"/>
                <w:sz w:val="24"/>
                <w:szCs w:val="24"/>
                <w:highlight w:val="none"/>
                <w:shd w:val="clear"/>
                <w:lang w:val="en-US" w:eastAsia="zh-CN" w:bidi="ar-SA"/>
              </w:rPr>
              <w:t>③脱溶干燥：真空度-0.09MPa以上，130~140℃干燥，水分含量降至0.05%以下，后得到成品三级油。</w:t>
            </w:r>
          </w:p>
          <w:p w14:paraId="390E5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此工序产污环节：</w:t>
            </w:r>
            <w:r>
              <w:rPr>
                <w:rFonts w:hint="eastAsia" w:cs="Times New Roman"/>
                <w:b w:val="0"/>
                <w:bCs w:val="0"/>
                <w:color w:val="auto"/>
                <w:sz w:val="24"/>
                <w:szCs w:val="24"/>
                <w:highlight w:val="none"/>
                <w:lang w:val="en-US" w:eastAsia="zh-CN"/>
              </w:rPr>
              <w:t>水洗产生的污水；离心分离、水洗会产生噪声。</w:t>
            </w:r>
          </w:p>
          <w:p w14:paraId="669C5678">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此工序排放去向：</w:t>
            </w:r>
            <w:r>
              <w:rPr>
                <w:rFonts w:hint="eastAsia" w:cs="Times New Roman"/>
                <w:b w:val="0"/>
                <w:bCs w:val="0"/>
                <w:color w:val="auto"/>
                <w:sz w:val="24"/>
                <w:szCs w:val="24"/>
                <w:highlight w:val="none"/>
                <w:lang w:val="en-US" w:eastAsia="zh-CN"/>
              </w:rPr>
              <w:t>溶剂气体重新回收利用，水洗污水排入污水处理站，循环水池污水排入污水站。</w:t>
            </w:r>
          </w:p>
          <w:p w14:paraId="2DF93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1.5 污水处理站</w:t>
            </w:r>
          </w:p>
          <w:p w14:paraId="775F6863">
            <w:pPr>
              <w:widowControl w:val="0"/>
              <w:numPr>
                <w:ilvl w:val="0"/>
                <w:numId w:val="2"/>
              </w:numPr>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污水处理站工艺流程</w:t>
            </w:r>
          </w:p>
          <w:p w14:paraId="789332DF">
            <w:pPr>
              <w:widowControl w:val="0"/>
              <w:numPr>
                <w:ilvl w:val="0"/>
                <w:numId w:val="0"/>
              </w:numPr>
              <w:spacing w:line="360" w:lineRule="auto"/>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drawing>
                <wp:inline distT="0" distB="0" distL="114300" distR="114300">
                  <wp:extent cx="4778375" cy="959485"/>
                  <wp:effectExtent l="0" t="0" r="0" b="0"/>
                  <wp:docPr id="4"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8" descr="wps"/>
                          <pic:cNvPicPr>
                            <a:picLocks noChangeAspect="1"/>
                          </pic:cNvPicPr>
                        </pic:nvPicPr>
                        <pic:blipFill>
                          <a:blip r:embed="rId12"/>
                          <a:stretch>
                            <a:fillRect/>
                          </a:stretch>
                        </pic:blipFill>
                        <pic:spPr>
                          <a:xfrm>
                            <a:off x="0" y="0"/>
                            <a:ext cx="4778375" cy="959485"/>
                          </a:xfrm>
                          <a:prstGeom prst="rect">
                            <a:avLst/>
                          </a:prstGeom>
                        </pic:spPr>
                      </pic:pic>
                    </a:graphicData>
                  </a:graphic>
                </wp:inline>
              </w:drawing>
            </w:r>
          </w:p>
          <w:p w14:paraId="12FB9205">
            <w:pPr>
              <w:keepNext w:val="0"/>
              <w:keepLines w:val="0"/>
              <w:pageBreakBefore w:val="0"/>
              <w:widowControl/>
              <w:kinsoku/>
              <w:wordWrap/>
              <w:overflowPunct/>
              <w:topLinePunct w:val="0"/>
              <w:autoSpaceDE/>
              <w:autoSpaceDN/>
              <w:bidi w:val="0"/>
              <w:adjustRightInd w:val="0"/>
              <w:snapToGrid/>
              <w:spacing w:line="360" w:lineRule="auto"/>
              <w:ind w:firstLine="422" w:firstLineChars="20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kern w:val="0"/>
                <w:sz w:val="21"/>
                <w:szCs w:val="21"/>
                <w:lang w:bidi="ar"/>
              </w:rPr>
              <w:t>图</w:t>
            </w:r>
            <w:r>
              <w:rPr>
                <w:rFonts w:hint="eastAsia" w:ascii="Times New Roman" w:hAnsi="Times New Roman" w:cs="Times New Roman"/>
                <w:b/>
                <w:bCs/>
                <w:color w:val="auto"/>
                <w:kern w:val="0"/>
                <w:sz w:val="21"/>
                <w:szCs w:val="21"/>
                <w:lang w:val="en-US" w:eastAsia="zh-CN" w:bidi="ar"/>
              </w:rPr>
              <w:t>9</w:t>
            </w:r>
            <w:r>
              <w:rPr>
                <w:rFonts w:hint="default" w:ascii="Times New Roman" w:hAnsi="Times New Roman" w:eastAsia="宋体" w:cs="Times New Roman"/>
                <w:b/>
                <w:bCs/>
                <w:color w:val="auto"/>
                <w:kern w:val="0"/>
                <w:sz w:val="21"/>
                <w:szCs w:val="21"/>
                <w:lang w:bidi="ar"/>
              </w:rPr>
              <w:t xml:space="preserve">   </w:t>
            </w:r>
            <w:r>
              <w:rPr>
                <w:rFonts w:hint="eastAsia" w:ascii="Times New Roman" w:hAnsi="Times New Roman" w:cs="Times New Roman"/>
                <w:b/>
                <w:bCs/>
                <w:color w:val="auto"/>
                <w:kern w:val="0"/>
                <w:sz w:val="21"/>
                <w:szCs w:val="21"/>
                <w:lang w:val="en-US" w:eastAsia="zh-CN" w:bidi="ar"/>
              </w:rPr>
              <w:t>污水处理站</w:t>
            </w:r>
            <w:r>
              <w:rPr>
                <w:rFonts w:hint="default" w:ascii="Times New Roman" w:hAnsi="Times New Roman" w:eastAsia="宋体" w:cs="Times New Roman"/>
                <w:b/>
                <w:bCs/>
                <w:color w:val="auto"/>
                <w:kern w:val="0"/>
                <w:sz w:val="21"/>
                <w:szCs w:val="21"/>
                <w:lang w:bidi="ar"/>
              </w:rPr>
              <w:t>运营期</w:t>
            </w:r>
            <w:r>
              <w:rPr>
                <w:rFonts w:hint="eastAsia" w:ascii="Times New Roman" w:hAnsi="Times New Roman" w:cs="Times New Roman"/>
                <w:b/>
                <w:bCs/>
                <w:color w:val="auto"/>
                <w:kern w:val="0"/>
                <w:sz w:val="21"/>
                <w:szCs w:val="21"/>
                <w:lang w:val="en-US" w:eastAsia="zh-CN" w:bidi="ar"/>
              </w:rPr>
              <w:t>污水处理</w:t>
            </w:r>
            <w:r>
              <w:rPr>
                <w:rFonts w:hint="eastAsia" w:cs="Times New Roman"/>
                <w:b/>
                <w:bCs/>
                <w:color w:val="auto"/>
                <w:sz w:val="21"/>
                <w:szCs w:val="21"/>
                <w:lang w:val="en-US" w:eastAsia="zh-CN"/>
              </w:rPr>
              <w:t>工艺流程图</w:t>
            </w:r>
          </w:p>
          <w:p w14:paraId="11096545">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cs="Times New Roman"/>
                <w:b w:val="0"/>
                <w:bCs w:val="0"/>
                <w:color w:val="auto"/>
                <w:kern w:val="0"/>
                <w:sz w:val="24"/>
                <w:szCs w:val="24"/>
                <w:lang w:val="en-US" w:eastAsia="zh-CN" w:bidi="ar"/>
              </w:rPr>
              <w:t>①</w:t>
            </w:r>
            <w:r>
              <w:rPr>
                <w:rFonts w:hint="eastAsia" w:ascii="Times New Roman" w:hAnsi="Times New Roman" w:eastAsia="宋体" w:cs="Times New Roman"/>
                <w:b w:val="0"/>
                <w:bCs w:val="0"/>
                <w:color w:val="auto"/>
                <w:kern w:val="0"/>
                <w:sz w:val="24"/>
                <w:szCs w:val="24"/>
                <w:lang w:bidi="ar"/>
              </w:rPr>
              <w:t>污水一级处理</w:t>
            </w:r>
            <w:r>
              <w:rPr>
                <w:rFonts w:hint="default" w:ascii="Times New Roman" w:hAnsi="Times New Roman" w:eastAsia="宋体" w:cs="Times New Roman"/>
                <w:b w:val="0"/>
                <w:bCs w:val="0"/>
                <w:color w:val="auto"/>
                <w:kern w:val="0"/>
                <w:sz w:val="24"/>
                <w:szCs w:val="24"/>
                <w:lang w:bidi="ar"/>
              </w:rPr>
              <w:t>：</w:t>
            </w:r>
            <w:r>
              <w:rPr>
                <w:rFonts w:hint="eastAsia" w:ascii="Times New Roman" w:hAnsi="Times New Roman" w:eastAsia="宋体" w:cs="Times New Roman"/>
                <w:color w:val="auto"/>
                <w:kern w:val="0"/>
                <w:sz w:val="24"/>
                <w:szCs w:val="24"/>
                <w:lang w:bidi="ar"/>
              </w:rPr>
              <w:t>通过简单的沉淀、过滤或适当的曝气，以去除污水中的悬浮物和部分悬浮态的污染物（包括油膜和油珠），调整pH值及减轻污水的腐化程度。处理方法一般有筛滤法、重力沉淀法、浮选和预曝气法等串联组成，除去污水中大部分粒径在100微米以上的颗粒物；筛滤可除去较大物质；重力沉淀可除去无机颗粒和相对密度大于1的有凝聚性的有机颗粒；浮选可除去相对密度小于1的颗粒物（油类等）。使用的处理设备和方法主要有格栅、筛网、沉淀（沉砂）、过滤、微滤、气浮、离心（旋流）分离等。废水经过一级处理后一般仍达不到排放标准</w:t>
            </w:r>
            <w:r>
              <w:rPr>
                <w:rFonts w:hint="eastAsia" w:ascii="Times New Roman" w:hAnsi="Times New Roman" w:cs="Times New Roman"/>
                <w:color w:val="auto"/>
                <w:kern w:val="0"/>
                <w:sz w:val="24"/>
                <w:szCs w:val="24"/>
                <w:lang w:eastAsia="zh-CN" w:bidi="ar"/>
              </w:rPr>
              <w:t>。</w:t>
            </w:r>
          </w:p>
          <w:p w14:paraId="30DB10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eastAsia="zh-CN" w:bidi="ar"/>
              </w:rPr>
            </w:pPr>
            <w:r>
              <w:rPr>
                <w:rFonts w:hint="eastAsia" w:ascii="Times New Roman" w:hAnsi="Times New Roman" w:cs="Times New Roman"/>
                <w:b w:val="0"/>
                <w:bCs w:val="0"/>
                <w:color w:val="auto"/>
                <w:kern w:val="0"/>
                <w:sz w:val="24"/>
                <w:szCs w:val="24"/>
                <w:lang w:val="en-US" w:eastAsia="zh-CN" w:bidi="ar"/>
              </w:rPr>
              <w:t>②</w:t>
            </w:r>
            <w:r>
              <w:rPr>
                <w:rFonts w:hint="eastAsia" w:ascii="Times New Roman" w:hAnsi="Times New Roman" w:eastAsia="宋体" w:cs="Times New Roman"/>
                <w:b w:val="0"/>
                <w:bCs w:val="0"/>
                <w:color w:val="auto"/>
                <w:kern w:val="0"/>
                <w:sz w:val="24"/>
                <w:szCs w:val="24"/>
                <w:lang w:bidi="ar"/>
              </w:rPr>
              <w:t>污水二级处理</w:t>
            </w:r>
            <w:r>
              <w:rPr>
                <w:rFonts w:hint="default" w:ascii="Times New Roman" w:hAnsi="Times New Roman" w:eastAsia="宋体" w:cs="Times New Roman"/>
                <w:b w:val="0"/>
                <w:bCs w:val="0"/>
                <w:color w:val="auto"/>
                <w:kern w:val="0"/>
                <w:sz w:val="24"/>
                <w:szCs w:val="24"/>
                <w:lang w:bidi="ar"/>
              </w:rPr>
              <w:t>：</w:t>
            </w:r>
            <w:r>
              <w:rPr>
                <w:rFonts w:hint="eastAsia" w:ascii="Times New Roman" w:hAnsi="Times New Roman" w:eastAsia="宋体" w:cs="Times New Roman"/>
                <w:color w:val="auto"/>
                <w:kern w:val="0"/>
                <w:sz w:val="24"/>
                <w:szCs w:val="24"/>
                <w:lang w:bidi="ar"/>
              </w:rPr>
              <w:t>污水经过一级处理后，在对污水中胶体和溶解性有机物的净化过程，常用生物法和絮凝法。生物法是利用微生物处理污水，主要除去一级处理后污水中的有机物，可分为好氧生物处理法和厌氧生物处理法，如活性污泥、生物滤池、生物转盘、污水灌溉、氧化塘；絮凝法是通过加絮凝剂破坏胶体的稳定性，使胶体粒子发生凝絮，产生絮凝物而发生吸附作用，主要是去除一级处理后污水中无机的悬浮物和胶体颗粒物或低浓度的有机物。二级处理主要用来充分去除人类排泄物、食物渣滓、肥皂水和洗涤水中的生物含量</w:t>
            </w:r>
            <w:r>
              <w:rPr>
                <w:rFonts w:hint="eastAsia" w:ascii="Times New Roman" w:hAnsi="Times New Roman" w:cs="Times New Roman"/>
                <w:color w:val="auto"/>
                <w:kern w:val="0"/>
                <w:sz w:val="24"/>
                <w:szCs w:val="24"/>
                <w:lang w:eastAsia="zh-CN" w:bidi="ar"/>
              </w:rPr>
              <w:t>。</w:t>
            </w:r>
          </w:p>
          <w:p w14:paraId="0BE6F45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bidi="ar"/>
              </w:rPr>
            </w:pPr>
            <w:r>
              <w:rPr>
                <w:rFonts w:hint="eastAsia" w:ascii="Times New Roman" w:hAnsi="Times New Roman" w:cs="Times New Roman"/>
                <w:b w:val="0"/>
                <w:bCs w:val="0"/>
                <w:color w:val="auto"/>
                <w:kern w:val="0"/>
                <w:sz w:val="24"/>
                <w:szCs w:val="24"/>
                <w:lang w:val="en-US" w:eastAsia="zh-CN" w:bidi="ar"/>
              </w:rPr>
              <w:t>③SBR</w:t>
            </w:r>
            <w:r>
              <w:rPr>
                <w:rFonts w:hint="default" w:ascii="Times New Roman" w:hAnsi="Times New Roman" w:eastAsia="宋体" w:cs="Times New Roman"/>
                <w:b w:val="0"/>
                <w:bCs w:val="0"/>
                <w:color w:val="auto"/>
                <w:kern w:val="0"/>
                <w:sz w:val="24"/>
                <w:szCs w:val="24"/>
                <w:lang w:bidi="ar"/>
              </w:rPr>
              <w:t>：</w:t>
            </w:r>
            <w:r>
              <w:rPr>
                <w:rFonts w:hint="eastAsia" w:ascii="Times New Roman" w:hAnsi="Times New Roman" w:eastAsia="宋体" w:cs="Times New Roman"/>
                <w:color w:val="auto"/>
                <w:kern w:val="0"/>
                <w:sz w:val="24"/>
                <w:szCs w:val="24"/>
                <w:lang w:bidi="ar"/>
              </w:rPr>
              <w:t>运行有别于传统活性污泥法，一般采用多个SBR反应器并联间歇运行的方式。对于单一SBR反应器，每个运行周期包括5个阶段：进水期、反应期、沉淀期、排水排泥期、闲置期。进水期阶段可以采用限制曝气或非限制曝气，污水连续进入SBR 反应器，此时活性污泥对有机污染物进行吸附去除，有机污染物浓度达到最大值，当污水到达预设水位后，停止进水开始曝气，反应期随即开始，该阶段有机污染物被活性污泥充分去除，BOD、COD值不断减小，当有机污染物浓度降低到适当值时，停止曝气，随即进入沉淀阶段，该阶段依靠重力的作用，使混合液中的活性污泥不断沉降，达到高效的泥水分离效果。在进入到排水排泥期后，上清液通过滗水器排除，剩余污泥也通过排泥系统排出，当进入到闲置期后，活性污泥处于一种营养物的饥饿状态，单位重量的活性污泥具有很大的吸附表面积，当进入下个运行期的进水期时，活性污泥便可以充分发挥初始吸附去除作用。</w:t>
            </w:r>
          </w:p>
          <w:p w14:paraId="37ECBA0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④厌氧：SBR好氧处理后的废水，自流进入厌氧处理单元，反应器在密闭、严格无氧条件下运行，内部维持中温（30～38℃）、pH6.5～8.0的适宜环境。</w:t>
            </w:r>
            <w:r>
              <w:rPr>
                <w:rFonts w:hint="eastAsia" w:ascii="Times New Roman" w:hAnsi="Times New Roman" w:eastAsia="宋体" w:cs="Times New Roman"/>
                <w:color w:val="auto"/>
                <w:kern w:val="0"/>
                <w:sz w:val="24"/>
                <w:szCs w:val="24"/>
                <w:lang w:bidi="ar"/>
              </w:rPr>
              <w:t>废水自下而上流经厌氧反应器，与反应器内高浓度厌氧污泥（颗粒污泥/絮状污泥）充分接触，在水解酸化菌、产乙酸菌、产甲烷菌等微生物的协同作用下，依次完成水解酸化、产乙酸、产甲烷全过程：废水中残留的长链脂肪酸、少量乳化油、大分子难降解有机物被分解为小分子有机酸，最终转化为以甲烷为主的沼气；水中有机污染物被大幅降解，COD得到深度去除。</w:t>
            </w:r>
          </w:p>
          <w:p w14:paraId="20FF0C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此工序产污环节：</w:t>
            </w:r>
            <w:r>
              <w:rPr>
                <w:rFonts w:hint="eastAsia" w:cs="Times New Roman"/>
                <w:b w:val="0"/>
                <w:bCs w:val="0"/>
                <w:color w:val="auto"/>
                <w:sz w:val="24"/>
                <w:szCs w:val="24"/>
                <w:highlight w:val="none"/>
                <w:lang w:val="en-US" w:eastAsia="zh-CN"/>
              </w:rPr>
              <w:t>污水处理站运行过程中产生的臭气浓度，设备产生噪声。</w:t>
            </w:r>
          </w:p>
          <w:p w14:paraId="2EFBE72F">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color w:val="auto"/>
                <w:kern w:val="0"/>
                <w:sz w:val="24"/>
                <w:szCs w:val="24"/>
                <w:lang w:bidi="ar"/>
              </w:rPr>
            </w:pPr>
            <w:r>
              <w:rPr>
                <w:rFonts w:hint="eastAsia" w:cs="Times New Roman"/>
                <w:b/>
                <w:bCs/>
                <w:color w:val="auto"/>
                <w:sz w:val="24"/>
                <w:szCs w:val="24"/>
                <w:highlight w:val="none"/>
                <w:lang w:val="en-US" w:eastAsia="zh-CN"/>
              </w:rPr>
              <w:t>此工序排放去向：</w:t>
            </w:r>
            <w:r>
              <w:rPr>
                <w:rFonts w:hint="eastAsia" w:cs="Times New Roman"/>
                <w:b w:val="0"/>
                <w:bCs w:val="0"/>
                <w:color w:val="auto"/>
                <w:sz w:val="24"/>
                <w:szCs w:val="24"/>
                <w:highlight w:val="none"/>
                <w:lang w:val="en-US" w:eastAsia="zh-CN"/>
              </w:rPr>
              <w:t>污水处理站采用密闭容器，产生废气无组织排放；定期喷洒除臭剂。</w:t>
            </w:r>
          </w:p>
          <w:p w14:paraId="55CBF4D6">
            <w:pPr>
              <w:pStyle w:val="26"/>
              <w:keepNext w:val="0"/>
              <w:keepLines w:val="0"/>
              <w:pageBreakBefore w:val="0"/>
              <w:widowControl w:val="0"/>
              <w:kinsoku/>
              <w:wordWrap/>
              <w:overflowPunct/>
              <w:topLinePunct w:val="0"/>
              <w:bidi w:val="0"/>
              <w:snapToGrid/>
              <w:spacing w:beforeLines="0" w:afterLines="0" w:line="360" w:lineRule="auto"/>
              <w:textAlignment w:val="auto"/>
              <w:rPr>
                <w:rFonts w:hint="default" w:ascii="Times New Roman" w:hAnsi="Times New Roman" w:eastAsia="宋体" w:cs="Times New Roman"/>
                <w:b/>
                <w:bCs w:val="0"/>
                <w:szCs w:val="21"/>
                <w:lang w:val="en-US" w:eastAsia="zh-CN"/>
              </w:rPr>
            </w:pPr>
            <w:r>
              <w:rPr>
                <w:rFonts w:hint="default" w:ascii="Times New Roman" w:hAnsi="Times New Roman" w:eastAsia="宋体" w:cs="Times New Roman"/>
                <w:b/>
                <w:bCs w:val="0"/>
                <w:szCs w:val="21"/>
                <w:lang w:val="en-US" w:eastAsia="zh-CN"/>
              </w:rPr>
              <w:t>2</w:t>
            </w:r>
            <w:r>
              <w:rPr>
                <w:rFonts w:hint="eastAsia" w:ascii="Times New Roman" w:hAnsi="Times New Roman" w:eastAsia="宋体" w:cs="Times New Roman"/>
                <w:b/>
                <w:bCs w:val="0"/>
                <w:szCs w:val="21"/>
                <w:lang w:val="en-US" w:eastAsia="zh-CN"/>
              </w:rPr>
              <w:t xml:space="preserve"> </w:t>
            </w:r>
            <w:r>
              <w:rPr>
                <w:rFonts w:hint="default" w:ascii="Times New Roman" w:hAnsi="Times New Roman" w:eastAsia="宋体" w:cs="Times New Roman"/>
                <w:b/>
                <w:bCs w:val="0"/>
                <w:szCs w:val="21"/>
                <w:lang w:val="en-US" w:eastAsia="zh-CN"/>
              </w:rPr>
              <w:t>产污环节</w:t>
            </w:r>
          </w:p>
          <w:p w14:paraId="79F44530">
            <w:pPr>
              <w:pStyle w:val="26"/>
              <w:keepNext w:val="0"/>
              <w:keepLines w:val="0"/>
              <w:pageBreakBefore w:val="0"/>
              <w:widowControl w:val="0"/>
              <w:kinsoku/>
              <w:wordWrap/>
              <w:overflowPunct/>
              <w:topLinePunct w:val="0"/>
              <w:bidi w:val="0"/>
              <w:snapToGrid/>
              <w:spacing w:beforeLines="0" w:afterLines="0" w:line="360" w:lineRule="auto"/>
              <w:ind w:firstLine="480" w:firstLineChars="200"/>
              <w:jc w:val="both"/>
              <w:textAlignment w:val="auto"/>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val="0"/>
                <w:bCs/>
                <w:szCs w:val="21"/>
                <w:lang w:val="en-US" w:eastAsia="zh-CN"/>
              </w:rPr>
              <w:t>本项目产污环节见表2-9。</w:t>
            </w:r>
          </w:p>
          <w:p w14:paraId="0D18131B">
            <w:pPr>
              <w:jc w:val="center"/>
              <w:rPr>
                <w:rFonts w:hint="eastAsia" w:ascii="黑体" w:hAnsi="黑体" w:eastAsia="黑体" w:cs="黑体"/>
                <w:b w:val="0"/>
                <w:bCs/>
                <w:sz w:val="21"/>
                <w:szCs w:val="21"/>
                <w:lang w:val="en-US" w:eastAsia="zh-CN"/>
              </w:rPr>
            </w:pPr>
            <w:r>
              <w:rPr>
                <w:rFonts w:hint="eastAsia" w:ascii="黑体" w:hAnsi="黑体" w:eastAsia="黑体" w:cs="黑体"/>
                <w:b w:val="0"/>
                <w:bCs/>
                <w:sz w:val="21"/>
                <w:szCs w:val="21"/>
                <w:lang w:val="en-US" w:eastAsia="zh-CN"/>
              </w:rPr>
              <w:t>表2-9    本项目产污环节一览表</w:t>
            </w:r>
          </w:p>
          <w:tbl>
            <w:tblPr>
              <w:tblStyle w:val="21"/>
              <w:tblW w:w="494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5"/>
              <w:gridCol w:w="841"/>
              <w:gridCol w:w="1623"/>
              <w:gridCol w:w="1255"/>
              <w:gridCol w:w="557"/>
              <w:gridCol w:w="2753"/>
            </w:tblGrid>
            <w:tr w14:paraId="2552C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jc w:val="center"/>
              </w:trPr>
              <w:tc>
                <w:tcPr>
                  <w:tcW w:w="837" w:type="pct"/>
                  <w:gridSpan w:val="2"/>
                  <w:tcBorders>
                    <w:tl2br w:val="nil"/>
                    <w:tr2bl w:val="nil"/>
                  </w:tcBorders>
                  <w:vAlign w:val="center"/>
                </w:tcPr>
                <w:p w14:paraId="39012C00">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序号</w:t>
                  </w:r>
                </w:p>
              </w:tc>
              <w:tc>
                <w:tcPr>
                  <w:tcW w:w="1091" w:type="pct"/>
                  <w:tcBorders>
                    <w:tl2br w:val="nil"/>
                    <w:tr2bl w:val="nil"/>
                  </w:tcBorders>
                  <w:vAlign w:val="center"/>
                </w:tcPr>
                <w:p w14:paraId="085D166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产生点</w:t>
                  </w:r>
                </w:p>
              </w:tc>
              <w:tc>
                <w:tcPr>
                  <w:tcW w:w="844" w:type="pct"/>
                  <w:tcBorders>
                    <w:tl2br w:val="nil"/>
                    <w:tr2bl w:val="nil"/>
                  </w:tcBorders>
                  <w:vAlign w:val="center"/>
                </w:tcPr>
                <w:p w14:paraId="5A7D1A6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主要污染因子</w:t>
                  </w:r>
                </w:p>
              </w:tc>
              <w:tc>
                <w:tcPr>
                  <w:tcW w:w="374" w:type="pct"/>
                  <w:tcBorders>
                    <w:tl2br w:val="nil"/>
                    <w:tr2bl w:val="nil"/>
                  </w:tcBorders>
                  <w:vAlign w:val="center"/>
                </w:tcPr>
                <w:p w14:paraId="5B93CAF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产生特征</w:t>
                  </w:r>
                </w:p>
              </w:tc>
              <w:tc>
                <w:tcPr>
                  <w:tcW w:w="1851" w:type="pct"/>
                  <w:tcBorders>
                    <w:tl2br w:val="nil"/>
                    <w:tr2bl w:val="nil"/>
                  </w:tcBorders>
                  <w:vAlign w:val="center"/>
                </w:tcPr>
                <w:p w14:paraId="31D59D4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排放去向</w:t>
                  </w:r>
                </w:p>
              </w:tc>
            </w:tr>
            <w:tr w14:paraId="5C3BC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81" w:hRule="atLeast"/>
                <w:jc w:val="center"/>
              </w:trPr>
              <w:tc>
                <w:tcPr>
                  <w:tcW w:w="272" w:type="pct"/>
                  <w:vMerge w:val="restart"/>
                  <w:tcBorders>
                    <w:tl2br w:val="nil"/>
                    <w:tr2bl w:val="nil"/>
                  </w:tcBorders>
                  <w:vAlign w:val="center"/>
                </w:tcPr>
                <w:p w14:paraId="2B0C3F80">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废水</w:t>
                  </w:r>
                </w:p>
              </w:tc>
              <w:tc>
                <w:tcPr>
                  <w:tcW w:w="565" w:type="pct"/>
                  <w:tcBorders>
                    <w:tl2br w:val="nil"/>
                    <w:tr2bl w:val="nil"/>
                  </w:tcBorders>
                  <w:vAlign w:val="center"/>
                </w:tcPr>
                <w:p w14:paraId="662E40C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浸出</w:t>
                  </w:r>
                </w:p>
                <w:p w14:paraId="4A12030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车间</w:t>
                  </w:r>
                </w:p>
              </w:tc>
              <w:tc>
                <w:tcPr>
                  <w:tcW w:w="1091" w:type="pct"/>
                  <w:tcBorders>
                    <w:tl2br w:val="nil"/>
                    <w:tr2bl w:val="nil"/>
                  </w:tcBorders>
                  <w:vAlign w:val="center"/>
                </w:tcPr>
                <w:p w14:paraId="289D1D0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冷凝器</w:t>
                  </w:r>
                </w:p>
              </w:tc>
              <w:tc>
                <w:tcPr>
                  <w:tcW w:w="844" w:type="pct"/>
                  <w:tcBorders>
                    <w:tl2br w:val="nil"/>
                    <w:tr2bl w:val="nil"/>
                  </w:tcBorders>
                  <w:vAlign w:val="center"/>
                </w:tcPr>
                <w:p w14:paraId="2B53F20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rPr>
                  </w:pPr>
                  <w:r>
                    <w:rPr>
                      <w:rFonts w:hint="default" w:ascii="Times New Roman" w:hAnsi="Times New Roman" w:eastAsia="宋体" w:cs="Times New Roman"/>
                      <w:sz w:val="21"/>
                    </w:rPr>
                    <w:t>COD</w:t>
                  </w:r>
                  <w:r>
                    <w:rPr>
                      <w:rFonts w:hint="eastAsia" w:ascii="Times New Roman" w:hAnsi="Times New Roman" w:eastAsia="宋体" w:cs="Times New Roman"/>
                      <w:sz w:val="21"/>
                      <w:vertAlign w:val="subscript"/>
                      <w:lang w:val="en-US" w:eastAsia="zh-CN"/>
                    </w:rPr>
                    <w:t>cr</w:t>
                  </w: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baseline"/>
                    </w:rPr>
                    <w:t>-N</w:t>
                  </w:r>
                  <w:r>
                    <w:rPr>
                      <w:rFonts w:hint="eastAsia" w:ascii="Times New Roman" w:hAnsi="Times New Roman" w:eastAsia="宋体" w:cs="Times New Roman"/>
                      <w:sz w:val="21"/>
                      <w:vertAlign w:val="baseline"/>
                      <w:lang w:eastAsia="zh-CN"/>
                    </w:rPr>
                    <w:t>、</w:t>
                  </w:r>
                  <w:r>
                    <w:rPr>
                      <w:rFonts w:hint="eastAsia" w:ascii="Times New Roman" w:hAnsi="Times New Roman" w:eastAsia="宋体" w:cs="Times New Roman"/>
                      <w:sz w:val="21"/>
                      <w:vertAlign w:val="baseline"/>
                      <w:lang w:val="en-US" w:eastAsia="zh-CN"/>
                    </w:rPr>
                    <w:t>TN、TP</w:t>
                  </w:r>
                </w:p>
              </w:tc>
              <w:tc>
                <w:tcPr>
                  <w:tcW w:w="374" w:type="pct"/>
                  <w:tcBorders>
                    <w:tl2br w:val="nil"/>
                    <w:tr2bl w:val="nil"/>
                  </w:tcBorders>
                  <w:vAlign w:val="center"/>
                </w:tcPr>
                <w:p w14:paraId="2D4C62C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连续</w:t>
                  </w:r>
                </w:p>
              </w:tc>
              <w:tc>
                <w:tcPr>
                  <w:tcW w:w="1851" w:type="pct"/>
                  <w:tcBorders>
                    <w:tl2br w:val="nil"/>
                    <w:tr2bl w:val="nil"/>
                  </w:tcBorders>
                  <w:vAlign w:val="center"/>
                </w:tcPr>
                <w:p w14:paraId="6541C9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
                      <w:szCs w:val="2"/>
                      <w:highlight w:val="yellow"/>
                      <w:lang w:val="en-US" w:eastAsia="zh-CN"/>
                    </w:rPr>
                  </w:pPr>
                  <w:r>
                    <w:rPr>
                      <w:rFonts w:hint="eastAsia" w:cs="Times New Roman"/>
                      <w:sz w:val="21"/>
                      <w:highlight w:val="none"/>
                      <w:lang w:val="en-US" w:eastAsia="zh-CN"/>
                    </w:rPr>
                    <w:t>有机废气冷凝后冷凝水排入分离器内进行油水分离，不凝器通过冷冻处理后外排，溶剂回用至浸出工艺，废水后排入污水处理站，最终排入园区管网</w:t>
                  </w:r>
                  <w:r>
                    <w:rPr>
                      <w:rFonts w:hint="eastAsia" w:ascii="Times New Roman" w:hAnsi="Times New Roman" w:eastAsia="宋体" w:cs="Times New Roman"/>
                      <w:sz w:val="21"/>
                      <w:lang w:val="en-US" w:eastAsia="zh-CN"/>
                    </w:rPr>
                    <w:t>（DW001）</w:t>
                  </w:r>
                </w:p>
              </w:tc>
            </w:tr>
            <w:tr w14:paraId="71E3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jc w:val="center"/>
              </w:trPr>
              <w:tc>
                <w:tcPr>
                  <w:tcW w:w="272" w:type="pct"/>
                  <w:vMerge w:val="continue"/>
                  <w:tcBorders>
                    <w:tl2br w:val="nil"/>
                    <w:tr2bl w:val="nil"/>
                  </w:tcBorders>
                  <w:vAlign w:val="center"/>
                </w:tcPr>
                <w:p w14:paraId="122965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restart"/>
                  <w:tcBorders>
                    <w:tl2br w:val="nil"/>
                    <w:tr2bl w:val="nil"/>
                  </w:tcBorders>
                  <w:vAlign w:val="center"/>
                </w:tcPr>
                <w:p w14:paraId="46224E3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精炼车间</w:t>
                  </w:r>
                </w:p>
              </w:tc>
              <w:tc>
                <w:tcPr>
                  <w:tcW w:w="1091" w:type="pct"/>
                  <w:tcBorders>
                    <w:tl2br w:val="nil"/>
                    <w:tr2bl w:val="nil"/>
                  </w:tcBorders>
                  <w:vAlign w:val="center"/>
                </w:tcPr>
                <w:p w14:paraId="535CA07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离心水洗</w:t>
                  </w:r>
                </w:p>
              </w:tc>
              <w:tc>
                <w:tcPr>
                  <w:tcW w:w="844" w:type="pct"/>
                  <w:tcBorders>
                    <w:tl2br w:val="nil"/>
                    <w:tr2bl w:val="nil"/>
                  </w:tcBorders>
                  <w:vAlign w:val="center"/>
                </w:tcPr>
                <w:p w14:paraId="6F6F076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COD</w:t>
                  </w:r>
                  <w:r>
                    <w:rPr>
                      <w:rFonts w:hint="eastAsia" w:ascii="Times New Roman" w:hAnsi="Times New Roman" w:eastAsia="宋体" w:cs="Times New Roman"/>
                      <w:sz w:val="21"/>
                      <w:vertAlign w:val="subscript"/>
                      <w:lang w:val="en-US" w:eastAsia="zh-CN"/>
                    </w:rPr>
                    <w:t>cr</w:t>
                  </w: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baseline"/>
                    </w:rPr>
                    <w:t>-N</w:t>
                  </w:r>
                </w:p>
              </w:tc>
              <w:tc>
                <w:tcPr>
                  <w:tcW w:w="374" w:type="pct"/>
                  <w:tcBorders>
                    <w:tl2br w:val="nil"/>
                    <w:tr2bl w:val="nil"/>
                  </w:tcBorders>
                  <w:vAlign w:val="center"/>
                </w:tcPr>
                <w:p w14:paraId="5D74DB5A">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间歇</w:t>
                  </w:r>
                </w:p>
              </w:tc>
              <w:tc>
                <w:tcPr>
                  <w:tcW w:w="1851" w:type="pct"/>
                  <w:tcBorders>
                    <w:tl2br w:val="nil"/>
                    <w:tr2bl w:val="nil"/>
                  </w:tcBorders>
                  <w:vAlign w:val="center"/>
                </w:tcPr>
                <w:p w14:paraId="691353A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z w:val="21"/>
                      <w:highlight w:val="none"/>
                      <w:lang w:val="en-US" w:eastAsia="zh-CN"/>
                    </w:rPr>
                  </w:pPr>
                  <w:r>
                    <w:rPr>
                      <w:rFonts w:hint="eastAsia" w:cs="Times New Roman"/>
                      <w:sz w:val="21"/>
                      <w:highlight w:val="none"/>
                      <w:lang w:val="en-US" w:eastAsia="zh-CN"/>
                    </w:rPr>
                    <w:t>废气经冷冻后冷凝水排入污水处理站，最终排入园区管网</w:t>
                  </w:r>
                </w:p>
              </w:tc>
            </w:tr>
            <w:tr w14:paraId="1FAEA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 w:hRule="atLeast"/>
                <w:jc w:val="center"/>
              </w:trPr>
              <w:tc>
                <w:tcPr>
                  <w:tcW w:w="272" w:type="pct"/>
                  <w:vMerge w:val="continue"/>
                  <w:tcBorders>
                    <w:tl2br w:val="nil"/>
                    <w:tr2bl w:val="nil"/>
                  </w:tcBorders>
                  <w:vAlign w:val="center"/>
                </w:tcPr>
                <w:p w14:paraId="629BD0F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continue"/>
                  <w:tcBorders>
                    <w:tl2br w:val="nil"/>
                    <w:tr2bl w:val="nil"/>
                  </w:tcBorders>
                  <w:vAlign w:val="center"/>
                </w:tcPr>
                <w:p w14:paraId="70323E4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091" w:type="pct"/>
                  <w:tcBorders>
                    <w:tl2br w:val="nil"/>
                    <w:tr2bl w:val="nil"/>
                  </w:tcBorders>
                  <w:vAlign w:val="center"/>
                </w:tcPr>
                <w:p w14:paraId="07FC0F6A">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离心分离</w:t>
                  </w:r>
                </w:p>
              </w:tc>
              <w:tc>
                <w:tcPr>
                  <w:tcW w:w="844" w:type="pct"/>
                  <w:tcBorders>
                    <w:tl2br w:val="nil"/>
                    <w:tr2bl w:val="nil"/>
                  </w:tcBorders>
                  <w:vAlign w:val="center"/>
                </w:tcPr>
                <w:p w14:paraId="0C264A5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动植物油、</w:t>
                  </w:r>
                  <w:r>
                    <w:rPr>
                      <w:rFonts w:hint="default" w:ascii="Times New Roman" w:hAnsi="Times New Roman" w:eastAsia="宋体" w:cs="Times New Roman"/>
                      <w:sz w:val="21"/>
                    </w:rPr>
                    <w:t>COD</w:t>
                  </w:r>
                  <w:r>
                    <w:rPr>
                      <w:rFonts w:hint="eastAsia" w:ascii="Times New Roman" w:hAnsi="Times New Roman" w:eastAsia="宋体" w:cs="Times New Roman"/>
                      <w:sz w:val="21"/>
                      <w:vertAlign w:val="subscript"/>
                      <w:lang w:val="en-US" w:eastAsia="zh-CN"/>
                    </w:rPr>
                    <w:t>cr</w:t>
                  </w: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baseline"/>
                    </w:rPr>
                    <w:t>-N</w:t>
                  </w:r>
                </w:p>
              </w:tc>
              <w:tc>
                <w:tcPr>
                  <w:tcW w:w="374" w:type="pct"/>
                  <w:tcBorders>
                    <w:tl2br w:val="nil"/>
                    <w:tr2bl w:val="nil"/>
                  </w:tcBorders>
                  <w:vAlign w:val="center"/>
                </w:tcPr>
                <w:p w14:paraId="2F0F8E3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间歇</w:t>
                  </w:r>
                </w:p>
              </w:tc>
              <w:tc>
                <w:tcPr>
                  <w:tcW w:w="1851" w:type="pct"/>
                  <w:tcBorders>
                    <w:tl2br w:val="nil"/>
                    <w:tr2bl w:val="nil"/>
                  </w:tcBorders>
                  <w:vAlign w:val="center"/>
                </w:tcPr>
                <w:p w14:paraId="7AECB3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z w:val="21"/>
                      <w:highlight w:val="none"/>
                      <w:lang w:val="en-US" w:eastAsia="zh-CN"/>
                    </w:rPr>
                  </w:pPr>
                  <w:r>
                    <w:rPr>
                      <w:rFonts w:hint="eastAsia" w:cs="Times New Roman"/>
                      <w:sz w:val="21"/>
                      <w:highlight w:val="none"/>
                      <w:lang w:val="en-US" w:eastAsia="zh-CN"/>
                    </w:rPr>
                    <w:t>排入皂角罐，后外售</w:t>
                  </w:r>
                </w:p>
              </w:tc>
            </w:tr>
            <w:tr w14:paraId="1152C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272" w:type="pct"/>
                  <w:vMerge w:val="continue"/>
                  <w:tcBorders>
                    <w:tl2br w:val="nil"/>
                    <w:tr2bl w:val="nil"/>
                  </w:tcBorders>
                  <w:vAlign w:val="center"/>
                </w:tcPr>
                <w:p w14:paraId="0976BA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39E2954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生活</w:t>
                  </w:r>
                </w:p>
                <w:p w14:paraId="7B70EF8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污水</w:t>
                  </w:r>
                </w:p>
              </w:tc>
              <w:tc>
                <w:tcPr>
                  <w:tcW w:w="1091" w:type="pct"/>
                  <w:tcBorders>
                    <w:tl2br w:val="nil"/>
                    <w:tr2bl w:val="nil"/>
                  </w:tcBorders>
                  <w:vAlign w:val="center"/>
                </w:tcPr>
                <w:p w14:paraId="218DA05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生活污水</w:t>
                  </w:r>
                </w:p>
              </w:tc>
              <w:tc>
                <w:tcPr>
                  <w:tcW w:w="844" w:type="pct"/>
                  <w:tcBorders>
                    <w:tl2br w:val="nil"/>
                    <w:tr2bl w:val="nil"/>
                  </w:tcBorders>
                  <w:vAlign w:val="center"/>
                </w:tcPr>
                <w:p w14:paraId="58AD6D0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COD</w:t>
                  </w:r>
                  <w:r>
                    <w:rPr>
                      <w:rFonts w:hint="eastAsia" w:ascii="Times New Roman" w:hAnsi="Times New Roman" w:eastAsia="宋体" w:cs="Times New Roman"/>
                      <w:sz w:val="21"/>
                      <w:vertAlign w:val="subscript"/>
                      <w:lang w:val="en-US" w:eastAsia="zh-CN"/>
                    </w:rPr>
                    <w:t>cr</w:t>
                  </w: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vertAlign w:val="baseline"/>
                    </w:rPr>
                    <w:t>-N</w:t>
                  </w:r>
                  <w:r>
                    <w:rPr>
                      <w:rFonts w:hint="eastAsia" w:ascii="Times New Roman" w:hAnsi="Times New Roman" w:eastAsia="宋体" w:cs="Times New Roman"/>
                      <w:sz w:val="21"/>
                      <w:vertAlign w:val="baseline"/>
                      <w:lang w:eastAsia="zh-CN"/>
                    </w:rPr>
                    <w:t>、</w:t>
                  </w:r>
                  <w:r>
                    <w:rPr>
                      <w:rFonts w:hint="eastAsia" w:ascii="Times New Roman" w:hAnsi="Times New Roman" w:eastAsia="宋体" w:cs="Times New Roman"/>
                      <w:sz w:val="21"/>
                      <w:vertAlign w:val="baseline"/>
                      <w:lang w:val="en-US" w:eastAsia="zh-CN"/>
                    </w:rPr>
                    <w:t>SS、动植物油</w:t>
                  </w:r>
                </w:p>
              </w:tc>
              <w:tc>
                <w:tcPr>
                  <w:tcW w:w="374" w:type="pct"/>
                  <w:tcBorders>
                    <w:tl2br w:val="nil"/>
                    <w:tr2bl w:val="nil"/>
                  </w:tcBorders>
                  <w:vAlign w:val="center"/>
                </w:tcPr>
                <w:p w14:paraId="206C3E4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间歇</w:t>
                  </w:r>
                </w:p>
              </w:tc>
              <w:tc>
                <w:tcPr>
                  <w:tcW w:w="1851" w:type="pct"/>
                  <w:tcBorders>
                    <w:tl2br w:val="nil"/>
                    <w:tr2bl w:val="nil"/>
                  </w:tcBorders>
                  <w:vAlign w:val="center"/>
                </w:tcPr>
                <w:p w14:paraId="25B4D59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生活污水排入</w:t>
                  </w:r>
                  <w:r>
                    <w:rPr>
                      <w:rFonts w:hint="eastAsia" w:ascii="宋体" w:hAnsi="宋体" w:eastAsia="宋体" w:cs="宋体"/>
                      <w:sz w:val="21"/>
                      <w:szCs w:val="21"/>
                      <w:lang w:val="en-US" w:eastAsia="zh-CN"/>
                    </w:rPr>
                    <w:t>厂区污水处理站处理，后排入</w:t>
                  </w:r>
                  <w:r>
                    <w:rPr>
                      <w:rFonts w:hint="eastAsia" w:ascii="宋体" w:hAnsi="宋体" w:eastAsia="宋体" w:cs="宋体"/>
                      <w:sz w:val="21"/>
                      <w:highlight w:val="none"/>
                      <w:lang w:val="en-US" w:eastAsia="zh-CN"/>
                    </w:rPr>
                    <w:t>园区</w:t>
                  </w:r>
                  <w:r>
                    <w:rPr>
                      <w:rFonts w:hint="eastAsia" w:ascii="宋体" w:hAnsi="宋体" w:eastAsia="宋体" w:cs="宋体"/>
                      <w:sz w:val="21"/>
                      <w:szCs w:val="21"/>
                      <w:lang w:val="en-US" w:eastAsia="zh-CN"/>
                    </w:rPr>
                    <w:t>管网</w:t>
                  </w:r>
                  <w:r>
                    <w:rPr>
                      <w:rFonts w:hint="eastAsia" w:ascii="Times New Roman" w:hAnsi="Times New Roman" w:eastAsia="宋体" w:cs="Times New Roman"/>
                      <w:sz w:val="21"/>
                      <w:lang w:val="en-US" w:eastAsia="zh-CN"/>
                    </w:rPr>
                    <w:t>（DW001）</w:t>
                  </w:r>
                </w:p>
              </w:tc>
            </w:tr>
            <w:tr w14:paraId="161D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272" w:type="pct"/>
                  <w:vMerge w:val="continue"/>
                  <w:tcBorders>
                    <w:tl2br w:val="nil"/>
                    <w:tr2bl w:val="nil"/>
                  </w:tcBorders>
                  <w:vAlign w:val="center"/>
                </w:tcPr>
                <w:p w14:paraId="097533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1BD38280">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锅炉</w:t>
                  </w:r>
                </w:p>
              </w:tc>
              <w:tc>
                <w:tcPr>
                  <w:tcW w:w="1091" w:type="pct"/>
                  <w:tcBorders>
                    <w:tl2br w:val="nil"/>
                    <w:tr2bl w:val="nil"/>
                  </w:tcBorders>
                  <w:vAlign w:val="center"/>
                </w:tcPr>
                <w:p w14:paraId="655ECB8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锅炉</w:t>
                  </w:r>
                </w:p>
                <w:p w14:paraId="5FC8E68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废水</w:t>
                  </w:r>
                </w:p>
              </w:tc>
              <w:tc>
                <w:tcPr>
                  <w:tcW w:w="844" w:type="pct"/>
                  <w:tcBorders>
                    <w:tl2br w:val="nil"/>
                    <w:tr2bl w:val="nil"/>
                  </w:tcBorders>
                  <w:vAlign w:val="center"/>
                </w:tcPr>
                <w:p w14:paraId="55A93C7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COD</w:t>
                  </w:r>
                  <w:r>
                    <w:rPr>
                      <w:rFonts w:hint="eastAsia" w:ascii="Times New Roman" w:hAnsi="Times New Roman" w:eastAsia="宋体" w:cs="Times New Roman"/>
                      <w:sz w:val="21"/>
                      <w:vertAlign w:val="subscript"/>
                      <w:lang w:val="en-US" w:eastAsia="zh-CN"/>
                    </w:rPr>
                    <w:t>cr</w:t>
                  </w:r>
                  <w:r>
                    <w:rPr>
                      <w:rFonts w:hint="default" w:ascii="Times New Roman" w:hAnsi="Times New Roman" w:eastAsia="宋体" w:cs="Times New Roman"/>
                      <w:sz w:val="21"/>
                    </w:rPr>
                    <w:t>、钙、镁硬度离子</w:t>
                  </w:r>
                </w:p>
              </w:tc>
              <w:tc>
                <w:tcPr>
                  <w:tcW w:w="374" w:type="pct"/>
                  <w:tcBorders>
                    <w:tl2br w:val="nil"/>
                    <w:tr2bl w:val="nil"/>
                  </w:tcBorders>
                  <w:vAlign w:val="center"/>
                </w:tcPr>
                <w:p w14:paraId="3214B08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间歇</w:t>
                  </w:r>
                </w:p>
              </w:tc>
              <w:tc>
                <w:tcPr>
                  <w:tcW w:w="1851" w:type="pct"/>
                  <w:tcBorders>
                    <w:tl2br w:val="nil"/>
                    <w:tr2bl w:val="nil"/>
                  </w:tcBorders>
                  <w:vAlign w:val="center"/>
                </w:tcPr>
                <w:p w14:paraId="561D9C4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锅炉污水进入污水处理站处理后排入</w:t>
                  </w:r>
                  <w:r>
                    <w:rPr>
                      <w:rFonts w:hint="eastAsia" w:ascii="宋体" w:hAnsi="宋体" w:eastAsia="宋体" w:cs="宋体"/>
                      <w:sz w:val="21"/>
                      <w:highlight w:val="none"/>
                      <w:lang w:val="en-US" w:eastAsia="zh-CN"/>
                    </w:rPr>
                    <w:t>园区</w:t>
                  </w:r>
                  <w:r>
                    <w:rPr>
                      <w:rFonts w:hint="eastAsia" w:ascii="宋体" w:hAnsi="宋体" w:eastAsia="宋体" w:cs="宋体"/>
                      <w:sz w:val="21"/>
                      <w:szCs w:val="21"/>
                      <w:lang w:val="en-US" w:eastAsia="zh-CN"/>
                    </w:rPr>
                    <w:t>管网</w:t>
                  </w:r>
                </w:p>
              </w:tc>
            </w:tr>
            <w:tr w14:paraId="55A0C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jc w:val="center"/>
              </w:trPr>
              <w:tc>
                <w:tcPr>
                  <w:tcW w:w="272" w:type="pct"/>
                  <w:vMerge w:val="restart"/>
                  <w:tcBorders>
                    <w:tl2br w:val="nil"/>
                    <w:tr2bl w:val="nil"/>
                  </w:tcBorders>
                  <w:vAlign w:val="center"/>
                </w:tcPr>
                <w:p w14:paraId="0D21F05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废气</w:t>
                  </w:r>
                </w:p>
              </w:tc>
              <w:tc>
                <w:tcPr>
                  <w:tcW w:w="565" w:type="pct"/>
                  <w:tcBorders>
                    <w:tl2br w:val="nil"/>
                    <w:tr2bl w:val="nil"/>
                  </w:tcBorders>
                  <w:vAlign w:val="center"/>
                </w:tcPr>
                <w:p w14:paraId="25F8E46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剥绒</w:t>
                  </w:r>
                </w:p>
                <w:p w14:paraId="50EFE3D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14"/>
                      <w:lang w:val="en-US" w:eastAsia="zh-CN"/>
                    </w:rPr>
                  </w:pPr>
                  <w:r>
                    <w:rPr>
                      <w:rFonts w:hint="eastAsia" w:ascii="Times New Roman" w:hAnsi="Times New Roman" w:eastAsia="宋体" w:cs="Times New Roman"/>
                      <w:sz w:val="21"/>
                      <w:lang w:val="en-US" w:eastAsia="zh-CN"/>
                    </w:rPr>
                    <w:t>车间</w:t>
                  </w:r>
                </w:p>
              </w:tc>
              <w:tc>
                <w:tcPr>
                  <w:tcW w:w="1091" w:type="pct"/>
                  <w:tcBorders>
                    <w:tl2br w:val="nil"/>
                    <w:tr2bl w:val="nil"/>
                  </w:tcBorders>
                  <w:vAlign w:val="center"/>
                </w:tcPr>
                <w:p w14:paraId="5FFBE9D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棒条筛、清绒机</w:t>
                  </w:r>
                </w:p>
              </w:tc>
              <w:tc>
                <w:tcPr>
                  <w:tcW w:w="844" w:type="pct"/>
                  <w:tcBorders>
                    <w:tl2br w:val="nil"/>
                    <w:tr2bl w:val="nil"/>
                  </w:tcBorders>
                  <w:vAlign w:val="center"/>
                </w:tcPr>
                <w:p w14:paraId="2B4786AE">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颗粒物、铁质石块</w:t>
                  </w:r>
                </w:p>
              </w:tc>
              <w:tc>
                <w:tcPr>
                  <w:tcW w:w="374" w:type="pct"/>
                  <w:tcBorders>
                    <w:tl2br w:val="nil"/>
                    <w:tr2bl w:val="nil"/>
                  </w:tcBorders>
                  <w:vAlign w:val="center"/>
                </w:tcPr>
                <w:p w14:paraId="49C8440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连续</w:t>
                  </w:r>
                </w:p>
              </w:tc>
              <w:tc>
                <w:tcPr>
                  <w:tcW w:w="1851" w:type="pct"/>
                  <w:tcBorders>
                    <w:tl2br w:val="nil"/>
                    <w:tr2bl w:val="nil"/>
                  </w:tcBorders>
                  <w:vAlign w:val="center"/>
                </w:tcPr>
                <w:p w14:paraId="68E71A48">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中央集尘系统收集+除尘组合机组（</w:t>
                  </w:r>
                  <w:r>
                    <w:rPr>
                      <w:rFonts w:hint="eastAsia" w:ascii="Times New Roman" w:hAnsi="Times New Roman" w:eastAsia="宋体" w:cs="Times New Roman"/>
                      <w:sz w:val="21"/>
                      <w:szCs w:val="21"/>
                      <w:lang w:val="en-US" w:eastAsia="zh-CN"/>
                    </w:rPr>
                    <w:t>多管</w:t>
                  </w:r>
                  <w:r>
                    <w:rPr>
                      <w:rFonts w:hint="default" w:ascii="Times New Roman" w:hAnsi="Times New Roman" w:eastAsia="宋体" w:cs="Times New Roman"/>
                      <w:sz w:val="21"/>
                      <w:szCs w:val="21"/>
                      <w:lang w:val="en-US" w:eastAsia="zh-CN"/>
                    </w:rPr>
                    <w:t>旋风除尘器+袋式</w:t>
                  </w:r>
                  <w:r>
                    <w:rPr>
                      <w:rFonts w:hint="eastAsia" w:ascii="Times New Roman" w:hAnsi="Times New Roman" w:eastAsia="宋体" w:cs="Times New Roman"/>
                      <w:sz w:val="21"/>
                      <w:szCs w:val="21"/>
                      <w:lang w:val="en-US" w:eastAsia="zh-CN"/>
                    </w:rPr>
                    <w:t>滤筒</w:t>
                  </w:r>
                  <w:r>
                    <w:rPr>
                      <w:rFonts w:hint="default" w:ascii="Times New Roman" w:hAnsi="Times New Roman" w:eastAsia="宋体" w:cs="Times New Roman"/>
                      <w:sz w:val="21"/>
                      <w:szCs w:val="21"/>
                      <w:lang w:val="en-US" w:eastAsia="zh-CN"/>
                    </w:rPr>
                    <w:t>除尘器）后通过15m高排气筒外排（DA00</w:t>
                  </w:r>
                  <w:r>
                    <w:rPr>
                      <w:rFonts w:hint="eastAsia" w:ascii="Times New Roman" w:hAnsi="Times New Roman" w:eastAsia="宋体" w:cs="Times New Roman"/>
                      <w:sz w:val="21"/>
                      <w:szCs w:val="21"/>
                      <w:lang w:val="en-US" w:eastAsia="zh-CN"/>
                    </w:rPr>
                    <w:t>1、DA002</w:t>
                  </w:r>
                  <w:r>
                    <w:rPr>
                      <w:rFonts w:hint="default" w:ascii="Times New Roman" w:hAnsi="Times New Roman" w:eastAsia="宋体" w:cs="Times New Roman"/>
                      <w:sz w:val="21"/>
                      <w:szCs w:val="21"/>
                      <w:lang w:val="en-US" w:eastAsia="zh-CN"/>
                    </w:rPr>
                    <w:t>）</w:t>
                  </w:r>
                </w:p>
              </w:tc>
            </w:tr>
            <w:tr w14:paraId="4DE36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272" w:type="pct"/>
                  <w:vMerge w:val="continue"/>
                  <w:tcBorders>
                    <w:tl2br w:val="nil"/>
                    <w:tr2bl w:val="nil"/>
                  </w:tcBorders>
                  <w:vAlign w:val="center"/>
                </w:tcPr>
                <w:p w14:paraId="3C093E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restart"/>
                  <w:tcBorders>
                    <w:tl2br w:val="nil"/>
                    <w:tr2bl w:val="nil"/>
                  </w:tcBorders>
                  <w:vAlign w:val="center"/>
                </w:tcPr>
                <w:p w14:paraId="0A4CE0AE">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预处理车间</w:t>
                  </w:r>
                </w:p>
              </w:tc>
              <w:tc>
                <w:tcPr>
                  <w:tcW w:w="1091" w:type="pct"/>
                  <w:tcBorders>
                    <w:tl2br w:val="nil"/>
                    <w:tr2bl w:val="nil"/>
                  </w:tcBorders>
                  <w:shd w:val="clear" w:color="auto" w:fill="auto"/>
                  <w:vAlign w:val="center"/>
                </w:tcPr>
                <w:p w14:paraId="2B44BC59">
                  <w:pPr>
                    <w:pStyle w:val="2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zh-CN"/>
                    </w:rPr>
                  </w:pPr>
                  <w:r>
                    <w:rPr>
                      <w:rFonts w:hint="eastAsia" w:ascii="Times New Roman" w:hAnsi="Times New Roman" w:eastAsia="宋体" w:cs="Times New Roman"/>
                      <w:kern w:val="2"/>
                      <w:sz w:val="21"/>
                      <w:szCs w:val="24"/>
                      <w:highlight w:val="none"/>
                      <w:lang w:val="en-US" w:eastAsia="zh-CN" w:bidi="zh-CN"/>
                    </w:rPr>
                    <w:t>风选机</w:t>
                  </w:r>
                </w:p>
              </w:tc>
              <w:tc>
                <w:tcPr>
                  <w:tcW w:w="844" w:type="pct"/>
                  <w:tcBorders>
                    <w:tl2br w:val="nil"/>
                    <w:tr2bl w:val="nil"/>
                  </w:tcBorders>
                  <w:shd w:val="clear" w:color="auto" w:fill="auto"/>
                  <w:vAlign w:val="center"/>
                </w:tcPr>
                <w:p w14:paraId="784FC821">
                  <w:pPr>
                    <w:pStyle w:val="2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zh-CN"/>
                    </w:rPr>
                  </w:pPr>
                  <w:r>
                    <w:rPr>
                      <w:rFonts w:hint="eastAsia" w:ascii="Times New Roman" w:hAnsi="Times New Roman" w:eastAsia="宋体" w:cs="Times New Roman"/>
                      <w:sz w:val="21"/>
                      <w:lang w:val="en-US" w:eastAsia="zh-CN"/>
                    </w:rPr>
                    <w:t>颗粒物</w:t>
                  </w:r>
                </w:p>
              </w:tc>
              <w:tc>
                <w:tcPr>
                  <w:tcW w:w="374" w:type="pct"/>
                  <w:tcBorders>
                    <w:tl2br w:val="nil"/>
                    <w:tr2bl w:val="nil"/>
                  </w:tcBorders>
                  <w:shd w:val="clear" w:color="auto" w:fill="auto"/>
                  <w:vAlign w:val="center"/>
                </w:tcPr>
                <w:p w14:paraId="65B06FD7">
                  <w:pPr>
                    <w:pStyle w:val="2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zh-CN"/>
                    </w:rPr>
                  </w:pPr>
                  <w:r>
                    <w:rPr>
                      <w:rFonts w:hint="eastAsia" w:ascii="Times New Roman" w:hAnsi="Times New Roman" w:eastAsia="宋体" w:cs="Times New Roman"/>
                      <w:sz w:val="21"/>
                      <w:lang w:val="en-US" w:eastAsia="zh-CN"/>
                    </w:rPr>
                    <w:t>连续</w:t>
                  </w:r>
                </w:p>
              </w:tc>
              <w:tc>
                <w:tcPr>
                  <w:tcW w:w="1851" w:type="pct"/>
                  <w:tcBorders>
                    <w:tl2br w:val="nil"/>
                    <w:tr2bl w:val="nil"/>
                  </w:tcBorders>
                  <w:shd w:val="clear" w:color="auto" w:fill="auto"/>
                  <w:vAlign w:val="center"/>
                </w:tcPr>
                <w:p w14:paraId="26A5AA0E">
                  <w:pPr>
                    <w:pStyle w:val="2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zh-CN"/>
                    </w:rPr>
                  </w:pPr>
                  <w:r>
                    <w:rPr>
                      <w:rFonts w:hint="eastAsia" w:ascii="Times New Roman" w:hAnsi="Times New Roman" w:eastAsia="宋体" w:cs="Times New Roman"/>
                      <w:kern w:val="2"/>
                      <w:sz w:val="21"/>
                      <w:szCs w:val="24"/>
                      <w:highlight w:val="none"/>
                      <w:lang w:val="en-US" w:eastAsia="zh-CN" w:bidi="zh-CN"/>
                    </w:rPr>
                    <w:t>风选机</w:t>
                  </w:r>
                  <w:r>
                    <w:rPr>
                      <w:rFonts w:hint="eastAsia" w:ascii="Times New Roman" w:hAnsi="Times New Roman" w:eastAsia="宋体" w:cs="Times New Roman"/>
                      <w:sz w:val="21"/>
                      <w:lang w:val="en-US" w:eastAsia="zh-CN"/>
                    </w:rPr>
                    <w:t>采用除尘机组（多管旋风除尘器）后通过15m高排气筒外排（DA004）</w:t>
                  </w:r>
                </w:p>
              </w:tc>
            </w:tr>
            <w:tr w14:paraId="7BEF4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272" w:type="pct"/>
                  <w:vMerge w:val="continue"/>
                  <w:tcBorders>
                    <w:tl2br w:val="nil"/>
                    <w:tr2bl w:val="nil"/>
                  </w:tcBorders>
                  <w:vAlign w:val="center"/>
                </w:tcPr>
                <w:p w14:paraId="1C9525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continue"/>
                  <w:tcBorders>
                    <w:tl2br w:val="nil"/>
                    <w:tr2bl w:val="nil"/>
                  </w:tcBorders>
                  <w:vAlign w:val="center"/>
                </w:tcPr>
                <w:p w14:paraId="6786804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091" w:type="pct"/>
                  <w:tcBorders>
                    <w:tl2br w:val="nil"/>
                    <w:tr2bl w:val="nil"/>
                  </w:tcBorders>
                  <w:shd w:val="clear" w:color="auto" w:fill="auto"/>
                  <w:vAlign w:val="center"/>
                </w:tcPr>
                <w:p w14:paraId="4EB191C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软化锅</w:t>
                  </w:r>
                </w:p>
              </w:tc>
              <w:tc>
                <w:tcPr>
                  <w:tcW w:w="844" w:type="pct"/>
                  <w:tcBorders>
                    <w:tl2br w:val="nil"/>
                    <w:tr2bl w:val="nil"/>
                  </w:tcBorders>
                  <w:shd w:val="clear" w:color="auto" w:fill="auto"/>
                  <w:vAlign w:val="center"/>
                </w:tcPr>
                <w:p w14:paraId="003BBD4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臭气浓度</w:t>
                  </w:r>
                </w:p>
              </w:tc>
              <w:tc>
                <w:tcPr>
                  <w:tcW w:w="374" w:type="pct"/>
                  <w:tcBorders>
                    <w:tl2br w:val="nil"/>
                    <w:tr2bl w:val="nil"/>
                  </w:tcBorders>
                  <w:shd w:val="clear" w:color="auto" w:fill="auto"/>
                  <w:vAlign w:val="center"/>
                </w:tcPr>
                <w:p w14:paraId="6051FB8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间歇</w:t>
                  </w:r>
                </w:p>
              </w:tc>
              <w:tc>
                <w:tcPr>
                  <w:tcW w:w="1851" w:type="pct"/>
                  <w:tcBorders>
                    <w:tl2br w:val="nil"/>
                    <w:tr2bl w:val="nil"/>
                  </w:tcBorders>
                  <w:shd w:val="clear" w:color="auto" w:fill="auto"/>
                  <w:vAlign w:val="center"/>
                </w:tcPr>
                <w:p w14:paraId="5BB0C39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软化工艺，通过15m高排气筒外排（DA005）</w:t>
                  </w:r>
                </w:p>
              </w:tc>
            </w:tr>
            <w:tr w14:paraId="279C7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272" w:type="pct"/>
                  <w:vMerge w:val="continue"/>
                  <w:tcBorders>
                    <w:tl2br w:val="nil"/>
                    <w:tr2bl w:val="nil"/>
                  </w:tcBorders>
                  <w:vAlign w:val="center"/>
                </w:tcPr>
                <w:p w14:paraId="47EE04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continue"/>
                  <w:tcBorders>
                    <w:tl2br w:val="nil"/>
                    <w:tr2bl w:val="nil"/>
                  </w:tcBorders>
                  <w:vAlign w:val="center"/>
                </w:tcPr>
                <w:p w14:paraId="588B8FD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091" w:type="pct"/>
                  <w:tcBorders>
                    <w:tl2br w:val="nil"/>
                    <w:tr2bl w:val="nil"/>
                  </w:tcBorders>
                  <w:shd w:val="clear" w:color="auto" w:fill="auto"/>
                  <w:vAlign w:val="center"/>
                </w:tcPr>
                <w:p w14:paraId="2A11D304">
                  <w:pPr>
                    <w:keepNext w:val="0"/>
                    <w:keepLines w:val="0"/>
                    <w:widowControl/>
                    <w:suppressLineNumbers w:val="0"/>
                    <w:jc w:val="center"/>
                    <w:rPr>
                      <w:rFonts w:hint="eastAsia" w:ascii="Times New Roman" w:hAnsi="Times New Roman" w:eastAsia="宋体" w:cs="Times New Roman"/>
                      <w:sz w:val="21"/>
                      <w:lang w:val="en-US" w:eastAsia="zh-CN"/>
                    </w:rPr>
                  </w:pPr>
                  <w:r>
                    <w:rPr>
                      <w:rFonts w:hint="eastAsia" w:cs="Times New Roman"/>
                      <w:kern w:val="2"/>
                      <w:sz w:val="21"/>
                      <w:szCs w:val="24"/>
                      <w:lang w:val="en-US" w:eastAsia="zh-CN" w:bidi="zh-CN"/>
                    </w:rPr>
                    <w:t>轧坯</w:t>
                  </w:r>
                  <w:r>
                    <w:rPr>
                      <w:rFonts w:hint="eastAsia" w:ascii="Times New Roman" w:hAnsi="Times New Roman" w:eastAsia="宋体" w:cs="Times New Roman"/>
                      <w:kern w:val="2"/>
                      <w:sz w:val="21"/>
                      <w:szCs w:val="24"/>
                      <w:lang w:val="en-US" w:eastAsia="zh-CN" w:bidi="zh-CN"/>
                    </w:rPr>
                    <w:t>机</w:t>
                  </w:r>
                </w:p>
              </w:tc>
              <w:tc>
                <w:tcPr>
                  <w:tcW w:w="844" w:type="pct"/>
                  <w:tcBorders>
                    <w:tl2br w:val="nil"/>
                    <w:tr2bl w:val="nil"/>
                  </w:tcBorders>
                  <w:shd w:val="clear" w:color="auto" w:fill="auto"/>
                  <w:vAlign w:val="center"/>
                </w:tcPr>
                <w:p w14:paraId="76803D3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臭气浓度</w:t>
                  </w:r>
                </w:p>
              </w:tc>
              <w:tc>
                <w:tcPr>
                  <w:tcW w:w="374" w:type="pct"/>
                  <w:tcBorders>
                    <w:tl2br w:val="nil"/>
                    <w:tr2bl w:val="nil"/>
                  </w:tcBorders>
                  <w:shd w:val="clear" w:color="auto" w:fill="auto"/>
                  <w:vAlign w:val="center"/>
                </w:tcPr>
                <w:p w14:paraId="1084777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间歇</w:t>
                  </w:r>
                </w:p>
              </w:tc>
              <w:tc>
                <w:tcPr>
                  <w:tcW w:w="1851" w:type="pct"/>
                  <w:tcBorders>
                    <w:tl2br w:val="nil"/>
                    <w:tr2bl w:val="nil"/>
                  </w:tcBorders>
                  <w:shd w:val="clear" w:color="auto" w:fill="auto"/>
                  <w:vAlign w:val="center"/>
                </w:tcPr>
                <w:p w14:paraId="69A70F7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kern w:val="2"/>
                      <w:sz w:val="21"/>
                      <w:szCs w:val="24"/>
                      <w:lang w:val="en-US" w:eastAsia="zh-CN" w:bidi="zh-CN"/>
                    </w:rPr>
                    <w:t>轧坯</w:t>
                  </w:r>
                  <w:r>
                    <w:rPr>
                      <w:rFonts w:hint="eastAsia" w:ascii="Times New Roman" w:hAnsi="Times New Roman" w:eastAsia="宋体" w:cs="Times New Roman"/>
                      <w:sz w:val="21"/>
                      <w:lang w:val="en-US" w:eastAsia="zh-CN"/>
                    </w:rPr>
                    <w:t>工艺，通过15m高排气筒外排（DA006）</w:t>
                  </w:r>
                </w:p>
              </w:tc>
            </w:tr>
            <w:tr w14:paraId="1D72B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9" w:hRule="atLeast"/>
                <w:jc w:val="center"/>
              </w:trPr>
              <w:tc>
                <w:tcPr>
                  <w:tcW w:w="272" w:type="pct"/>
                  <w:vMerge w:val="continue"/>
                  <w:tcBorders>
                    <w:tl2br w:val="nil"/>
                    <w:tr2bl w:val="nil"/>
                  </w:tcBorders>
                  <w:vAlign w:val="center"/>
                </w:tcPr>
                <w:p w14:paraId="061FBF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0C397DF0">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浸出车间</w:t>
                  </w:r>
                </w:p>
              </w:tc>
              <w:tc>
                <w:tcPr>
                  <w:tcW w:w="1091" w:type="pct"/>
                  <w:tcBorders>
                    <w:tl2br w:val="nil"/>
                    <w:tr2bl w:val="nil"/>
                  </w:tcBorders>
                  <w:vAlign w:val="center"/>
                </w:tcPr>
                <w:p w14:paraId="775CD5C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冷冻回收</w:t>
                  </w:r>
                </w:p>
              </w:tc>
              <w:tc>
                <w:tcPr>
                  <w:tcW w:w="844" w:type="pct"/>
                  <w:tcBorders>
                    <w:tl2br w:val="nil"/>
                    <w:tr2bl w:val="nil"/>
                  </w:tcBorders>
                  <w:vAlign w:val="center"/>
                </w:tcPr>
                <w:p w14:paraId="52E3A76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非甲烷总烃</w:t>
                  </w:r>
                </w:p>
              </w:tc>
              <w:tc>
                <w:tcPr>
                  <w:tcW w:w="374" w:type="pct"/>
                  <w:tcBorders>
                    <w:tl2br w:val="nil"/>
                    <w:tr2bl w:val="nil"/>
                  </w:tcBorders>
                  <w:vAlign w:val="center"/>
                </w:tcPr>
                <w:p w14:paraId="7099D4C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连续</w:t>
                  </w:r>
                </w:p>
              </w:tc>
              <w:tc>
                <w:tcPr>
                  <w:tcW w:w="1851" w:type="pct"/>
                  <w:tcBorders>
                    <w:tl2br w:val="nil"/>
                    <w:tr2bl w:val="nil"/>
                  </w:tcBorders>
                  <w:vAlign w:val="center"/>
                </w:tcPr>
                <w:p w14:paraId="0446BA88">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溶剂废气排入冷凝器中进行冷凝，冷凝后进入分离器内进行油水分离，冷冻</w:t>
                  </w:r>
                  <w:r>
                    <w:rPr>
                      <w:rFonts w:hint="eastAsia" w:ascii="Times New Roman" w:hAnsi="Times New Roman" w:eastAsia="宋体" w:cs="Times New Roman"/>
                      <w:sz w:val="21"/>
                      <w:highlight w:val="none"/>
                      <w:lang w:val="en-US" w:eastAsia="zh-CN"/>
                    </w:rPr>
                    <w:t>后</w:t>
                  </w:r>
                  <w:r>
                    <w:rPr>
                      <w:rFonts w:hint="eastAsia" w:ascii="Times New Roman" w:hAnsi="Times New Roman" w:eastAsia="宋体" w:cs="Times New Roman"/>
                      <w:sz w:val="21"/>
                      <w:lang w:val="en-US" w:eastAsia="zh-CN"/>
                    </w:rPr>
                    <w:t>不凝气通过</w:t>
                  </w:r>
                  <w:r>
                    <w:rPr>
                      <w:rFonts w:hint="eastAsia" w:ascii="Times New Roman" w:hAnsi="Times New Roman" w:eastAsia="宋体" w:cs="Times New Roman"/>
                      <w:sz w:val="21"/>
                      <w:highlight w:val="none"/>
                      <w:lang w:val="en-US" w:eastAsia="zh-CN"/>
                    </w:rPr>
                    <w:t>15m高排气筒外排（DA007），溶剂循环利用，废水排放至</w:t>
                  </w:r>
                  <w:r>
                    <w:rPr>
                      <w:rFonts w:hint="eastAsia" w:ascii="Times New Roman" w:hAnsi="Times New Roman" w:eastAsia="宋体" w:cs="Times New Roman"/>
                      <w:sz w:val="21"/>
                      <w:lang w:val="en-US" w:eastAsia="zh-CN"/>
                    </w:rPr>
                    <w:t>污水处理站处理后排入园区管网（DW001）</w:t>
                  </w:r>
                </w:p>
              </w:tc>
            </w:tr>
            <w:tr w14:paraId="028B2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jc w:val="center"/>
              </w:trPr>
              <w:tc>
                <w:tcPr>
                  <w:tcW w:w="272" w:type="pct"/>
                  <w:vMerge w:val="continue"/>
                  <w:tcBorders>
                    <w:tl2br w:val="nil"/>
                    <w:tr2bl w:val="nil"/>
                  </w:tcBorders>
                  <w:vAlign w:val="center"/>
                </w:tcPr>
                <w:p w14:paraId="271640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4E12D5C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粉碎包装车间</w:t>
                  </w:r>
                </w:p>
              </w:tc>
              <w:tc>
                <w:tcPr>
                  <w:tcW w:w="1091" w:type="pct"/>
                  <w:tcBorders>
                    <w:tl2br w:val="nil"/>
                    <w:tr2bl w:val="nil"/>
                  </w:tcBorders>
                  <w:vAlign w:val="center"/>
                </w:tcPr>
                <w:p w14:paraId="0E0172A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破碎、筛分</w:t>
                  </w:r>
                </w:p>
              </w:tc>
              <w:tc>
                <w:tcPr>
                  <w:tcW w:w="844" w:type="pct"/>
                  <w:tcBorders>
                    <w:tl2br w:val="nil"/>
                    <w:tr2bl w:val="nil"/>
                  </w:tcBorders>
                  <w:vAlign w:val="center"/>
                </w:tcPr>
                <w:p w14:paraId="7A747CB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颗粒物</w:t>
                  </w:r>
                </w:p>
              </w:tc>
              <w:tc>
                <w:tcPr>
                  <w:tcW w:w="374" w:type="pct"/>
                  <w:tcBorders>
                    <w:tl2br w:val="nil"/>
                    <w:tr2bl w:val="nil"/>
                  </w:tcBorders>
                  <w:vAlign w:val="center"/>
                </w:tcPr>
                <w:p w14:paraId="455A89F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连续</w:t>
                  </w:r>
                </w:p>
              </w:tc>
              <w:tc>
                <w:tcPr>
                  <w:tcW w:w="1851" w:type="pct"/>
                  <w:tcBorders>
                    <w:tl2br w:val="nil"/>
                    <w:tr2bl w:val="nil"/>
                  </w:tcBorders>
                  <w:vAlign w:val="center"/>
                </w:tcPr>
                <w:p w14:paraId="3F4E971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破碎、筛分粉尘通过脉冲除尘器+15m高排</w:t>
                  </w:r>
                  <w:r>
                    <w:rPr>
                      <w:rFonts w:hint="eastAsia" w:ascii="Times New Roman" w:hAnsi="Times New Roman" w:eastAsia="宋体" w:cs="Times New Roman"/>
                      <w:sz w:val="21"/>
                      <w:highlight w:val="none"/>
                      <w:lang w:val="en-US" w:eastAsia="zh-CN"/>
                    </w:rPr>
                    <w:t>气筒（DA003）。</w:t>
                  </w:r>
                </w:p>
              </w:tc>
            </w:tr>
            <w:tr w14:paraId="7708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272" w:type="pct"/>
                  <w:vMerge w:val="continue"/>
                  <w:tcBorders>
                    <w:tl2br w:val="nil"/>
                    <w:tr2bl w:val="nil"/>
                  </w:tcBorders>
                  <w:vAlign w:val="center"/>
                </w:tcPr>
                <w:p w14:paraId="519F32F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7DDC10E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污水处理站</w:t>
                  </w:r>
                </w:p>
              </w:tc>
              <w:tc>
                <w:tcPr>
                  <w:tcW w:w="1091" w:type="pct"/>
                  <w:tcBorders>
                    <w:tl2br w:val="nil"/>
                    <w:tr2bl w:val="nil"/>
                  </w:tcBorders>
                  <w:vAlign w:val="center"/>
                </w:tcPr>
                <w:p w14:paraId="62C06BB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污水处理站运行过程中</w:t>
                  </w:r>
                </w:p>
              </w:tc>
              <w:tc>
                <w:tcPr>
                  <w:tcW w:w="844" w:type="pct"/>
                  <w:tcBorders>
                    <w:tl2br w:val="nil"/>
                    <w:tr2bl w:val="nil"/>
                  </w:tcBorders>
                  <w:vAlign w:val="center"/>
                </w:tcPr>
                <w:p w14:paraId="110914B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NH</w:t>
                  </w:r>
                  <w:r>
                    <w:rPr>
                      <w:rFonts w:hint="eastAsia" w:ascii="Times New Roman" w:hAnsi="Times New Roman" w:eastAsia="宋体" w:cs="Times New Roman"/>
                      <w:sz w:val="21"/>
                      <w:vertAlign w:val="subscript"/>
                      <w:lang w:val="en-US" w:eastAsia="zh-CN"/>
                    </w:rPr>
                    <w:t>3</w:t>
                  </w:r>
                  <w:r>
                    <w:rPr>
                      <w:rFonts w:hint="eastAsia" w:ascii="Times New Roman" w:hAnsi="Times New Roman" w:eastAsia="宋体" w:cs="Times New Roman"/>
                      <w:sz w:val="21"/>
                      <w:lang w:val="en-US" w:eastAsia="zh-CN"/>
                    </w:rPr>
                    <w:t>、H</w:t>
                  </w:r>
                  <w:r>
                    <w:rPr>
                      <w:rFonts w:hint="eastAsia" w:ascii="Times New Roman" w:hAnsi="Times New Roman" w:eastAsia="宋体" w:cs="Times New Roman"/>
                      <w:sz w:val="21"/>
                      <w:vertAlign w:val="subscript"/>
                      <w:lang w:val="en-US" w:eastAsia="zh-CN"/>
                    </w:rPr>
                    <w:t>2</w:t>
                  </w:r>
                  <w:r>
                    <w:rPr>
                      <w:rFonts w:hint="eastAsia" w:ascii="Times New Roman" w:hAnsi="Times New Roman" w:eastAsia="宋体" w:cs="Times New Roman"/>
                      <w:sz w:val="21"/>
                      <w:lang w:val="en-US" w:eastAsia="zh-CN"/>
                    </w:rPr>
                    <w:t>S</w:t>
                  </w:r>
                </w:p>
              </w:tc>
              <w:tc>
                <w:tcPr>
                  <w:tcW w:w="374" w:type="pct"/>
                  <w:tcBorders>
                    <w:tl2br w:val="nil"/>
                    <w:tr2bl w:val="nil"/>
                  </w:tcBorders>
                  <w:vAlign w:val="center"/>
                </w:tcPr>
                <w:p w14:paraId="358E016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间歇</w:t>
                  </w:r>
                </w:p>
              </w:tc>
              <w:tc>
                <w:tcPr>
                  <w:tcW w:w="1851" w:type="pct"/>
                  <w:tcBorders>
                    <w:tl2br w:val="nil"/>
                    <w:tr2bl w:val="nil"/>
                  </w:tcBorders>
                  <w:vAlign w:val="center"/>
                </w:tcPr>
                <w:p w14:paraId="27C2003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污水处理站内以罐体形式密闭，无组织废气较小，定期喷洒除臭剂</w:t>
                  </w:r>
                </w:p>
              </w:tc>
            </w:tr>
            <w:tr w14:paraId="7D771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272" w:type="pct"/>
                  <w:vMerge w:val="continue"/>
                  <w:tcBorders>
                    <w:tl2br w:val="nil"/>
                    <w:tr2bl w:val="nil"/>
                  </w:tcBorders>
                  <w:vAlign w:val="center"/>
                </w:tcPr>
                <w:p w14:paraId="6A0ACB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restart"/>
                  <w:tcBorders>
                    <w:tl2br w:val="nil"/>
                    <w:tr2bl w:val="nil"/>
                  </w:tcBorders>
                  <w:vAlign w:val="center"/>
                </w:tcPr>
                <w:p w14:paraId="581EA444">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锅炉</w:t>
                  </w:r>
                </w:p>
              </w:tc>
              <w:tc>
                <w:tcPr>
                  <w:tcW w:w="1091" w:type="pct"/>
                  <w:tcBorders>
                    <w:tl2br w:val="nil"/>
                    <w:tr2bl w:val="nil"/>
                  </w:tcBorders>
                  <w:vAlign w:val="center"/>
                </w:tcPr>
                <w:p w14:paraId="52446AC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15t锅炉</w:t>
                  </w:r>
                </w:p>
              </w:tc>
              <w:tc>
                <w:tcPr>
                  <w:tcW w:w="844" w:type="pct"/>
                  <w:tcBorders>
                    <w:tl2br w:val="nil"/>
                    <w:tr2bl w:val="nil"/>
                  </w:tcBorders>
                  <w:vAlign w:val="center"/>
                </w:tcPr>
                <w:p w14:paraId="2919D63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颗粒物、SO</w:t>
                  </w:r>
                  <w:r>
                    <w:rPr>
                      <w:rFonts w:hint="eastAsia" w:ascii="Times New Roman" w:hAnsi="Times New Roman" w:eastAsia="宋体" w:cs="Times New Roman"/>
                      <w:sz w:val="21"/>
                      <w:vertAlign w:val="subscript"/>
                      <w:lang w:val="en-US" w:eastAsia="zh-CN"/>
                    </w:rPr>
                    <w:t>2</w:t>
                  </w:r>
                  <w:r>
                    <w:rPr>
                      <w:rFonts w:hint="eastAsia" w:ascii="Times New Roman" w:hAnsi="Times New Roman" w:eastAsia="宋体" w:cs="Times New Roman"/>
                      <w:sz w:val="21"/>
                      <w:lang w:val="en-US" w:eastAsia="zh-CN"/>
                    </w:rPr>
                    <w:t>、NO</w:t>
                  </w:r>
                  <w:r>
                    <w:rPr>
                      <w:rFonts w:hint="eastAsia" w:ascii="Times New Roman" w:hAnsi="Times New Roman" w:eastAsia="宋体" w:cs="Times New Roman"/>
                      <w:sz w:val="21"/>
                      <w:vertAlign w:val="subscript"/>
                      <w:lang w:val="en-US" w:eastAsia="zh-CN"/>
                    </w:rPr>
                    <w:t>x</w:t>
                  </w:r>
                </w:p>
              </w:tc>
              <w:tc>
                <w:tcPr>
                  <w:tcW w:w="374" w:type="pct"/>
                  <w:vMerge w:val="restart"/>
                  <w:tcBorders>
                    <w:tl2br w:val="nil"/>
                    <w:tr2bl w:val="nil"/>
                  </w:tcBorders>
                  <w:vAlign w:val="center"/>
                </w:tcPr>
                <w:p w14:paraId="6559F52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连续</w:t>
                  </w:r>
                </w:p>
              </w:tc>
              <w:tc>
                <w:tcPr>
                  <w:tcW w:w="1851" w:type="pct"/>
                  <w:tcBorders>
                    <w:tl2br w:val="nil"/>
                    <w:tr2bl w:val="nil"/>
                  </w:tcBorders>
                  <w:vAlign w:val="center"/>
                </w:tcPr>
                <w:p w14:paraId="38ADDD5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安装低氮燃烧+烟气再循环，后通过8m高排气桶外排</w:t>
                  </w:r>
                  <w:r>
                    <w:rPr>
                      <w:rFonts w:hint="eastAsia" w:ascii="Times New Roman" w:hAnsi="Times New Roman" w:eastAsia="宋体" w:cs="Times New Roman"/>
                      <w:sz w:val="21"/>
                      <w:highlight w:val="none"/>
                      <w:lang w:val="en-US" w:eastAsia="zh-CN"/>
                    </w:rPr>
                    <w:t>（DA008）</w:t>
                  </w:r>
                </w:p>
              </w:tc>
            </w:tr>
            <w:tr w14:paraId="6F715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272" w:type="pct"/>
                  <w:vMerge w:val="continue"/>
                  <w:tcBorders>
                    <w:tl2br w:val="nil"/>
                    <w:tr2bl w:val="nil"/>
                  </w:tcBorders>
                  <w:vAlign w:val="center"/>
                </w:tcPr>
                <w:p w14:paraId="03ECCB3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vMerge w:val="continue"/>
                  <w:tcBorders>
                    <w:tl2br w:val="nil"/>
                    <w:tr2bl w:val="nil"/>
                  </w:tcBorders>
                  <w:vAlign w:val="center"/>
                </w:tcPr>
                <w:p w14:paraId="7D1D853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091" w:type="pct"/>
                  <w:tcBorders>
                    <w:tl2br w:val="nil"/>
                    <w:tr2bl w:val="nil"/>
                  </w:tcBorders>
                  <w:vAlign w:val="center"/>
                </w:tcPr>
                <w:p w14:paraId="68D0663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10t备用锅炉</w:t>
                  </w:r>
                </w:p>
              </w:tc>
              <w:tc>
                <w:tcPr>
                  <w:tcW w:w="844" w:type="pct"/>
                  <w:tcBorders>
                    <w:tl2br w:val="nil"/>
                    <w:tr2bl w:val="nil"/>
                  </w:tcBorders>
                  <w:vAlign w:val="center"/>
                </w:tcPr>
                <w:p w14:paraId="1BAB696A">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颗粒物、SO</w:t>
                  </w:r>
                  <w:r>
                    <w:rPr>
                      <w:rFonts w:hint="eastAsia" w:ascii="Times New Roman" w:hAnsi="Times New Roman" w:eastAsia="宋体" w:cs="Times New Roman"/>
                      <w:sz w:val="21"/>
                      <w:vertAlign w:val="subscript"/>
                      <w:lang w:val="en-US" w:eastAsia="zh-CN"/>
                    </w:rPr>
                    <w:t>2</w:t>
                  </w:r>
                  <w:r>
                    <w:rPr>
                      <w:rFonts w:hint="eastAsia" w:ascii="Times New Roman" w:hAnsi="Times New Roman" w:eastAsia="宋体" w:cs="Times New Roman"/>
                      <w:sz w:val="21"/>
                      <w:lang w:val="en-US" w:eastAsia="zh-CN"/>
                    </w:rPr>
                    <w:t>、NO</w:t>
                  </w:r>
                  <w:r>
                    <w:rPr>
                      <w:rFonts w:hint="eastAsia" w:ascii="Times New Roman" w:hAnsi="Times New Roman" w:eastAsia="宋体" w:cs="Times New Roman"/>
                      <w:sz w:val="21"/>
                      <w:vertAlign w:val="subscript"/>
                      <w:lang w:val="en-US" w:eastAsia="zh-CN"/>
                    </w:rPr>
                    <w:t>x</w:t>
                  </w:r>
                </w:p>
              </w:tc>
              <w:tc>
                <w:tcPr>
                  <w:tcW w:w="374" w:type="pct"/>
                  <w:vMerge w:val="continue"/>
                  <w:tcBorders>
                    <w:tl2br w:val="nil"/>
                    <w:tr2bl w:val="nil"/>
                  </w:tcBorders>
                  <w:vAlign w:val="center"/>
                </w:tcPr>
                <w:p w14:paraId="748DFA1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851" w:type="pct"/>
                  <w:tcBorders>
                    <w:tl2br w:val="nil"/>
                    <w:tr2bl w:val="nil"/>
                  </w:tcBorders>
                  <w:vAlign w:val="center"/>
                </w:tcPr>
                <w:p w14:paraId="2F05DBF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锅炉备用，安装低氮燃烧+烟气再循环，后通过8m高排气桶外排</w:t>
                  </w:r>
                  <w:r>
                    <w:rPr>
                      <w:rFonts w:hint="eastAsia" w:ascii="Times New Roman" w:hAnsi="Times New Roman" w:eastAsia="宋体" w:cs="Times New Roman"/>
                      <w:sz w:val="21"/>
                      <w:highlight w:val="none"/>
                      <w:lang w:val="en-US" w:eastAsia="zh-CN"/>
                    </w:rPr>
                    <w:t>（DA009）</w:t>
                  </w:r>
                </w:p>
              </w:tc>
            </w:tr>
            <w:tr w14:paraId="2310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 w:hRule="atLeast"/>
                <w:jc w:val="center"/>
              </w:trPr>
              <w:tc>
                <w:tcPr>
                  <w:tcW w:w="272" w:type="pct"/>
                  <w:tcBorders>
                    <w:tl2br w:val="nil"/>
                    <w:tr2bl w:val="nil"/>
                  </w:tcBorders>
                  <w:vAlign w:val="center"/>
                </w:tcPr>
                <w:p w14:paraId="7401109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噪声</w:t>
                  </w:r>
                </w:p>
              </w:tc>
              <w:tc>
                <w:tcPr>
                  <w:tcW w:w="565" w:type="pct"/>
                  <w:tcBorders>
                    <w:tl2br w:val="nil"/>
                    <w:tr2bl w:val="nil"/>
                  </w:tcBorders>
                  <w:vAlign w:val="center"/>
                </w:tcPr>
                <w:p w14:paraId="4C9C3A4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生产</w:t>
                  </w:r>
                </w:p>
                <w:p w14:paraId="2FBBABC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噪声</w:t>
                  </w:r>
                </w:p>
              </w:tc>
              <w:tc>
                <w:tcPr>
                  <w:tcW w:w="1091" w:type="pct"/>
                  <w:tcBorders>
                    <w:tl2br w:val="nil"/>
                    <w:tr2bl w:val="nil"/>
                  </w:tcBorders>
                  <w:vAlign w:val="center"/>
                </w:tcPr>
                <w:p w14:paraId="1FF52E7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压胚机</w:t>
                  </w:r>
                  <w:r>
                    <w:rPr>
                      <w:rFonts w:hint="default" w:ascii="Times New Roman" w:hAnsi="Times New Roman" w:eastAsia="宋体" w:cs="Times New Roman"/>
                      <w:sz w:val="21"/>
                    </w:rPr>
                    <w:t>、剥绒机、压榨机、风机、</w:t>
                  </w:r>
                  <w:r>
                    <w:rPr>
                      <w:rFonts w:hint="eastAsia" w:ascii="Times New Roman" w:hAnsi="Times New Roman" w:eastAsia="宋体" w:cs="Times New Roman"/>
                      <w:sz w:val="21"/>
                      <w:lang w:val="en-US" w:eastAsia="zh-CN"/>
                    </w:rPr>
                    <w:t>投料泵</w:t>
                  </w:r>
                  <w:r>
                    <w:rPr>
                      <w:rFonts w:hint="default" w:ascii="Times New Roman" w:hAnsi="Times New Roman" w:eastAsia="宋体" w:cs="Times New Roman"/>
                      <w:sz w:val="21"/>
                    </w:rPr>
                    <w:t>等</w:t>
                  </w:r>
                  <w:r>
                    <w:rPr>
                      <w:rFonts w:hint="eastAsia"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筛选</w:t>
                  </w:r>
                </w:p>
              </w:tc>
              <w:tc>
                <w:tcPr>
                  <w:tcW w:w="844" w:type="pct"/>
                  <w:tcBorders>
                    <w:tl2br w:val="nil"/>
                    <w:tr2bl w:val="nil"/>
                  </w:tcBorders>
                  <w:vAlign w:val="center"/>
                </w:tcPr>
                <w:p w14:paraId="110AC1C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机械噪声</w:t>
                  </w:r>
                </w:p>
              </w:tc>
              <w:tc>
                <w:tcPr>
                  <w:tcW w:w="374" w:type="pct"/>
                  <w:tcBorders>
                    <w:tl2br w:val="nil"/>
                    <w:tr2bl w:val="nil"/>
                  </w:tcBorders>
                  <w:vAlign w:val="center"/>
                </w:tcPr>
                <w:p w14:paraId="37B2845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连续</w:t>
                  </w:r>
                </w:p>
              </w:tc>
              <w:tc>
                <w:tcPr>
                  <w:tcW w:w="1851" w:type="pct"/>
                  <w:tcBorders>
                    <w:tl2br w:val="nil"/>
                    <w:tr2bl w:val="nil"/>
                  </w:tcBorders>
                  <w:vAlign w:val="center"/>
                </w:tcPr>
                <w:p w14:paraId="5346267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基础减振、封闭隔音后，</w:t>
                  </w:r>
                </w:p>
                <w:p w14:paraId="4AB5203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厂界排放</w:t>
                  </w:r>
                </w:p>
              </w:tc>
            </w:tr>
            <w:tr w14:paraId="63C41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jc w:val="center"/>
              </w:trPr>
              <w:tc>
                <w:tcPr>
                  <w:tcW w:w="272" w:type="pct"/>
                  <w:vMerge w:val="restart"/>
                  <w:tcBorders>
                    <w:tl2br w:val="nil"/>
                    <w:tr2bl w:val="nil"/>
                  </w:tcBorders>
                  <w:vAlign w:val="center"/>
                </w:tcPr>
                <w:p w14:paraId="76246FD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固废</w:t>
                  </w:r>
                </w:p>
              </w:tc>
              <w:tc>
                <w:tcPr>
                  <w:tcW w:w="565" w:type="pct"/>
                  <w:vMerge w:val="restart"/>
                  <w:tcBorders>
                    <w:tl2br w:val="nil"/>
                    <w:tr2bl w:val="nil"/>
                  </w:tcBorders>
                  <w:vAlign w:val="center"/>
                </w:tcPr>
                <w:p w14:paraId="1CCBCA9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剥绒车间</w:t>
                  </w:r>
                </w:p>
              </w:tc>
              <w:tc>
                <w:tcPr>
                  <w:tcW w:w="1091" w:type="pct"/>
                  <w:tcBorders>
                    <w:tl2br w:val="nil"/>
                    <w:tr2bl w:val="nil"/>
                  </w:tcBorders>
                  <w:vAlign w:val="center"/>
                </w:tcPr>
                <w:p w14:paraId="126B36B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初清筛</w:t>
                  </w:r>
                </w:p>
              </w:tc>
              <w:tc>
                <w:tcPr>
                  <w:tcW w:w="844" w:type="pct"/>
                  <w:tcBorders>
                    <w:tl2br w:val="nil"/>
                    <w:tr2bl w:val="nil"/>
                  </w:tcBorders>
                  <w:vAlign w:val="center"/>
                </w:tcPr>
                <w:p w14:paraId="1F7958B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铁质石块</w:t>
                  </w:r>
                </w:p>
              </w:tc>
              <w:tc>
                <w:tcPr>
                  <w:tcW w:w="374" w:type="pct"/>
                  <w:tcBorders>
                    <w:tl2br w:val="nil"/>
                    <w:tr2bl w:val="nil"/>
                  </w:tcBorders>
                  <w:vAlign w:val="center"/>
                </w:tcPr>
                <w:p w14:paraId="52327D74">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eastAsia="zh-CN"/>
                    </w:rPr>
                  </w:pPr>
                  <w:r>
                    <w:rPr>
                      <w:rFonts w:hint="default" w:ascii="Times New Roman" w:hAnsi="Times New Roman" w:eastAsia="宋体" w:cs="Times New Roman"/>
                      <w:sz w:val="21"/>
                    </w:rPr>
                    <w:t>间歇</w:t>
                  </w:r>
                </w:p>
              </w:tc>
              <w:tc>
                <w:tcPr>
                  <w:tcW w:w="1851" w:type="pct"/>
                  <w:tcBorders>
                    <w:tl2br w:val="nil"/>
                    <w:tr2bl w:val="nil"/>
                  </w:tcBorders>
                  <w:vAlign w:val="center"/>
                </w:tcPr>
                <w:p w14:paraId="1171B07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定期拉运至</w:t>
                  </w:r>
                  <w:r>
                    <w:rPr>
                      <w:rFonts w:hint="eastAsia" w:ascii="Times New Roman" w:hAnsi="Times New Roman" w:eastAsia="宋体" w:cs="Times New Roman"/>
                      <w:sz w:val="21"/>
                      <w:lang w:val="en-US" w:eastAsia="zh-CN"/>
                    </w:rPr>
                    <w:t>轮台县城镇生活垃圾填埋场</w:t>
                  </w:r>
                  <w:r>
                    <w:rPr>
                      <w:rFonts w:hint="default" w:ascii="Times New Roman" w:hAnsi="Times New Roman" w:eastAsia="宋体" w:cs="Times New Roman"/>
                      <w:sz w:val="21"/>
                      <w:lang w:val="en-US" w:eastAsia="zh-CN"/>
                    </w:rPr>
                    <w:t>处理</w:t>
                  </w:r>
                </w:p>
              </w:tc>
            </w:tr>
            <w:tr w14:paraId="7ECD8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jc w:val="center"/>
              </w:trPr>
              <w:tc>
                <w:tcPr>
                  <w:tcW w:w="272" w:type="pct"/>
                  <w:vMerge w:val="continue"/>
                  <w:tcBorders>
                    <w:tl2br w:val="nil"/>
                    <w:tr2bl w:val="nil"/>
                  </w:tcBorders>
                  <w:vAlign w:val="center"/>
                </w:tcPr>
                <w:p w14:paraId="4667DFD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p>
              </w:tc>
              <w:tc>
                <w:tcPr>
                  <w:tcW w:w="565" w:type="pct"/>
                  <w:vMerge w:val="continue"/>
                  <w:tcBorders>
                    <w:tl2br w:val="nil"/>
                    <w:tr2bl w:val="nil"/>
                  </w:tcBorders>
                  <w:vAlign w:val="center"/>
                </w:tcPr>
                <w:p w14:paraId="1E5C44E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091" w:type="pct"/>
                  <w:vMerge w:val="restart"/>
                  <w:tcBorders>
                    <w:tl2br w:val="nil"/>
                    <w:tr2bl w:val="nil"/>
                  </w:tcBorders>
                  <w:vAlign w:val="center"/>
                </w:tcPr>
                <w:p w14:paraId="2020B88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除尘器机组</w:t>
                  </w:r>
                </w:p>
              </w:tc>
              <w:tc>
                <w:tcPr>
                  <w:tcW w:w="844" w:type="pct"/>
                  <w:tcBorders>
                    <w:tl2br w:val="nil"/>
                    <w:tr2bl w:val="nil"/>
                  </w:tcBorders>
                  <w:vAlign w:val="center"/>
                </w:tcPr>
                <w:p w14:paraId="317346A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棉絮</w:t>
                  </w:r>
                </w:p>
              </w:tc>
              <w:tc>
                <w:tcPr>
                  <w:tcW w:w="374" w:type="pct"/>
                  <w:tcBorders>
                    <w:tl2br w:val="nil"/>
                    <w:tr2bl w:val="nil"/>
                  </w:tcBorders>
                  <w:vAlign w:val="center"/>
                </w:tcPr>
                <w:p w14:paraId="76F6EEBD">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间歇</w:t>
                  </w:r>
                </w:p>
              </w:tc>
              <w:tc>
                <w:tcPr>
                  <w:tcW w:w="1851" w:type="pct"/>
                  <w:tcBorders>
                    <w:tl2br w:val="nil"/>
                    <w:tr2bl w:val="nil"/>
                  </w:tcBorders>
                  <w:vAlign w:val="center"/>
                </w:tcPr>
                <w:p w14:paraId="789DDB2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回收利用</w:t>
                  </w:r>
                </w:p>
              </w:tc>
            </w:tr>
            <w:tr w14:paraId="6604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jc w:val="center"/>
              </w:trPr>
              <w:tc>
                <w:tcPr>
                  <w:tcW w:w="272" w:type="pct"/>
                  <w:vMerge w:val="continue"/>
                  <w:tcBorders>
                    <w:tl2br w:val="nil"/>
                    <w:tr2bl w:val="nil"/>
                  </w:tcBorders>
                  <w:vAlign w:val="center"/>
                </w:tcPr>
                <w:p w14:paraId="3286E20C">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p>
              </w:tc>
              <w:tc>
                <w:tcPr>
                  <w:tcW w:w="565" w:type="pct"/>
                  <w:vMerge w:val="continue"/>
                  <w:tcBorders>
                    <w:tl2br w:val="nil"/>
                    <w:tr2bl w:val="nil"/>
                  </w:tcBorders>
                  <w:vAlign w:val="center"/>
                </w:tcPr>
                <w:p w14:paraId="290680BA">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1091" w:type="pct"/>
                  <w:vMerge w:val="continue"/>
                  <w:tcBorders>
                    <w:tl2br w:val="nil"/>
                    <w:tr2bl w:val="nil"/>
                  </w:tcBorders>
                  <w:vAlign w:val="center"/>
                </w:tcPr>
                <w:p w14:paraId="5C055B48">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p>
              </w:tc>
              <w:tc>
                <w:tcPr>
                  <w:tcW w:w="844" w:type="pct"/>
                  <w:tcBorders>
                    <w:tl2br w:val="nil"/>
                    <w:tr2bl w:val="nil"/>
                  </w:tcBorders>
                  <w:vAlign w:val="center"/>
                </w:tcPr>
                <w:p w14:paraId="5A6D5A0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一般固体废物（颗粒物）</w:t>
                  </w:r>
                </w:p>
              </w:tc>
              <w:tc>
                <w:tcPr>
                  <w:tcW w:w="374" w:type="pct"/>
                  <w:tcBorders>
                    <w:tl2br w:val="nil"/>
                    <w:tr2bl w:val="nil"/>
                  </w:tcBorders>
                  <w:vAlign w:val="center"/>
                </w:tcPr>
                <w:p w14:paraId="16A1DFD1">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连续</w:t>
                  </w:r>
                </w:p>
              </w:tc>
              <w:tc>
                <w:tcPr>
                  <w:tcW w:w="1851" w:type="pct"/>
                  <w:tcBorders>
                    <w:tl2br w:val="nil"/>
                    <w:tr2bl w:val="nil"/>
                  </w:tcBorders>
                  <w:vAlign w:val="center"/>
                </w:tcPr>
                <w:p w14:paraId="359CA557">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定期拉运至</w:t>
                  </w:r>
                  <w:r>
                    <w:rPr>
                      <w:rFonts w:hint="eastAsia" w:ascii="Times New Roman" w:hAnsi="Times New Roman" w:eastAsia="宋体" w:cs="Times New Roman"/>
                      <w:sz w:val="21"/>
                      <w:lang w:val="en-US" w:eastAsia="zh-CN"/>
                    </w:rPr>
                    <w:t>轮台县城镇生活垃圾填埋场</w:t>
                  </w:r>
                  <w:r>
                    <w:rPr>
                      <w:rFonts w:hint="default" w:ascii="Times New Roman" w:hAnsi="Times New Roman" w:eastAsia="宋体" w:cs="Times New Roman"/>
                      <w:sz w:val="21"/>
                      <w:lang w:val="en-US" w:eastAsia="zh-CN"/>
                    </w:rPr>
                    <w:t>处理</w:t>
                  </w:r>
                </w:p>
              </w:tc>
            </w:tr>
            <w:tr w14:paraId="043BF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jc w:val="center"/>
              </w:trPr>
              <w:tc>
                <w:tcPr>
                  <w:tcW w:w="272" w:type="pct"/>
                  <w:vMerge w:val="continue"/>
                  <w:tcBorders>
                    <w:tl2br w:val="nil"/>
                    <w:tr2bl w:val="nil"/>
                  </w:tcBorders>
                  <w:vAlign w:val="center"/>
                </w:tcPr>
                <w:p w14:paraId="6F3B6D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127B07E0">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预处理车间</w:t>
                  </w:r>
                </w:p>
              </w:tc>
              <w:tc>
                <w:tcPr>
                  <w:tcW w:w="1091" w:type="pct"/>
                  <w:tcBorders>
                    <w:tl2br w:val="nil"/>
                    <w:tr2bl w:val="nil"/>
                  </w:tcBorders>
                  <w:vAlign w:val="center"/>
                </w:tcPr>
                <w:p w14:paraId="0F9DA3F6">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除尘机组</w:t>
                  </w:r>
                </w:p>
              </w:tc>
              <w:tc>
                <w:tcPr>
                  <w:tcW w:w="844" w:type="pct"/>
                  <w:tcBorders>
                    <w:tl2br w:val="nil"/>
                    <w:tr2bl w:val="nil"/>
                  </w:tcBorders>
                  <w:vAlign w:val="center"/>
                </w:tcPr>
                <w:p w14:paraId="14FD92B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一般固体废物（颗粒物）</w:t>
                  </w:r>
                </w:p>
              </w:tc>
              <w:tc>
                <w:tcPr>
                  <w:tcW w:w="374" w:type="pct"/>
                  <w:tcBorders>
                    <w:tl2br w:val="nil"/>
                    <w:tr2bl w:val="nil"/>
                  </w:tcBorders>
                  <w:vAlign w:val="center"/>
                </w:tcPr>
                <w:p w14:paraId="7C5EEB04">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间歇</w:t>
                  </w:r>
                </w:p>
              </w:tc>
              <w:tc>
                <w:tcPr>
                  <w:tcW w:w="1851" w:type="pct"/>
                  <w:vMerge w:val="restart"/>
                  <w:tcBorders>
                    <w:tl2br w:val="nil"/>
                    <w:tr2bl w:val="nil"/>
                  </w:tcBorders>
                  <w:vAlign w:val="center"/>
                </w:tcPr>
                <w:p w14:paraId="113758E2">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棉絮回收外售，颗粒物、污水处理站污泥，定期</w:t>
                  </w:r>
                  <w:r>
                    <w:rPr>
                      <w:rFonts w:hint="default" w:ascii="Times New Roman" w:hAnsi="Times New Roman" w:eastAsia="宋体" w:cs="Times New Roman"/>
                      <w:sz w:val="21"/>
                      <w:lang w:val="en-US" w:eastAsia="zh-CN"/>
                    </w:rPr>
                    <w:t>拉运至</w:t>
                  </w:r>
                  <w:r>
                    <w:rPr>
                      <w:rFonts w:hint="eastAsia" w:ascii="Times New Roman" w:hAnsi="Times New Roman" w:eastAsia="宋体" w:cs="Times New Roman"/>
                      <w:sz w:val="21"/>
                      <w:lang w:val="en-US" w:eastAsia="zh-CN"/>
                    </w:rPr>
                    <w:t>轮台县城镇生活垃圾填埋场</w:t>
                  </w:r>
                  <w:r>
                    <w:rPr>
                      <w:rFonts w:hint="default" w:ascii="Times New Roman" w:hAnsi="Times New Roman" w:eastAsia="宋体" w:cs="Times New Roman"/>
                      <w:sz w:val="21"/>
                      <w:lang w:val="en-US" w:eastAsia="zh-CN"/>
                    </w:rPr>
                    <w:t>处理</w:t>
                  </w:r>
                  <w:r>
                    <w:rPr>
                      <w:rFonts w:hint="eastAsia" w:ascii="Times New Roman" w:hAnsi="Times New Roman" w:eastAsia="宋体" w:cs="Times New Roman"/>
                      <w:sz w:val="21"/>
                      <w:lang w:val="en-US" w:eastAsia="zh-CN"/>
                    </w:rPr>
                    <w:t>。</w:t>
                  </w:r>
                </w:p>
              </w:tc>
            </w:tr>
            <w:tr w14:paraId="5B5A6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jc w:val="center"/>
              </w:trPr>
              <w:tc>
                <w:tcPr>
                  <w:tcW w:w="272" w:type="pct"/>
                  <w:vMerge w:val="continue"/>
                  <w:tcBorders>
                    <w:tl2br w:val="nil"/>
                    <w:tr2bl w:val="nil"/>
                  </w:tcBorders>
                  <w:vAlign w:val="center"/>
                </w:tcPr>
                <w:p w14:paraId="73681B8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565" w:type="pct"/>
                  <w:tcBorders>
                    <w:tl2br w:val="nil"/>
                    <w:tr2bl w:val="nil"/>
                  </w:tcBorders>
                  <w:vAlign w:val="center"/>
                </w:tcPr>
                <w:p w14:paraId="61052458">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污水处理站</w:t>
                  </w:r>
                </w:p>
              </w:tc>
              <w:tc>
                <w:tcPr>
                  <w:tcW w:w="1091" w:type="pct"/>
                  <w:tcBorders>
                    <w:tl2br w:val="nil"/>
                    <w:tr2bl w:val="nil"/>
                  </w:tcBorders>
                  <w:vAlign w:val="center"/>
                </w:tcPr>
                <w:p w14:paraId="3EC5C98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污水处理站</w:t>
                  </w:r>
                </w:p>
              </w:tc>
              <w:tc>
                <w:tcPr>
                  <w:tcW w:w="844" w:type="pct"/>
                  <w:tcBorders>
                    <w:tl2br w:val="nil"/>
                    <w:tr2bl w:val="nil"/>
                  </w:tcBorders>
                  <w:vAlign w:val="center"/>
                </w:tcPr>
                <w:p w14:paraId="48E0A839">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一般固体废物（污泥）</w:t>
                  </w:r>
                </w:p>
              </w:tc>
              <w:tc>
                <w:tcPr>
                  <w:tcW w:w="374" w:type="pct"/>
                  <w:tcBorders>
                    <w:tl2br w:val="nil"/>
                    <w:tr2bl w:val="nil"/>
                  </w:tcBorders>
                  <w:vAlign w:val="center"/>
                </w:tcPr>
                <w:p w14:paraId="16B546B4">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间歇</w:t>
                  </w:r>
                </w:p>
              </w:tc>
              <w:tc>
                <w:tcPr>
                  <w:tcW w:w="1851" w:type="pct"/>
                  <w:vMerge w:val="continue"/>
                  <w:tcBorders>
                    <w:tl2br w:val="nil"/>
                    <w:tr2bl w:val="nil"/>
                  </w:tcBorders>
                  <w:vAlign w:val="center"/>
                </w:tcPr>
                <w:p w14:paraId="2D09558B">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lang w:val="en-US" w:eastAsia="zh-CN"/>
                    </w:rPr>
                  </w:pPr>
                </w:p>
              </w:tc>
            </w:tr>
            <w:tr w14:paraId="38936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272" w:type="pct"/>
                  <w:vMerge w:val="continue"/>
                  <w:tcBorders>
                    <w:tl2br w:val="nil"/>
                    <w:tr2bl w:val="nil"/>
                  </w:tcBorders>
                  <w:vAlign w:val="center"/>
                </w:tcPr>
                <w:p w14:paraId="6BBE25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
                      <w:szCs w:val="2"/>
                    </w:rPr>
                  </w:pPr>
                </w:p>
              </w:tc>
              <w:tc>
                <w:tcPr>
                  <w:tcW w:w="1657" w:type="pct"/>
                  <w:gridSpan w:val="2"/>
                  <w:tcBorders>
                    <w:tl2br w:val="nil"/>
                    <w:tr2bl w:val="nil"/>
                  </w:tcBorders>
                  <w:vAlign w:val="center"/>
                </w:tcPr>
                <w:p w14:paraId="13A814A5">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生活垃圾</w:t>
                  </w:r>
                </w:p>
              </w:tc>
              <w:tc>
                <w:tcPr>
                  <w:tcW w:w="844" w:type="pct"/>
                  <w:tcBorders>
                    <w:tl2br w:val="nil"/>
                    <w:tr2bl w:val="nil"/>
                  </w:tcBorders>
                  <w:vAlign w:val="center"/>
                </w:tcPr>
                <w:p w14:paraId="651FD093">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w:t>
                  </w:r>
                </w:p>
              </w:tc>
              <w:tc>
                <w:tcPr>
                  <w:tcW w:w="374" w:type="pct"/>
                  <w:tcBorders>
                    <w:tl2br w:val="nil"/>
                    <w:tr2bl w:val="nil"/>
                  </w:tcBorders>
                  <w:vAlign w:val="center"/>
                </w:tcPr>
                <w:p w14:paraId="37681DDF">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间歇</w:t>
                  </w:r>
                </w:p>
              </w:tc>
              <w:tc>
                <w:tcPr>
                  <w:tcW w:w="1851" w:type="pct"/>
                  <w:tcBorders>
                    <w:tl2br w:val="nil"/>
                    <w:tr2bl w:val="nil"/>
                  </w:tcBorders>
                  <w:vAlign w:val="center"/>
                </w:tcPr>
                <w:p w14:paraId="2880CE60">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color w:val="auto"/>
                      <w:spacing w:val="0"/>
                      <w:kern w:val="2"/>
                      <w:sz w:val="21"/>
                      <w:szCs w:val="21"/>
                      <w:lang w:val="en-US" w:eastAsia="zh-CN" w:bidi="ar-SA"/>
                    </w:rPr>
                    <w:t>定期拉运至</w:t>
                  </w:r>
                  <w:r>
                    <w:rPr>
                      <w:rFonts w:hint="eastAsia" w:ascii="Times New Roman" w:hAnsi="Times New Roman" w:eastAsia="宋体" w:cs="Times New Roman"/>
                      <w:sz w:val="21"/>
                      <w:lang w:val="en-US" w:eastAsia="zh-CN"/>
                    </w:rPr>
                    <w:t>轮台县城镇生活垃圾填埋场</w:t>
                  </w:r>
                  <w:r>
                    <w:rPr>
                      <w:rFonts w:hint="default" w:ascii="Times New Roman" w:hAnsi="Times New Roman" w:eastAsia="宋体" w:cs="Times New Roman"/>
                      <w:sz w:val="21"/>
                      <w:lang w:val="en-US" w:eastAsia="zh-CN"/>
                    </w:rPr>
                    <w:t>处理</w:t>
                  </w:r>
                </w:p>
              </w:tc>
            </w:tr>
          </w:tbl>
          <w:p w14:paraId="23D622E9">
            <w:pPr>
              <w:pStyle w:val="26"/>
              <w:keepNext w:val="0"/>
              <w:keepLines w:val="0"/>
              <w:pageBreakBefore w:val="0"/>
              <w:widowControl w:val="0"/>
              <w:kinsoku/>
              <w:wordWrap/>
              <w:overflowPunct/>
              <w:topLinePunct w:val="0"/>
              <w:bidi w:val="0"/>
              <w:snapToGrid/>
              <w:spacing w:beforeLines="0" w:afterLines="0" w:line="348" w:lineRule="auto"/>
              <w:textAlignment w:val="auto"/>
              <w:rPr>
                <w:rFonts w:hint="default" w:ascii="宋体" w:hAnsi="宋体" w:eastAsia="宋体"/>
                <w:bCs/>
                <w:szCs w:val="21"/>
                <w:lang w:val="en-US" w:eastAsia="zh-CN"/>
              </w:rPr>
            </w:pPr>
          </w:p>
        </w:tc>
      </w:tr>
      <w:tr w14:paraId="40D25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1048" w:type="dxa"/>
            <w:tcBorders>
              <w:tl2br w:val="nil"/>
              <w:tr2bl w:val="nil"/>
            </w:tcBorders>
            <w:noWrap w:val="0"/>
            <w:vAlign w:val="center"/>
          </w:tcPr>
          <w:p w14:paraId="3390BD1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192" w:lineRule="auto"/>
              <w:jc w:val="center"/>
              <w:textAlignment w:val="auto"/>
              <w:rPr>
                <w:rFonts w:cs="宋体"/>
                <w:b/>
                <w:bCs/>
                <w:sz w:val="24"/>
                <w:szCs w:val="24"/>
              </w:rPr>
            </w:pPr>
            <w:r>
              <w:rPr>
                <w:rFonts w:hint="eastAsia" w:cs="宋体"/>
                <w:b/>
                <w:bCs/>
                <w:kern w:val="2"/>
                <w:sz w:val="24"/>
                <w:szCs w:val="24"/>
              </w:rPr>
              <w:t>与项目有关的原有环境污染问题</w:t>
            </w:r>
          </w:p>
        </w:tc>
        <w:tc>
          <w:tcPr>
            <w:tcW w:w="7752" w:type="dxa"/>
            <w:tcBorders>
              <w:tl2br w:val="nil"/>
              <w:tr2bl w:val="nil"/>
            </w:tcBorders>
            <w:noWrap w:val="0"/>
            <w:vAlign w:val="center"/>
          </w:tcPr>
          <w:p w14:paraId="04BC4A7D">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both"/>
              <w:textAlignment w:val="auto"/>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1 现有环保手续履行情况</w:t>
            </w:r>
          </w:p>
          <w:p w14:paraId="36DA95F6">
            <w:pPr>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建设单位现有环保手续履行情况见表2-</w:t>
            </w:r>
            <w:r>
              <w:rPr>
                <w:rFonts w:hint="eastAsia" w:cs="Times New Roman"/>
                <w:kern w:val="2"/>
                <w:sz w:val="24"/>
                <w:szCs w:val="24"/>
                <w:lang w:val="en-US" w:eastAsia="zh-CN" w:bidi="ar-SA"/>
              </w:rPr>
              <w:t>10</w:t>
            </w:r>
            <w:r>
              <w:rPr>
                <w:rFonts w:hint="eastAsia" w:ascii="Times New Roman" w:hAnsi="Times New Roman" w:eastAsia="宋体" w:cs="Times New Roman"/>
                <w:kern w:val="2"/>
                <w:sz w:val="24"/>
                <w:szCs w:val="24"/>
                <w:lang w:val="en-US" w:eastAsia="zh-CN" w:bidi="ar-SA"/>
              </w:rPr>
              <w:t>。</w:t>
            </w:r>
          </w:p>
          <w:p w14:paraId="69B12DFE">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黑体" w:hAnsi="黑体" w:eastAsia="黑体" w:cs="黑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表2-10    项目环境保护手续履行情况一览表</w:t>
            </w:r>
          </w:p>
          <w:tbl>
            <w:tblPr>
              <w:tblStyle w:val="22"/>
              <w:tblW w:w="498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55"/>
              <w:gridCol w:w="2798"/>
              <w:gridCol w:w="2237"/>
            </w:tblGrid>
            <w:tr w14:paraId="29515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38" w:type="pct"/>
                  <w:tcBorders>
                    <w:tl2br w:val="nil"/>
                    <w:tr2bl w:val="nil"/>
                  </w:tcBorders>
                  <w:noWrap w:val="0"/>
                  <w:vAlign w:val="center"/>
                </w:tcPr>
                <w:p w14:paraId="3D0C75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项目名称</w:t>
                  </w:r>
                </w:p>
              </w:tc>
              <w:tc>
                <w:tcPr>
                  <w:tcW w:w="1867" w:type="pct"/>
                  <w:tcBorders>
                    <w:tl2br w:val="nil"/>
                    <w:tr2bl w:val="nil"/>
                  </w:tcBorders>
                  <w:noWrap w:val="0"/>
                  <w:vAlign w:val="center"/>
                </w:tcPr>
                <w:p w14:paraId="3669FF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环评情况</w:t>
                  </w:r>
                </w:p>
              </w:tc>
              <w:tc>
                <w:tcPr>
                  <w:tcW w:w="1493" w:type="pct"/>
                  <w:tcBorders>
                    <w:tl2br w:val="nil"/>
                    <w:tr2bl w:val="nil"/>
                  </w:tcBorders>
                  <w:noWrap w:val="0"/>
                  <w:vAlign w:val="center"/>
                </w:tcPr>
                <w:p w14:paraId="16A91A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验收情况</w:t>
                  </w:r>
                </w:p>
              </w:tc>
            </w:tr>
            <w:tr w14:paraId="5420F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638" w:type="pct"/>
                  <w:tcBorders>
                    <w:tl2br w:val="nil"/>
                    <w:tr2bl w:val="nil"/>
                  </w:tcBorders>
                  <w:noWrap w:val="0"/>
                  <w:vAlign w:val="center"/>
                </w:tcPr>
                <w:p w14:paraId="61431E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巴州鸿泰棉业有限公司日处理500吨棉籽精炼油项目</w:t>
                  </w:r>
                </w:p>
              </w:tc>
              <w:tc>
                <w:tcPr>
                  <w:tcW w:w="1867" w:type="pct"/>
                  <w:tcBorders>
                    <w:tl2br w:val="nil"/>
                    <w:tr2bl w:val="nil"/>
                  </w:tcBorders>
                  <w:noWrap w:val="0"/>
                  <w:vAlign w:val="center"/>
                </w:tcPr>
                <w:p w14:paraId="50EDA9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default" w:ascii="Times New Roman" w:hAnsi="Times New Roman" w:eastAsia="宋体" w:cs="Times New Roman"/>
                      <w:b w:val="0"/>
                      <w:bCs w:val="0"/>
                      <w:sz w:val="21"/>
                      <w:szCs w:val="20"/>
                      <w:vertAlign w:val="baseline"/>
                      <w:lang w:val="en-US" w:eastAsia="zh-CN"/>
                    </w:rPr>
                    <w:t>中国冶金地质总局地球物理勘查院编制</w:t>
                  </w:r>
                  <w:r>
                    <w:rPr>
                      <w:rFonts w:hint="eastAsia" w:ascii="Times New Roman" w:hAnsi="Times New Roman" w:eastAsia="宋体" w:cs="Times New Roman"/>
                      <w:b w:val="0"/>
                      <w:bCs w:val="0"/>
                      <w:sz w:val="21"/>
                      <w:szCs w:val="20"/>
                      <w:vertAlign w:val="baseline"/>
                      <w:lang w:val="en-US" w:eastAsia="zh-CN"/>
                    </w:rPr>
                    <w:t>，原巴州环保局审批，批复号（巴环控函</w:t>
                  </w:r>
                  <w:r>
                    <w:rPr>
                      <w:rFonts w:hint="default" w:ascii="Times New Roman" w:hAnsi="Times New Roman" w:eastAsia="宋体" w:cs="Times New Roman"/>
                      <w:b w:val="0"/>
                      <w:bCs w:val="0"/>
                      <w:sz w:val="21"/>
                      <w:szCs w:val="20"/>
                      <w:vertAlign w:val="baseline"/>
                      <w:lang w:val="en-US" w:eastAsia="zh-CN"/>
                    </w:rPr>
                    <w:t>〔20</w:t>
                  </w:r>
                  <w:r>
                    <w:rPr>
                      <w:rFonts w:hint="eastAsia" w:ascii="Times New Roman" w:hAnsi="Times New Roman" w:eastAsia="宋体" w:cs="Times New Roman"/>
                      <w:b w:val="0"/>
                      <w:bCs w:val="0"/>
                      <w:sz w:val="21"/>
                      <w:szCs w:val="20"/>
                      <w:vertAlign w:val="baseline"/>
                      <w:lang w:val="en-US" w:eastAsia="zh-CN"/>
                    </w:rPr>
                    <w:t>10</w:t>
                  </w:r>
                  <w:r>
                    <w:rPr>
                      <w:rFonts w:hint="default" w:ascii="Times New Roman" w:hAnsi="Times New Roman" w:eastAsia="宋体" w:cs="Times New Roman"/>
                      <w:b w:val="0"/>
                      <w:bCs w:val="0"/>
                      <w:sz w:val="21"/>
                      <w:szCs w:val="20"/>
                      <w:vertAlign w:val="baseline"/>
                      <w:lang w:val="en-US" w:eastAsia="zh-CN"/>
                    </w:rPr>
                    <w:t>〕</w:t>
                  </w:r>
                  <w:r>
                    <w:rPr>
                      <w:rFonts w:hint="eastAsia" w:ascii="Times New Roman" w:hAnsi="Times New Roman" w:eastAsia="宋体" w:cs="Times New Roman"/>
                      <w:b w:val="0"/>
                      <w:bCs w:val="0"/>
                      <w:sz w:val="21"/>
                      <w:szCs w:val="20"/>
                      <w:vertAlign w:val="baseline"/>
                      <w:lang w:val="en-US" w:eastAsia="zh-CN"/>
                    </w:rPr>
                    <w:t>428号）</w:t>
                  </w:r>
                </w:p>
              </w:tc>
              <w:tc>
                <w:tcPr>
                  <w:tcW w:w="1493" w:type="pct"/>
                  <w:tcBorders>
                    <w:tl2br w:val="nil"/>
                    <w:tr2bl w:val="nil"/>
                  </w:tcBorders>
                  <w:noWrap w:val="0"/>
                  <w:vAlign w:val="center"/>
                </w:tcPr>
                <w:p w14:paraId="60A8D9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lang w:val="en-US" w:eastAsia="zh-CN"/>
                    </w:rPr>
                  </w:pPr>
                  <w:r>
                    <w:rPr>
                      <w:rFonts w:hint="eastAsia"/>
                      <w:lang w:val="en-US" w:eastAsia="zh-CN"/>
                    </w:rPr>
                    <w:t>未进行验收</w:t>
                  </w:r>
                </w:p>
              </w:tc>
            </w:tr>
            <w:tr w14:paraId="0FE84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638" w:type="pct"/>
                  <w:tcBorders>
                    <w:tl2br w:val="nil"/>
                    <w:tr2bl w:val="nil"/>
                  </w:tcBorders>
                  <w:noWrap w:val="0"/>
                  <w:vAlign w:val="center"/>
                </w:tcPr>
                <w:p w14:paraId="2539BB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巴州鸿泰棉业有限公司油脂厂日处理500吨棉籽精油配套辅助项目环</w:t>
                  </w:r>
                </w:p>
              </w:tc>
              <w:tc>
                <w:tcPr>
                  <w:tcW w:w="1867" w:type="pct"/>
                  <w:tcBorders>
                    <w:tl2br w:val="nil"/>
                    <w:tr2bl w:val="nil"/>
                  </w:tcBorders>
                  <w:noWrap w:val="0"/>
                  <w:vAlign w:val="center"/>
                </w:tcPr>
                <w:p w14:paraId="5D9A6E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新疆德广晟环保科技有限公司，巴州生态环境局轮台县分局审批，批复号（轮环发〔2022〕38号）</w:t>
                  </w:r>
                </w:p>
              </w:tc>
              <w:tc>
                <w:tcPr>
                  <w:tcW w:w="1493" w:type="pct"/>
                  <w:tcBorders>
                    <w:tl2br w:val="nil"/>
                    <w:tr2bl w:val="nil"/>
                  </w:tcBorders>
                  <w:noWrap w:val="0"/>
                  <w:vAlign w:val="center"/>
                </w:tcPr>
                <w:p w14:paraId="3005FD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未进行验收</w:t>
                  </w:r>
                </w:p>
              </w:tc>
            </w:tr>
            <w:tr w14:paraId="5013A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1638" w:type="pct"/>
                  <w:tcBorders>
                    <w:tl2br w:val="nil"/>
                    <w:tr2bl w:val="nil"/>
                  </w:tcBorders>
                  <w:noWrap w:val="0"/>
                  <w:vAlign w:val="center"/>
                </w:tcPr>
                <w:p w14:paraId="30153C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排污许可执行情况</w:t>
                  </w:r>
                </w:p>
              </w:tc>
              <w:tc>
                <w:tcPr>
                  <w:tcW w:w="1867" w:type="pct"/>
                  <w:tcBorders>
                    <w:tl2br w:val="nil"/>
                    <w:tr2bl w:val="nil"/>
                  </w:tcBorders>
                  <w:noWrap w:val="0"/>
                  <w:vAlign w:val="center"/>
                </w:tcPr>
                <w:p w14:paraId="60B2DA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ascii="Times New Roman" w:hAnsi="Times New Roman" w:eastAsia="宋体" w:cs="Times New Roman"/>
                      <w:b w:val="0"/>
                      <w:bCs w:val="0"/>
                      <w:sz w:val="21"/>
                      <w:szCs w:val="20"/>
                      <w:vertAlign w:val="baseline"/>
                      <w:lang w:val="en-US" w:eastAsia="zh-CN"/>
                    </w:rPr>
                    <w:t>/</w:t>
                  </w:r>
                </w:p>
              </w:tc>
              <w:tc>
                <w:tcPr>
                  <w:tcW w:w="1493" w:type="pct"/>
                  <w:tcBorders>
                    <w:tl2br w:val="nil"/>
                    <w:tr2bl w:val="nil"/>
                  </w:tcBorders>
                  <w:noWrap w:val="0"/>
                  <w:vAlign w:val="center"/>
                </w:tcPr>
                <w:p w14:paraId="2FC146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 w:val="0"/>
                      <w:bCs w:val="0"/>
                      <w:sz w:val="21"/>
                      <w:szCs w:val="20"/>
                      <w:vertAlign w:val="baseline"/>
                      <w:lang w:val="en-US" w:eastAsia="zh-CN"/>
                    </w:rPr>
                  </w:pPr>
                  <w:r>
                    <w:rPr>
                      <w:rFonts w:hint="eastAsia" w:cs="Times New Roman"/>
                      <w:b w:val="0"/>
                      <w:bCs w:val="0"/>
                      <w:sz w:val="21"/>
                      <w:szCs w:val="20"/>
                      <w:vertAlign w:val="baseline"/>
                      <w:lang w:val="en-US" w:eastAsia="zh-CN"/>
                    </w:rPr>
                    <w:t>项目由于长时间停产，设备正在试运行阶段</w:t>
                  </w:r>
                  <w:r>
                    <w:rPr>
                      <w:rFonts w:hint="eastAsia" w:ascii="Times New Roman" w:hAnsi="Times New Roman" w:eastAsia="宋体" w:cs="Times New Roman"/>
                      <w:b w:val="0"/>
                      <w:bCs w:val="0"/>
                      <w:sz w:val="21"/>
                      <w:szCs w:val="20"/>
                      <w:vertAlign w:val="baseline"/>
                      <w:lang w:val="en-US" w:eastAsia="zh-CN"/>
                    </w:rPr>
                    <w:t>，未申请排污许可</w:t>
                  </w:r>
                  <w:r>
                    <w:rPr>
                      <w:rFonts w:hint="eastAsia" w:cs="Times New Roman"/>
                      <w:b w:val="0"/>
                      <w:bCs w:val="0"/>
                      <w:sz w:val="21"/>
                      <w:szCs w:val="20"/>
                      <w:vertAlign w:val="baseline"/>
                      <w:lang w:val="en-US" w:eastAsia="zh-CN"/>
                    </w:rPr>
                    <w:t>证</w:t>
                  </w:r>
                </w:p>
              </w:tc>
            </w:tr>
          </w:tbl>
          <w:p w14:paraId="31EC4AD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2 厂区现状简介</w:t>
            </w:r>
          </w:p>
          <w:p w14:paraId="2062CE3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巴州鸿泰棉业有限公司于2010年5月取得环评批复，后开始建设，2012年8月建成本厂，建</w:t>
            </w:r>
            <w:r>
              <w:rPr>
                <w:rFonts w:hint="eastAsia" w:ascii="Times New Roman" w:hAnsi="Times New Roman" w:eastAsia="宋体" w:cs="Times New Roman"/>
                <w:b w:val="0"/>
                <w:bCs w:val="0"/>
                <w:color w:val="auto"/>
                <w:kern w:val="2"/>
                <w:sz w:val="24"/>
                <w:szCs w:val="24"/>
                <w:highlight w:val="none"/>
                <w:lang w:val="en-US" w:eastAsia="zh-CN" w:bidi="ar-SA"/>
              </w:rPr>
              <w:t>设了</w:t>
            </w:r>
            <w:r>
              <w:rPr>
                <w:rFonts w:hint="eastAsia" w:ascii="Times New Roman" w:hAnsi="Times New Roman" w:eastAsia="宋体" w:cs="Times New Roman"/>
                <w:color w:val="auto"/>
                <w:sz w:val="24"/>
                <w:szCs w:val="24"/>
                <w:highlight w:val="none"/>
                <w:lang w:val="en-US" w:eastAsia="zh-CN"/>
              </w:rPr>
              <w:t>剥</w:t>
            </w:r>
            <w:r>
              <w:rPr>
                <w:rFonts w:hint="default" w:ascii="Times New Roman" w:hAnsi="Times New Roman" w:eastAsia="宋体" w:cs="Times New Roman"/>
                <w:color w:val="auto"/>
                <w:sz w:val="24"/>
                <w:szCs w:val="24"/>
                <w:highlight w:val="none"/>
              </w:rPr>
              <w:t>绒车间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预处理车间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浸出</w:t>
            </w:r>
            <w:r>
              <w:rPr>
                <w:rFonts w:hint="default" w:ascii="Times New Roman" w:hAnsi="Times New Roman" w:eastAsia="宋体" w:cs="Times New Roman"/>
                <w:color w:val="auto"/>
                <w:sz w:val="24"/>
                <w:szCs w:val="24"/>
                <w:lang w:val="en-US" w:eastAsia="zh-CN"/>
              </w:rPr>
              <w:t>车间</w:t>
            </w:r>
            <w:r>
              <w:rPr>
                <w:rFonts w:hint="eastAsia" w:ascii="Times New Roman" w:hAnsi="Times New Roman" w:eastAsia="宋体" w:cs="Times New Roman"/>
                <w:b w:val="0"/>
                <w:bCs w:val="0"/>
                <w:color w:val="auto"/>
                <w:kern w:val="2"/>
                <w:sz w:val="24"/>
                <w:szCs w:val="24"/>
                <w:lang w:val="en-US" w:eastAsia="zh-CN" w:bidi="ar-SA"/>
              </w:rPr>
              <w:t>，本年12月进行试运行，</w:t>
            </w:r>
            <w:r>
              <w:rPr>
                <w:rFonts w:hint="eastAsia" w:ascii="Times New Roman" w:hAnsi="Times New Roman" w:eastAsia="宋体" w:cs="Times New Roman"/>
                <w:color w:val="auto"/>
                <w:sz w:val="24"/>
                <w:szCs w:val="24"/>
                <w:lang w:val="en-US" w:eastAsia="zh-CN"/>
              </w:rPr>
              <w:t>在试运营过程中发现6吨燃气锅炉产生的蒸汽不能满足项目生产需求，且项目工艺废水未建立治理措施，污水不能得到良好的处理，排放污染物不符合进入市政管网的要求，后进行停产，未进行竣工验收，加上</w:t>
            </w:r>
            <w:r>
              <w:rPr>
                <w:rFonts w:hint="eastAsia" w:ascii="Times New Roman" w:hAnsi="Times New Roman" w:eastAsia="宋体" w:cs="Times New Roman"/>
                <w:b w:val="0"/>
                <w:bCs w:val="0"/>
                <w:color w:val="auto"/>
                <w:kern w:val="2"/>
                <w:sz w:val="24"/>
                <w:szCs w:val="24"/>
                <w:lang w:val="en-US" w:eastAsia="zh-CN" w:bidi="ar-SA"/>
              </w:rPr>
              <w:t>项目因而市场变动加上资金投入不到位至今未投入生产。2013试运行后2021年停产，2022年建设单位准备重启该项目把6t锅炉升级为10t锅炉</w:t>
            </w:r>
            <w:r>
              <w:rPr>
                <w:rFonts w:hint="eastAsia" w:ascii="Times New Roman" w:hAnsi="Times New Roman" w:eastAsia="宋体" w:cs="Times New Roman"/>
                <w:color w:val="auto"/>
                <w:sz w:val="24"/>
                <w:szCs w:val="24"/>
                <w:lang w:val="en-US" w:eastAsia="zh-CN"/>
              </w:rPr>
              <w:t>，新建日处理100t/d污水处理，采用二级气浮工艺+SBR工艺，2</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022年4月取得轮台县分局出具的环评批复，2024年8月建设单位对10t燃气锅炉及污水处理站进行了建设，2025年5月新疆同芃生物科技有限公司成立，为巴州鸿泰棉业有限公司子公司，接手该棉籽油加工厂，后2025年6月发现10t燃气锅炉不能满足厂区蒸汽要求，决定新建15t燃气锅炉</w:t>
            </w:r>
            <w:r>
              <w:rPr>
                <w:rFonts w:hint="eastAsia" w:cs="Times New Roman"/>
                <w:color w:val="auto"/>
                <w:sz w:val="24"/>
                <w:szCs w:val="24"/>
                <w:lang w:val="en-US" w:eastAsia="zh-CN"/>
              </w:rPr>
              <w:t>，现有10t锅炉备用，</w:t>
            </w:r>
            <w:r>
              <w:rPr>
                <w:rFonts w:hint="eastAsia" w:ascii="Times New Roman" w:hAnsi="Times New Roman" w:eastAsia="宋体" w:cs="Times New Roman"/>
                <w:color w:val="auto"/>
                <w:sz w:val="24"/>
                <w:szCs w:val="24"/>
                <w:lang w:val="en-US" w:eastAsia="zh-CN"/>
              </w:rPr>
              <w:t>目前原有设备因常年未进行运行，年久失修加上植物油产品质量标准更新，现有设备不能符合</w:t>
            </w:r>
            <w:r>
              <w:rPr>
                <w:rFonts w:ascii="宋体" w:hAnsi="宋体" w:eastAsia="宋体" w:cs="宋体"/>
                <w:sz w:val="24"/>
                <w:szCs w:val="24"/>
              </w:rPr>
              <w:t>植物油加工设备安全卫生要求</w:t>
            </w:r>
            <w:r>
              <w:rPr>
                <w:rFonts w:hint="eastAsia" w:ascii="Times New Roman" w:hAnsi="Times New Roman" w:eastAsia="宋体" w:cs="Times New Roman"/>
                <w:color w:val="auto"/>
                <w:sz w:val="24"/>
                <w:szCs w:val="24"/>
                <w:lang w:val="en-US" w:eastAsia="zh-CN"/>
              </w:rPr>
              <w:t>，建设单位对原有设备工艺进行了大规模调整，原环评报告及其他厂区资料已经遗失，加上原有厂区技术人员已离职，目前建设单位无人员对原有工艺了解工作人员，本环评不在对原有工艺情况进行介绍。</w:t>
            </w:r>
          </w:p>
          <w:p w14:paraId="4640D0C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3 现有工程污染物产生及达标情况</w:t>
            </w:r>
          </w:p>
          <w:p w14:paraId="2FDC0C4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val="0"/>
                <w:sz w:val="24"/>
                <w:szCs w:val="24"/>
                <w:highlight w:val="none"/>
                <w:lang w:val="en-US" w:eastAsia="zh-CN"/>
              </w:rPr>
            </w:pPr>
            <w:r>
              <w:rPr>
                <w:rFonts w:hint="eastAsia" w:cs="Times New Roman"/>
                <w:b w:val="0"/>
                <w:bCs w:val="0"/>
                <w:sz w:val="24"/>
                <w:szCs w:val="24"/>
                <w:highlight w:val="none"/>
                <w:lang w:val="en-US" w:eastAsia="zh-CN"/>
              </w:rPr>
              <w:t>现有厂区目前长时间未进行运行，工艺已调整，无排污许可执行报告。未进行自行监测。</w:t>
            </w:r>
          </w:p>
          <w:p w14:paraId="3549845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b/>
                <w:bCs/>
                <w:sz w:val="24"/>
                <w:szCs w:val="24"/>
                <w:highlight w:val="none"/>
                <w:lang w:val="en-US" w:eastAsia="zh-CN"/>
              </w:rPr>
            </w:pPr>
            <w:r>
              <w:rPr>
                <w:rFonts w:hint="eastAsia" w:cs="Times New Roman"/>
                <w:b/>
                <w:bCs/>
                <w:sz w:val="24"/>
                <w:szCs w:val="24"/>
                <w:highlight w:val="none"/>
                <w:lang w:val="en-US" w:eastAsia="zh-CN"/>
              </w:rPr>
              <w:t>4</w:t>
            </w:r>
            <w:r>
              <w:rPr>
                <w:rFonts w:hint="eastAsia" w:ascii="Times New Roman" w:hAnsi="Times New Roman" w:eastAsia="宋体" w:cs="Times New Roman"/>
                <w:b/>
                <w:bCs/>
                <w:sz w:val="24"/>
                <w:szCs w:val="24"/>
                <w:highlight w:val="none"/>
                <w:lang w:val="en-US" w:eastAsia="zh-CN"/>
              </w:rPr>
              <w:t xml:space="preserve"> </w:t>
            </w:r>
            <w:r>
              <w:rPr>
                <w:rFonts w:hint="eastAsia" w:cs="Times New Roman"/>
                <w:b/>
                <w:bCs/>
                <w:sz w:val="24"/>
                <w:szCs w:val="24"/>
                <w:highlight w:val="none"/>
                <w:lang w:val="en-US" w:eastAsia="zh-CN"/>
              </w:rPr>
              <w:t>现有环保措施情况</w:t>
            </w:r>
          </w:p>
          <w:p w14:paraId="26660AC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s="Times New Roman"/>
                <w:b/>
                <w:bCs/>
                <w:sz w:val="24"/>
                <w:szCs w:val="24"/>
                <w:highlight w:val="none"/>
                <w:lang w:val="en-US" w:eastAsia="zh-CN"/>
              </w:rPr>
            </w:pPr>
            <w:r>
              <w:rPr>
                <w:rFonts w:hint="eastAsia" w:cs="Times New Roman"/>
                <w:b/>
                <w:bCs/>
                <w:sz w:val="24"/>
                <w:szCs w:val="24"/>
                <w:highlight w:val="none"/>
                <w:lang w:val="en-US" w:eastAsia="zh-CN"/>
              </w:rPr>
              <w:t>4.1 大气</w:t>
            </w:r>
          </w:p>
          <w:p w14:paraId="52A17A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val="0"/>
                <w:sz w:val="24"/>
                <w:szCs w:val="24"/>
                <w:highlight w:val="none"/>
                <w:lang w:val="en-US" w:eastAsia="zh-CN"/>
              </w:rPr>
            </w:pPr>
            <w:r>
              <w:rPr>
                <w:rFonts w:hint="eastAsia" w:cs="Times New Roman"/>
                <w:b w:val="0"/>
                <w:bCs w:val="0"/>
                <w:sz w:val="24"/>
                <w:szCs w:val="24"/>
                <w:highlight w:val="none"/>
                <w:lang w:val="en-US" w:eastAsia="zh-CN"/>
              </w:rPr>
              <w:t>（1）厂区</w:t>
            </w:r>
          </w:p>
          <w:p w14:paraId="79F7EB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①根据现场情况来看厂区北侧棉籽堆放区无苫盖措施</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8"/>
            </w:tblGrid>
            <w:tr w14:paraId="0C54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08" w:type="dxa"/>
                </w:tcPr>
                <w:p w14:paraId="1B30A37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kern w:val="0"/>
                      <w:sz w:val="24"/>
                      <w:szCs w:val="24"/>
                      <w:highlight w:val="none"/>
                      <w:vertAlign w:val="baseline"/>
                      <w:lang w:val="en-US" w:eastAsia="zh-CN"/>
                    </w:rPr>
                  </w:pPr>
                  <w:r>
                    <w:rPr>
                      <w:rFonts w:hint="eastAsia" w:ascii="Times New Roman" w:hAnsi="Times New Roman" w:eastAsia="宋体" w:cs="Times New Roman"/>
                      <w:kern w:val="0"/>
                      <w:sz w:val="24"/>
                      <w:szCs w:val="24"/>
                      <w:highlight w:val="none"/>
                      <w:lang w:eastAsia="zh-CN"/>
                    </w:rPr>
                    <w:drawing>
                      <wp:inline distT="0" distB="0" distL="114300" distR="114300">
                        <wp:extent cx="4681220" cy="2879725"/>
                        <wp:effectExtent l="0" t="0" r="5080" b="15875"/>
                        <wp:docPr id="3" name="图片 3" descr="lQDPJw5fqdwE8B_NDADNEACwUH1gh135UlQJEKO-t5X7AA_4096_3072"/>
                        <wp:cNvGraphicFramePr/>
                        <a:graphic xmlns:a="http://schemas.openxmlformats.org/drawingml/2006/main">
                          <a:graphicData uri="http://schemas.openxmlformats.org/drawingml/2006/picture">
                            <pic:pic xmlns:pic="http://schemas.openxmlformats.org/drawingml/2006/picture">
                              <pic:nvPicPr>
                                <pic:cNvPr id="3" name="图片 3" descr="lQDPJw5fqdwE8B_NDADNEACwUH1gh135UlQJEKO-t5X7AA_4096_3072"/>
                                <pic:cNvPicPr/>
                              </pic:nvPicPr>
                              <pic:blipFill>
                                <a:blip r:embed="rId13"/>
                                <a:stretch>
                                  <a:fillRect/>
                                </a:stretch>
                              </pic:blipFill>
                              <pic:spPr>
                                <a:xfrm>
                                  <a:off x="0" y="0"/>
                                  <a:ext cx="4681220" cy="2879725"/>
                                </a:xfrm>
                                <a:prstGeom prst="rect">
                                  <a:avLst/>
                                </a:prstGeom>
                              </pic:spPr>
                            </pic:pic>
                          </a:graphicData>
                        </a:graphic>
                      </wp:inline>
                    </w:drawing>
                  </w:r>
                </w:p>
              </w:tc>
            </w:tr>
            <w:tr w14:paraId="7F40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608" w:type="dxa"/>
                </w:tcPr>
                <w:p w14:paraId="244E1E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厂区北侧棉籽堆放区域未进行苫盖措施</w:t>
                  </w:r>
                </w:p>
              </w:tc>
            </w:tr>
          </w:tbl>
          <w:p w14:paraId="46C3C7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②</w:t>
            </w:r>
            <w:r>
              <w:rPr>
                <w:rFonts w:hint="eastAsia" w:cs="Times New Roman"/>
                <w:kern w:val="0"/>
                <w:sz w:val="24"/>
                <w:szCs w:val="24"/>
                <w:highlight w:val="none"/>
                <w:lang w:val="en-US" w:eastAsia="zh-CN"/>
              </w:rPr>
              <w:t>预处理车间外短绒出库包装</w:t>
            </w:r>
          </w:p>
          <w:p w14:paraId="12E764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0"/>
                <w:sz w:val="24"/>
                <w:szCs w:val="24"/>
                <w:highlight w:val="none"/>
                <w:lang w:val="en-US" w:eastAsia="zh-CN"/>
              </w:rPr>
            </w:pPr>
          </w:p>
          <w:p w14:paraId="486108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0"/>
                <w:sz w:val="24"/>
                <w:szCs w:val="24"/>
                <w:highlight w:val="none"/>
                <w:lang w:val="en-US" w:eastAsia="zh-CN"/>
              </w:rPr>
            </w:pPr>
          </w:p>
          <w:p w14:paraId="66945F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0"/>
                <w:sz w:val="24"/>
                <w:szCs w:val="24"/>
                <w:highlight w:val="none"/>
                <w:lang w:val="en-US" w:eastAsia="zh-CN"/>
              </w:rPr>
            </w:pPr>
          </w:p>
          <w:p w14:paraId="32BBB1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0"/>
                <w:sz w:val="24"/>
                <w:szCs w:val="24"/>
                <w:highlight w:val="none"/>
                <w:lang w:val="en-US" w:eastAsia="zh-CN"/>
              </w:rPr>
            </w:pPr>
          </w:p>
          <w:p w14:paraId="0BAE83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kern w:val="0"/>
                <w:sz w:val="24"/>
                <w:szCs w:val="24"/>
                <w:highlight w:val="none"/>
                <w:lang w:val="en-US" w:eastAsia="zh-CN"/>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8"/>
            </w:tblGrid>
            <w:tr w14:paraId="2217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8" w:type="dxa"/>
                </w:tcPr>
                <w:p w14:paraId="43F72D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kern w:val="0"/>
                      <w:sz w:val="24"/>
                      <w:szCs w:val="24"/>
                      <w:highlight w:val="none"/>
                      <w:vertAlign w:val="baseline"/>
                      <w:lang w:val="en-US" w:eastAsia="zh-CN"/>
                    </w:rPr>
                  </w:pPr>
                  <w:r>
                    <w:rPr>
                      <w:rFonts w:hint="eastAsia" w:ascii="Times New Roman" w:hAnsi="Times New Roman" w:eastAsia="宋体" w:cs="Times New Roman"/>
                      <w:kern w:val="0"/>
                      <w:sz w:val="24"/>
                      <w:szCs w:val="24"/>
                      <w:highlight w:val="none"/>
                      <w:vertAlign w:val="baseline"/>
                      <w:lang w:val="en-US" w:eastAsia="zh-CN"/>
                    </w:rPr>
                    <w:drawing>
                      <wp:inline distT="0" distB="0" distL="114300" distR="114300">
                        <wp:extent cx="4681855" cy="3342005"/>
                        <wp:effectExtent l="0" t="0" r="4445" b="10795"/>
                        <wp:docPr id="19" name="图片 19" descr="lQDPKGMKM3NlaO3NBaDNB4CwFyX43nZWyvUJZJ6qEi9o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QDPKGMKM3NlaO3NBaDNB4CwFyX43nZWyvUJZJ6qEi9oAA_1920_1440"/>
                                <pic:cNvPicPr>
                                  <a:picLocks noChangeAspect="1"/>
                                </pic:cNvPicPr>
                              </pic:nvPicPr>
                              <pic:blipFill>
                                <a:blip r:embed="rId14"/>
                                <a:stretch>
                                  <a:fillRect/>
                                </a:stretch>
                              </pic:blipFill>
                              <pic:spPr>
                                <a:xfrm>
                                  <a:off x="0" y="0"/>
                                  <a:ext cx="4681855" cy="3342005"/>
                                </a:xfrm>
                                <a:prstGeom prst="rect">
                                  <a:avLst/>
                                </a:prstGeom>
                              </pic:spPr>
                            </pic:pic>
                          </a:graphicData>
                        </a:graphic>
                      </wp:inline>
                    </w:drawing>
                  </w:r>
                </w:p>
              </w:tc>
            </w:tr>
            <w:tr w14:paraId="78A5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608" w:type="dxa"/>
                </w:tcPr>
                <w:p w14:paraId="117B81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棉壳下料未在密闭厂房内进行，现场无组织废气较大</w:t>
                  </w:r>
                </w:p>
              </w:tc>
            </w:tr>
          </w:tbl>
          <w:p w14:paraId="2E556D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kern w:val="0"/>
                <w:sz w:val="24"/>
                <w:szCs w:val="24"/>
                <w:highlight w:val="none"/>
              </w:rPr>
            </w:pPr>
            <w:r>
              <w:rPr>
                <w:rFonts w:hint="eastAsia" w:cs="Times New Roman"/>
                <w:kern w:val="0"/>
                <w:sz w:val="24"/>
                <w:szCs w:val="24"/>
                <w:highlight w:val="none"/>
                <w:lang w:val="en-US" w:eastAsia="zh-CN"/>
              </w:rPr>
              <w:t>③预处理车间外蛋白堆放</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8"/>
            </w:tblGrid>
            <w:tr w14:paraId="7FC9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8" w:type="dxa"/>
                </w:tcPr>
                <w:p w14:paraId="07CD1E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kern w:val="0"/>
                      <w:sz w:val="24"/>
                      <w:szCs w:val="24"/>
                      <w:highlight w:val="none"/>
                      <w:vertAlign w:val="baseline"/>
                      <w:lang w:val="en-US" w:eastAsia="zh-CN"/>
                    </w:rPr>
                  </w:pPr>
                  <w:r>
                    <w:rPr>
                      <w:rFonts w:hint="eastAsia" w:ascii="Times New Roman" w:hAnsi="Times New Roman" w:eastAsia="宋体" w:cs="Times New Roman"/>
                      <w:kern w:val="0"/>
                      <w:sz w:val="24"/>
                      <w:szCs w:val="24"/>
                      <w:highlight w:val="none"/>
                      <w:vertAlign w:val="baseline"/>
                      <w:lang w:val="en-US" w:eastAsia="zh-CN"/>
                    </w:rPr>
                    <w:drawing>
                      <wp:inline distT="0" distB="0" distL="114300" distR="114300">
                        <wp:extent cx="4681855" cy="3511550"/>
                        <wp:effectExtent l="0" t="0" r="4445" b="12700"/>
                        <wp:docPr id="15" name="图片 15" descr="lQDPJw8KpgxNkG3NBaDNB4CwoKjoOkYIMN8JZJ608-ER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QDPJw8KpgxNkG3NBaDNB4CwoKjoOkYIMN8JZJ608-ERAA_1920_1440"/>
                                <pic:cNvPicPr>
                                  <a:picLocks noChangeAspect="1"/>
                                </pic:cNvPicPr>
                              </pic:nvPicPr>
                              <pic:blipFill>
                                <a:blip r:embed="rId15"/>
                                <a:stretch>
                                  <a:fillRect/>
                                </a:stretch>
                              </pic:blipFill>
                              <pic:spPr>
                                <a:xfrm>
                                  <a:off x="0" y="0"/>
                                  <a:ext cx="4681855" cy="3511550"/>
                                </a:xfrm>
                                <a:prstGeom prst="rect">
                                  <a:avLst/>
                                </a:prstGeom>
                              </pic:spPr>
                            </pic:pic>
                          </a:graphicData>
                        </a:graphic>
                      </wp:inline>
                    </w:drawing>
                  </w:r>
                </w:p>
              </w:tc>
            </w:tr>
            <w:tr w14:paraId="4839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608" w:type="dxa"/>
                </w:tcPr>
                <w:p w14:paraId="31AA93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预处理车间外植物蛋白堆放，未进行苫盖措施</w:t>
                  </w:r>
                </w:p>
              </w:tc>
            </w:tr>
          </w:tbl>
          <w:p w14:paraId="0555CF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kern w:val="0"/>
                <w:sz w:val="24"/>
                <w:szCs w:val="24"/>
                <w:highlight w:val="none"/>
                <w:lang w:val="en-US" w:eastAsia="zh-CN"/>
              </w:rPr>
            </w:pP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2</w:t>
            </w: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剥绒车间</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8"/>
            </w:tblGrid>
            <w:tr w14:paraId="71D1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8" w:type="dxa"/>
                </w:tcPr>
                <w:p w14:paraId="5A3EB18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kern w:val="0"/>
                      <w:sz w:val="24"/>
                      <w:szCs w:val="24"/>
                      <w:highlight w:val="none"/>
                      <w:vertAlign w:val="baseline"/>
                      <w:lang w:val="en-US" w:eastAsia="zh-CN"/>
                    </w:rPr>
                  </w:pPr>
                  <w:r>
                    <w:rPr>
                      <w:rFonts w:hint="eastAsia" w:ascii="Times New Roman" w:hAnsi="Times New Roman" w:eastAsia="宋体" w:cs="Times New Roman"/>
                      <w:kern w:val="0"/>
                      <w:sz w:val="24"/>
                      <w:szCs w:val="24"/>
                      <w:highlight w:val="none"/>
                      <w:vertAlign w:val="baseline"/>
                      <w:lang w:val="en-US" w:eastAsia="zh-CN"/>
                    </w:rPr>
                    <w:drawing>
                      <wp:inline distT="0" distB="0" distL="114300" distR="114300">
                        <wp:extent cx="4681855" cy="3511550"/>
                        <wp:effectExtent l="0" t="0" r="4445" b="12700"/>
                        <wp:docPr id="18" name="图片 18" descr="lQDPJwP_B7IYO-3NBaDNB4CwRUiIICajPKAJZJ7D5AS7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QDPJwP_B7IYO-3NBaDNB4CwRUiIICajPKAJZJ7D5AS7AA_1920_1440"/>
                                <pic:cNvPicPr>
                                  <a:picLocks noChangeAspect="1"/>
                                </pic:cNvPicPr>
                              </pic:nvPicPr>
                              <pic:blipFill>
                                <a:blip r:embed="rId16"/>
                                <a:stretch>
                                  <a:fillRect/>
                                </a:stretch>
                              </pic:blipFill>
                              <pic:spPr>
                                <a:xfrm>
                                  <a:off x="0" y="0"/>
                                  <a:ext cx="4681855" cy="3511550"/>
                                </a:xfrm>
                                <a:prstGeom prst="rect">
                                  <a:avLst/>
                                </a:prstGeom>
                              </pic:spPr>
                            </pic:pic>
                          </a:graphicData>
                        </a:graphic>
                      </wp:inline>
                    </w:drawing>
                  </w:r>
                </w:p>
              </w:tc>
            </w:tr>
            <w:tr w14:paraId="1F27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608" w:type="dxa"/>
                </w:tcPr>
                <w:p w14:paraId="36A657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剥绒车间采用除尘组合机组（外18套旋风除尘器+内3套袋式除尘器）未安装排气筒</w:t>
                  </w:r>
                </w:p>
              </w:tc>
            </w:tr>
          </w:tbl>
          <w:p w14:paraId="75FB04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kern w:val="0"/>
                <w:sz w:val="24"/>
                <w:szCs w:val="24"/>
                <w:highlight w:val="none"/>
                <w:lang w:val="en-US" w:eastAsia="zh-CN"/>
              </w:rPr>
            </w:pP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3</w:t>
            </w: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预处理车间</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8"/>
            </w:tblGrid>
            <w:tr w14:paraId="5BF4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8" w:type="dxa"/>
                </w:tcPr>
                <w:p w14:paraId="352BFBE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kern w:val="0"/>
                      <w:sz w:val="24"/>
                      <w:szCs w:val="24"/>
                      <w:highlight w:val="none"/>
                      <w:vertAlign w:val="baseline"/>
                      <w:lang w:val="en-US" w:eastAsia="zh-CN"/>
                    </w:rPr>
                  </w:pPr>
                  <w:r>
                    <w:rPr>
                      <w:rFonts w:hint="eastAsia" w:ascii="Times New Roman" w:hAnsi="Times New Roman" w:eastAsia="宋体" w:cs="Times New Roman"/>
                      <w:kern w:val="0"/>
                      <w:sz w:val="24"/>
                      <w:szCs w:val="24"/>
                      <w:highlight w:val="none"/>
                      <w:vertAlign w:val="baseline"/>
                      <w:lang w:val="en-US" w:eastAsia="zh-CN"/>
                    </w:rPr>
                    <w:drawing>
                      <wp:inline distT="0" distB="0" distL="114300" distR="114300">
                        <wp:extent cx="4681855" cy="3511550"/>
                        <wp:effectExtent l="0" t="0" r="4445" b="12700"/>
                        <wp:docPr id="21" name="图片 21" descr="lQDPJw_uBcDSW-3NBaDNB4CwFF0nNyniqusJZJ6tOdus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QDPJw_uBcDSW-3NBaDNB4CwFF0nNyniqusJZJ6tOdusAA_1920_1440"/>
                                <pic:cNvPicPr>
                                  <a:picLocks noChangeAspect="1"/>
                                </pic:cNvPicPr>
                              </pic:nvPicPr>
                              <pic:blipFill>
                                <a:blip r:embed="rId17"/>
                                <a:stretch>
                                  <a:fillRect/>
                                </a:stretch>
                              </pic:blipFill>
                              <pic:spPr>
                                <a:xfrm>
                                  <a:off x="0" y="0"/>
                                  <a:ext cx="4681855" cy="3511550"/>
                                </a:xfrm>
                                <a:prstGeom prst="rect">
                                  <a:avLst/>
                                </a:prstGeom>
                              </pic:spPr>
                            </pic:pic>
                          </a:graphicData>
                        </a:graphic>
                      </wp:inline>
                    </w:drawing>
                  </w:r>
                </w:p>
              </w:tc>
            </w:tr>
            <w:tr w14:paraId="5658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7608" w:type="dxa"/>
                </w:tcPr>
                <w:p w14:paraId="7C56B3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预处理车间采用除尘组合机组（外18套旋风除尘器+内6套旋风除尘器）未安装排气筒</w:t>
                  </w:r>
                </w:p>
              </w:tc>
            </w:tr>
          </w:tbl>
          <w:p w14:paraId="2C78458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kern w:val="0"/>
                <w:sz w:val="24"/>
                <w:szCs w:val="24"/>
                <w:highlight w:val="none"/>
                <w:lang w:val="en-US" w:eastAsia="zh-CN"/>
              </w:rPr>
            </w:pPr>
            <w:r>
              <w:rPr>
                <w:rFonts w:hint="eastAsia" w:cs="Times New Roman"/>
                <w:b/>
                <w:bCs/>
                <w:kern w:val="0"/>
                <w:sz w:val="24"/>
                <w:szCs w:val="24"/>
                <w:highlight w:val="none"/>
                <w:lang w:val="en-US" w:eastAsia="zh-CN"/>
              </w:rPr>
              <w:t>4.2 危险废物</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8"/>
            </w:tblGrid>
            <w:tr w14:paraId="0884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8" w:type="dxa"/>
                </w:tcPr>
                <w:p w14:paraId="0DF5827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kern w:val="0"/>
                      <w:sz w:val="24"/>
                      <w:szCs w:val="24"/>
                      <w:highlight w:val="none"/>
                      <w:vertAlign w:val="baseline"/>
                      <w:lang w:val="en-US" w:eastAsia="zh-CN"/>
                    </w:rPr>
                  </w:pPr>
                  <w:r>
                    <w:rPr>
                      <w:rFonts w:hint="eastAsia" w:ascii="Times New Roman" w:hAnsi="Times New Roman" w:eastAsia="宋体" w:cs="Times New Roman"/>
                      <w:kern w:val="0"/>
                      <w:sz w:val="24"/>
                      <w:szCs w:val="24"/>
                      <w:highlight w:val="none"/>
                      <w:vertAlign w:val="baseline"/>
                      <w:lang w:val="en-US" w:eastAsia="zh-CN"/>
                    </w:rPr>
                    <w:drawing>
                      <wp:inline distT="0" distB="0" distL="114300" distR="114300">
                        <wp:extent cx="4681855" cy="3511550"/>
                        <wp:effectExtent l="0" t="0" r="4445" b="12700"/>
                        <wp:docPr id="24" name="图片 24" descr="lQDPKH6cyhqmhu3NBaDNB4Cwh_ABXgYSNuUJZJ6-9S6M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QDPKH6cyhqmhu3NBaDNB4Cwh_ABXgYSNuUJZJ6-9S6MAA_1920_1440"/>
                                <pic:cNvPicPr>
                                  <a:picLocks noChangeAspect="1"/>
                                </pic:cNvPicPr>
                              </pic:nvPicPr>
                              <pic:blipFill>
                                <a:blip r:embed="rId18"/>
                                <a:stretch>
                                  <a:fillRect/>
                                </a:stretch>
                              </pic:blipFill>
                              <pic:spPr>
                                <a:xfrm>
                                  <a:off x="0" y="0"/>
                                  <a:ext cx="4681855" cy="3511550"/>
                                </a:xfrm>
                                <a:prstGeom prst="rect">
                                  <a:avLst/>
                                </a:prstGeom>
                              </pic:spPr>
                            </pic:pic>
                          </a:graphicData>
                        </a:graphic>
                      </wp:inline>
                    </w:drawing>
                  </w:r>
                </w:p>
              </w:tc>
            </w:tr>
            <w:tr w14:paraId="1A01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608" w:type="dxa"/>
                </w:tcPr>
                <w:p w14:paraId="03852B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废油桶随意摆放，无危险废物贮存库</w:t>
                  </w:r>
                </w:p>
              </w:tc>
            </w:tr>
          </w:tbl>
          <w:p w14:paraId="0540C8D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kern w:val="0"/>
                <w:sz w:val="24"/>
                <w:szCs w:val="24"/>
                <w:highlight w:val="none"/>
                <w:lang w:eastAsia="zh-CN"/>
              </w:rPr>
            </w:pPr>
            <w:r>
              <w:rPr>
                <w:rFonts w:hint="eastAsia" w:cs="Times New Roman"/>
                <w:b/>
                <w:bCs/>
                <w:sz w:val="24"/>
                <w:szCs w:val="24"/>
                <w:highlight w:val="none"/>
                <w:lang w:val="en-US" w:eastAsia="zh-CN"/>
              </w:rPr>
              <w:t xml:space="preserve">5 </w:t>
            </w:r>
            <w:r>
              <w:rPr>
                <w:rFonts w:hint="eastAsia" w:ascii="Times New Roman" w:hAnsi="Times New Roman" w:eastAsia="宋体" w:cs="Times New Roman"/>
                <w:b/>
                <w:bCs/>
                <w:sz w:val="24"/>
                <w:szCs w:val="24"/>
                <w:highlight w:val="none"/>
                <w:lang w:val="en-US" w:eastAsia="zh-CN"/>
              </w:rPr>
              <w:t>整改措施及建议</w:t>
            </w:r>
          </w:p>
          <w:p w14:paraId="449FF9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kern w:val="0"/>
                <w:sz w:val="24"/>
                <w:szCs w:val="24"/>
                <w:highlight w:val="none"/>
                <w:lang w:val="en-US" w:eastAsia="zh-CN"/>
              </w:rPr>
            </w:pP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1</w:t>
            </w: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大气</w:t>
            </w:r>
          </w:p>
          <w:p w14:paraId="542E41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kern w:val="0"/>
                <w:sz w:val="24"/>
                <w:szCs w:val="24"/>
                <w:highlight w:val="none"/>
                <w:lang w:val="en-US" w:eastAsia="zh-CN"/>
              </w:rPr>
            </w:pPr>
            <w:r>
              <w:rPr>
                <w:rFonts w:hint="eastAsia" w:cs="Times New Roman"/>
                <w:kern w:val="0"/>
                <w:sz w:val="24"/>
                <w:szCs w:val="24"/>
                <w:highlight w:val="none"/>
                <w:lang w:val="en-US" w:eastAsia="zh-CN"/>
              </w:rPr>
              <w:t>无组织废气：厂区北侧棉籽堆放区要求加防火盖苫盖措施；植物蛋白要求加盖苫盖措施；预处理车北侧下料工序，需要在密闭环境中进行。</w:t>
            </w:r>
          </w:p>
          <w:p w14:paraId="2CA245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kern w:val="0"/>
                <w:sz w:val="24"/>
                <w:szCs w:val="24"/>
                <w:highlight w:val="none"/>
                <w:lang w:val="en-US" w:eastAsia="zh-CN"/>
              </w:rPr>
            </w:pPr>
            <w:r>
              <w:rPr>
                <w:rFonts w:hint="eastAsia" w:cs="Times New Roman"/>
                <w:kern w:val="0"/>
                <w:sz w:val="24"/>
                <w:szCs w:val="24"/>
                <w:highlight w:val="none"/>
                <w:lang w:val="en-US" w:eastAsia="zh-CN"/>
              </w:rPr>
              <w:t>有组织废气：预处理车间、剥绒车间需安装15m高排气筒。</w:t>
            </w:r>
          </w:p>
          <w:p w14:paraId="6979AB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kern w:val="0"/>
                <w:sz w:val="24"/>
                <w:szCs w:val="24"/>
                <w:highlight w:val="none"/>
                <w:lang w:val="en-US" w:eastAsia="zh-CN"/>
              </w:rPr>
            </w:pPr>
            <w:r>
              <w:rPr>
                <w:rFonts w:hint="eastAsia" w:cs="Times New Roman"/>
                <w:kern w:val="0"/>
                <w:sz w:val="24"/>
                <w:szCs w:val="24"/>
                <w:highlight w:val="none"/>
                <w:lang w:val="en-US" w:eastAsia="zh-CN"/>
              </w:rPr>
              <w:t>（2）危险废物</w:t>
            </w:r>
          </w:p>
          <w:p w14:paraId="76213D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kern w:val="0"/>
                <w:sz w:val="24"/>
                <w:szCs w:val="24"/>
                <w:highlight w:val="none"/>
                <w:lang w:val="en-US" w:eastAsia="zh-CN"/>
              </w:rPr>
            </w:pPr>
            <w:r>
              <w:rPr>
                <w:rFonts w:hint="eastAsia" w:cs="Times New Roman"/>
                <w:kern w:val="0"/>
                <w:sz w:val="24"/>
                <w:szCs w:val="24"/>
                <w:highlight w:val="none"/>
                <w:lang w:val="en-US" w:eastAsia="zh-CN"/>
              </w:rPr>
              <w:t>厂区无危险废物贮存库，需设置危险废物贮存库。</w:t>
            </w:r>
          </w:p>
          <w:p w14:paraId="68DC382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0D985E9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37BB41F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7CD816B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73AD581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676EBD4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69221E3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kern w:val="0"/>
                <w:sz w:val="24"/>
                <w:szCs w:val="24"/>
                <w:highlight w:val="none"/>
                <w:lang w:val="en-US" w:eastAsia="zh-CN"/>
              </w:rPr>
            </w:pPr>
          </w:p>
          <w:p w14:paraId="5C0F21CA"/>
          <w:p w14:paraId="1A9B2C50"/>
          <w:p w14:paraId="081EBC38"/>
        </w:tc>
      </w:tr>
    </w:tbl>
    <w:p w14:paraId="7E706B69">
      <w:r>
        <w:br w:type="page"/>
      </w:r>
    </w:p>
    <w:p w14:paraId="64D322DB">
      <w:pPr>
        <w:pStyle w:val="19"/>
        <w:ind w:firstLine="420" w:firstLineChars="0"/>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815F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00" w:type="dxa"/>
            <w:tcBorders>
              <w:tl2br w:val="nil"/>
              <w:tr2bl w:val="nil"/>
            </w:tcBorders>
            <w:noWrap w:val="0"/>
            <w:vAlign w:val="center"/>
          </w:tcPr>
          <w:p w14:paraId="61738FD3">
            <w:pPr>
              <w:adjustRightInd w:val="0"/>
              <w:snapToGrid w:val="0"/>
              <w:jc w:val="center"/>
              <w:rPr>
                <w:rFonts w:hint="eastAsia" w:ascii="宋体" w:hAnsi="宋体" w:cs="宋体"/>
                <w:b w:val="0"/>
                <w:bCs w:val="0"/>
                <w:kern w:val="0"/>
                <w:sz w:val="24"/>
                <w:szCs w:val="24"/>
              </w:rPr>
            </w:pPr>
            <w:r>
              <w:rPr>
                <w:rFonts w:hint="eastAsia" w:ascii="宋体" w:hAnsi="宋体" w:cs="宋体"/>
                <w:b w:val="0"/>
                <w:bCs w:val="0"/>
                <w:kern w:val="0"/>
                <w:sz w:val="24"/>
                <w:szCs w:val="24"/>
              </w:rPr>
              <w:t>区域</w:t>
            </w:r>
          </w:p>
          <w:p w14:paraId="525446BE">
            <w:pPr>
              <w:adjustRightInd w:val="0"/>
              <w:snapToGrid w:val="0"/>
              <w:jc w:val="center"/>
              <w:rPr>
                <w:rFonts w:hint="eastAsia" w:ascii="宋体" w:hAnsi="宋体" w:cs="宋体"/>
                <w:b w:val="0"/>
                <w:bCs w:val="0"/>
                <w:kern w:val="0"/>
                <w:sz w:val="24"/>
                <w:szCs w:val="24"/>
              </w:rPr>
            </w:pPr>
            <w:r>
              <w:rPr>
                <w:rFonts w:hint="eastAsia" w:ascii="宋体" w:hAnsi="宋体" w:cs="宋体"/>
                <w:b w:val="0"/>
                <w:bCs w:val="0"/>
                <w:kern w:val="0"/>
                <w:sz w:val="24"/>
                <w:szCs w:val="24"/>
              </w:rPr>
              <w:t>环境</w:t>
            </w:r>
          </w:p>
          <w:p w14:paraId="6F800706">
            <w:pPr>
              <w:adjustRightInd w:val="0"/>
              <w:snapToGrid w:val="0"/>
              <w:jc w:val="center"/>
              <w:rPr>
                <w:rFonts w:hint="eastAsia" w:ascii="宋体" w:hAnsi="宋体" w:cs="宋体"/>
                <w:b w:val="0"/>
                <w:bCs w:val="0"/>
                <w:kern w:val="0"/>
                <w:sz w:val="24"/>
                <w:szCs w:val="24"/>
              </w:rPr>
            </w:pPr>
            <w:r>
              <w:rPr>
                <w:rFonts w:hint="eastAsia" w:ascii="宋体" w:hAnsi="宋体" w:cs="宋体"/>
                <w:b w:val="0"/>
                <w:bCs w:val="0"/>
                <w:kern w:val="0"/>
                <w:sz w:val="24"/>
                <w:szCs w:val="24"/>
              </w:rPr>
              <w:t>质量</w:t>
            </w:r>
          </w:p>
          <w:p w14:paraId="4F791DD4">
            <w:pPr>
              <w:adjustRightInd w:val="0"/>
              <w:snapToGrid w:val="0"/>
              <w:jc w:val="center"/>
              <w:rPr>
                <w:rFonts w:ascii="宋体" w:hAnsi="宋体" w:cs="宋体"/>
                <w:b/>
                <w:bCs/>
                <w:kern w:val="0"/>
                <w:sz w:val="24"/>
                <w:szCs w:val="24"/>
              </w:rPr>
            </w:pPr>
            <w:r>
              <w:rPr>
                <w:rFonts w:hint="eastAsia" w:ascii="宋体" w:hAnsi="宋体" w:cs="宋体"/>
                <w:b w:val="0"/>
                <w:bCs w:val="0"/>
                <w:kern w:val="0"/>
                <w:sz w:val="24"/>
                <w:szCs w:val="24"/>
              </w:rPr>
              <w:t>现状</w:t>
            </w:r>
          </w:p>
        </w:tc>
        <w:tc>
          <w:tcPr>
            <w:tcW w:w="8190" w:type="dxa"/>
            <w:tcBorders>
              <w:tl2br w:val="nil"/>
              <w:tr2bl w:val="nil"/>
            </w:tcBorders>
            <w:noWrap w:val="0"/>
            <w:vAlign w:val="center"/>
          </w:tcPr>
          <w:p w14:paraId="43A2AB14">
            <w:pPr>
              <w:pageBreakBefore w:val="0"/>
              <w:kinsoku/>
              <w:wordWrap/>
              <w:overflowPunct/>
              <w:topLinePunct w:val="0"/>
              <w:autoSpaceDE/>
              <w:autoSpaceDN/>
              <w:bidi w:val="0"/>
              <w:adjustRightInd w:val="0"/>
              <w:snapToGrid w:val="0"/>
              <w:spacing w:line="360" w:lineRule="auto"/>
              <w:ind w:firstLine="0" w:firstLineChars="0"/>
              <w:textAlignment w:val="auto"/>
              <w:rPr>
                <w:rFonts w:ascii="Times New Roman" w:hAnsi="Times New Roman" w:eastAsia="宋体" w:cs="Times New Roman"/>
                <w:b/>
                <w:sz w:val="24"/>
                <w:szCs w:val="24"/>
              </w:rPr>
            </w:pPr>
            <w:r>
              <w:rPr>
                <w:rFonts w:hint="eastAsia" w:cs="Times New Roman"/>
                <w:b/>
                <w:sz w:val="24"/>
                <w:szCs w:val="24"/>
                <w:lang w:val="en-US" w:eastAsia="zh-CN"/>
              </w:rPr>
              <w:t xml:space="preserve">1 </w:t>
            </w:r>
            <w:r>
              <w:rPr>
                <w:rFonts w:ascii="Times New Roman" w:hAnsi="Times New Roman" w:eastAsia="宋体" w:cs="Times New Roman"/>
                <w:b/>
                <w:sz w:val="24"/>
                <w:szCs w:val="24"/>
              </w:rPr>
              <w:t>大气环境质量现状</w:t>
            </w:r>
          </w:p>
          <w:p w14:paraId="04B4EC6B">
            <w:pPr>
              <w:pStyle w:val="3"/>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eastAsia" w:ascii="Times New Roman" w:hAnsi="Times New Roman" w:eastAsia="宋体" w:cs="Times New Roman"/>
                <w:bCs/>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32"/>
                <w14:textFill>
                  <w14:solidFill>
                    <w14:schemeClr w14:val="tx1"/>
                  </w14:solidFill>
                </w14:textFill>
              </w:rPr>
              <w:t>1.1</w:t>
            </w:r>
            <w:r>
              <w:rPr>
                <w:rFonts w:hint="eastAsia" w:ascii="Times New Roman" w:hAnsi="Times New Roman" w:eastAsia="宋体" w:cs="Times New Roman"/>
                <w:bCs/>
                <w:color w:val="000000" w:themeColor="text1"/>
                <w:sz w:val="24"/>
                <w:szCs w:val="32"/>
                <w:lang w:val="en-US" w:eastAsia="zh-CN"/>
                <w14:textFill>
                  <w14:solidFill>
                    <w14:schemeClr w14:val="tx1"/>
                  </w14:solidFill>
                </w14:textFill>
              </w:rPr>
              <w:t xml:space="preserve"> 基本污染物环境质量现状评价</w:t>
            </w:r>
          </w:p>
          <w:p w14:paraId="783F0D83">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b/>
                <w:bCs/>
                <w:color w:val="auto"/>
                <w:spacing w:val="0"/>
                <w:kern w:val="0"/>
                <w:sz w:val="24"/>
                <w:highlight w:val="none"/>
                <w:lang w:val="en-US" w:eastAsia="zh-CN"/>
              </w:rPr>
            </w:pPr>
            <w:r>
              <w:rPr>
                <w:rFonts w:hint="default" w:ascii="Times New Roman" w:hAnsi="Times New Roman" w:eastAsia="宋体" w:cs="Times New Roman"/>
                <w:b/>
                <w:bCs/>
                <w:color w:val="auto"/>
                <w:spacing w:val="0"/>
                <w:kern w:val="0"/>
                <w:sz w:val="24"/>
                <w:highlight w:val="none"/>
                <w:lang w:val="en-US" w:eastAsia="zh-CN"/>
              </w:rPr>
              <w:t>1.1.1</w:t>
            </w:r>
            <w:r>
              <w:rPr>
                <w:rFonts w:hint="eastAsia" w:cs="Times New Roman"/>
                <w:b/>
                <w:bCs/>
                <w:color w:val="auto"/>
                <w:spacing w:val="0"/>
                <w:kern w:val="0"/>
                <w:sz w:val="24"/>
                <w:highlight w:val="none"/>
                <w:lang w:val="en-US" w:eastAsia="zh-CN"/>
              </w:rPr>
              <w:t xml:space="preserve"> </w:t>
            </w:r>
            <w:r>
              <w:rPr>
                <w:rFonts w:hint="default" w:ascii="Times New Roman" w:hAnsi="Times New Roman" w:eastAsia="宋体" w:cs="Times New Roman"/>
                <w:b/>
                <w:bCs/>
                <w:color w:val="auto"/>
                <w:spacing w:val="0"/>
                <w:kern w:val="0"/>
                <w:sz w:val="24"/>
                <w:highlight w:val="none"/>
                <w:lang w:val="en-US" w:eastAsia="zh-CN"/>
              </w:rPr>
              <w:t>数据来源</w:t>
            </w:r>
          </w:p>
          <w:p w14:paraId="62966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0"/>
                <w:highlight w:val="none"/>
                <w:lang w:val="en-US" w:eastAsia="zh-CN" w:bidi="ar-SA"/>
              </w:rPr>
            </w:pPr>
            <w:r>
              <w:rPr>
                <w:rFonts w:hint="default" w:ascii="Times New Roman" w:hAnsi="Times New Roman" w:eastAsia="宋体" w:cs="Times New Roman"/>
                <w:color w:val="auto"/>
                <w:spacing w:val="0"/>
                <w:kern w:val="0"/>
                <w:sz w:val="24"/>
                <w:szCs w:val="20"/>
                <w:highlight w:val="none"/>
                <w:lang w:val="en-US" w:eastAsia="zh-CN" w:bidi="ar-SA"/>
              </w:rPr>
              <w:t>根据《环境影响评价技术导则</w:t>
            </w:r>
            <w:r>
              <w:rPr>
                <w:rFonts w:hint="eastAsia" w:ascii="Times New Roman" w:hAnsi="Times New Roman" w:eastAsia="宋体" w:cs="Times New Roman"/>
                <w:color w:val="auto"/>
                <w:spacing w:val="0"/>
                <w:kern w:val="0"/>
                <w:sz w:val="24"/>
                <w:szCs w:val="20"/>
                <w:highlight w:val="none"/>
                <w:lang w:val="en-US" w:eastAsia="zh-CN" w:bidi="ar-SA"/>
              </w:rPr>
              <w:t xml:space="preserve"> </w:t>
            </w:r>
            <w:r>
              <w:rPr>
                <w:rFonts w:hint="default" w:ascii="Times New Roman" w:hAnsi="Times New Roman" w:eastAsia="宋体" w:cs="Times New Roman"/>
                <w:color w:val="auto"/>
                <w:spacing w:val="0"/>
                <w:kern w:val="0"/>
                <w:sz w:val="24"/>
                <w:szCs w:val="20"/>
                <w:highlight w:val="none"/>
                <w:lang w:val="en-US" w:eastAsia="zh-CN" w:bidi="ar-SA"/>
              </w:rPr>
              <w:t>大气环境》（HJ2.2-2018），本次评价现状监测资料引用2024年轮台县环境自动监测站的监测数据，所引用数据可以满足环境空气质量评价有效性要求。</w:t>
            </w:r>
          </w:p>
          <w:p w14:paraId="12309C0E">
            <w:pPr>
              <w:keepNext w:val="0"/>
              <w:keepLines w:val="0"/>
              <w:widowControl w:val="0"/>
              <w:numPr>
                <w:ilvl w:val="0"/>
                <w:numId w:val="3"/>
              </w:numPr>
              <w:suppressLineNumbers w:val="0"/>
              <w:tabs>
                <w:tab w:val="left" w:pos="2040"/>
              </w:tabs>
              <w:adjustRightInd w:val="0"/>
              <w:snapToGrid w:val="0"/>
              <w:spacing w:before="0" w:beforeAutospacing="0" w:after="0" w:afterAutospacing="0" w:line="360" w:lineRule="auto"/>
              <w:ind w:left="420" w:leftChars="200" w:right="0" w:firstLine="0" w:firstLineChars="0"/>
              <w:jc w:val="both"/>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监测点位：巴州轮台县环境自动监测站。</w:t>
            </w:r>
          </w:p>
          <w:p w14:paraId="25597272">
            <w:pPr>
              <w:keepNext w:val="0"/>
              <w:keepLines w:val="0"/>
              <w:widowControl w:val="0"/>
              <w:numPr>
                <w:ilvl w:val="0"/>
                <w:numId w:val="3"/>
              </w:numPr>
              <w:suppressLineNumbers w:val="0"/>
              <w:tabs>
                <w:tab w:val="left" w:pos="2040"/>
              </w:tabs>
              <w:adjustRightInd w:val="0"/>
              <w:snapToGrid w:val="0"/>
              <w:spacing w:before="0" w:beforeAutospacing="0" w:after="0" w:afterAutospacing="0" w:line="360" w:lineRule="auto"/>
              <w:ind w:left="420" w:leftChars="200" w:right="0" w:firstLine="0" w:firstLineChars="0"/>
              <w:jc w:val="left"/>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监测项目：二氧化硫</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SO</w:t>
            </w:r>
            <w:r>
              <w:rPr>
                <w:rFonts w:hint="default" w:ascii="Times New Roman" w:hAnsi="Times New Roman" w:eastAsia="宋体" w:cs="Times New Roman"/>
                <w:color w:val="auto"/>
                <w:kern w:val="0"/>
                <w:sz w:val="24"/>
                <w:szCs w:val="20"/>
                <w:highlight w:val="none"/>
                <w:vertAlign w:val="subscript"/>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、二氧化氮</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NO</w:t>
            </w:r>
            <w:r>
              <w:rPr>
                <w:rFonts w:hint="default" w:ascii="Times New Roman" w:hAnsi="Times New Roman" w:eastAsia="宋体" w:cs="Times New Roman"/>
                <w:color w:val="auto"/>
                <w:kern w:val="0"/>
                <w:sz w:val="24"/>
                <w:szCs w:val="20"/>
                <w:highlight w:val="none"/>
                <w:vertAlign w:val="subscript"/>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、可吸入颗粒物</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PM</w:t>
            </w:r>
            <w:r>
              <w:rPr>
                <w:rFonts w:hint="eastAsia" w:ascii="Times New Roman" w:hAnsi="Times New Roman" w:eastAsia="宋体" w:cs="Times New Roman"/>
                <w:color w:val="auto"/>
                <w:kern w:val="0"/>
                <w:sz w:val="24"/>
                <w:szCs w:val="20"/>
                <w:highlight w:val="none"/>
                <w:vertAlign w:val="subscript"/>
                <w:lang w:val="en-US" w:eastAsia="zh-CN" w:bidi="ar-SA"/>
              </w:rPr>
              <w:t>10</w:t>
            </w:r>
            <w:r>
              <w:rPr>
                <w:rFonts w:hint="eastAsia" w:ascii="Times New Roman" w:hAnsi="Times New Roman" w:eastAsia="宋体" w:cs="Times New Roman"/>
                <w:color w:val="auto"/>
                <w:kern w:val="0"/>
                <w:sz w:val="24"/>
                <w:szCs w:val="20"/>
                <w:highlight w:val="none"/>
                <w:lang w:val="en-US" w:eastAsia="zh-CN" w:bidi="ar-SA"/>
              </w:rPr>
              <w:t>）、</w:t>
            </w:r>
          </w:p>
          <w:p w14:paraId="107248EC">
            <w:pPr>
              <w:keepNext w:val="0"/>
              <w:keepLines w:val="0"/>
              <w:widowControl w:val="0"/>
              <w:numPr>
                <w:ilvl w:val="-1"/>
                <w:numId w:val="0"/>
              </w:numPr>
              <w:suppressLineNumbers w:val="0"/>
              <w:tabs>
                <w:tab w:val="left" w:pos="2040"/>
              </w:tabs>
              <w:adjustRightInd w:val="0"/>
              <w:snapToGrid w:val="0"/>
              <w:spacing w:before="0" w:beforeAutospacing="0" w:after="0" w:afterAutospacing="0" w:line="360" w:lineRule="auto"/>
              <w:ind w:left="0" w:leftChars="0" w:right="0" w:firstLine="0" w:firstLineChars="0"/>
              <w:jc w:val="left"/>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一</w:t>
            </w:r>
            <w:r>
              <w:rPr>
                <w:rFonts w:hint="default" w:ascii="Times New Roman" w:hAnsi="Times New Roman" w:eastAsia="宋体" w:cs="Times New Roman"/>
                <w:color w:val="auto"/>
                <w:kern w:val="0"/>
                <w:sz w:val="24"/>
                <w:szCs w:val="20"/>
                <w:highlight w:val="none"/>
                <w:lang w:val="en-US" w:eastAsia="zh-CN" w:bidi="ar-SA"/>
              </w:rPr>
              <w:t>氧化碳</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CO</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、臭氧</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O</w:t>
            </w:r>
            <w:r>
              <w:rPr>
                <w:rFonts w:hint="default" w:ascii="Times New Roman" w:hAnsi="Times New Roman" w:eastAsia="宋体" w:cs="Times New Roman"/>
                <w:color w:val="auto"/>
                <w:kern w:val="0"/>
                <w:sz w:val="24"/>
                <w:szCs w:val="20"/>
                <w:highlight w:val="none"/>
                <w:vertAlign w:val="subscript"/>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、细颗粒物</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PM</w:t>
            </w:r>
            <w:r>
              <w:rPr>
                <w:rFonts w:hint="eastAsia" w:ascii="Times New Roman" w:hAnsi="Times New Roman" w:eastAsia="宋体" w:cs="Times New Roman"/>
                <w:color w:val="auto"/>
                <w:kern w:val="0"/>
                <w:sz w:val="24"/>
                <w:szCs w:val="20"/>
                <w:highlight w:val="none"/>
                <w:vertAlign w:val="subscript"/>
                <w:lang w:val="en-US" w:eastAsia="zh-CN" w:bidi="ar-SA"/>
              </w:rPr>
              <w:t>2.5</w:t>
            </w:r>
            <w:r>
              <w:rPr>
                <w:rFonts w:hint="eastAsia" w:ascii="Times New Roman" w:hAnsi="Times New Roman" w:eastAsia="宋体" w:cs="Times New Roman"/>
                <w:color w:val="auto"/>
                <w:kern w:val="0"/>
                <w:sz w:val="24"/>
                <w:szCs w:val="20"/>
                <w:highlight w:val="none"/>
                <w:lang w:val="en-US" w:eastAsia="zh-CN" w:bidi="ar-SA"/>
              </w:rPr>
              <w:t>）</w:t>
            </w:r>
            <w:r>
              <w:rPr>
                <w:rFonts w:hint="default" w:ascii="Times New Roman" w:hAnsi="Times New Roman" w:eastAsia="宋体" w:cs="Times New Roman"/>
                <w:color w:val="auto"/>
                <w:kern w:val="0"/>
                <w:sz w:val="24"/>
                <w:szCs w:val="20"/>
                <w:highlight w:val="none"/>
                <w:lang w:val="en-US" w:eastAsia="zh-CN" w:bidi="ar-SA"/>
              </w:rPr>
              <w:t>六项。</w:t>
            </w:r>
          </w:p>
          <w:p w14:paraId="3D700BBC">
            <w:pPr>
              <w:keepNext w:val="0"/>
              <w:keepLines w:val="0"/>
              <w:widowControl w:val="0"/>
              <w:numPr>
                <w:ilvl w:val="-1"/>
                <w:numId w:val="0"/>
              </w:numPr>
              <w:suppressLineNumbers w:val="0"/>
              <w:tabs>
                <w:tab w:val="left" w:pos="2040"/>
              </w:tabs>
              <w:adjustRightInd w:val="0"/>
              <w:snapToGrid w:val="0"/>
              <w:spacing w:before="0" w:beforeAutospacing="0" w:after="0" w:afterAutospacing="0" w:line="360" w:lineRule="auto"/>
              <w:ind w:left="0" w:leftChars="0" w:right="0" w:firstLine="480" w:firstLineChars="200"/>
              <w:jc w:val="left"/>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（3）监测时间：2024年全年。</w:t>
            </w:r>
          </w:p>
          <w:p w14:paraId="081AA7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b/>
                <w:bCs/>
                <w:color w:val="auto"/>
                <w:spacing w:val="0"/>
                <w:kern w:val="0"/>
                <w:sz w:val="24"/>
                <w:szCs w:val="20"/>
                <w:highlight w:val="none"/>
                <w:lang w:val="en-US" w:eastAsia="zh-CN" w:bidi="ar-SA"/>
              </w:rPr>
            </w:pPr>
            <w:r>
              <w:rPr>
                <w:rFonts w:hint="default" w:ascii="Times New Roman" w:hAnsi="Times New Roman" w:eastAsia="宋体" w:cs="Times New Roman"/>
                <w:b/>
                <w:bCs/>
                <w:color w:val="auto"/>
                <w:spacing w:val="0"/>
                <w:kern w:val="0"/>
                <w:sz w:val="24"/>
                <w:szCs w:val="20"/>
                <w:highlight w:val="none"/>
                <w:lang w:val="en-US" w:eastAsia="zh-CN" w:bidi="ar-SA"/>
              </w:rPr>
              <w:t>1.1.2</w:t>
            </w:r>
            <w:r>
              <w:rPr>
                <w:rFonts w:hint="eastAsia" w:ascii="Times New Roman" w:hAnsi="Times New Roman" w:eastAsia="宋体" w:cs="Times New Roman"/>
                <w:b/>
                <w:bCs/>
                <w:color w:val="auto"/>
                <w:spacing w:val="0"/>
                <w:kern w:val="0"/>
                <w:sz w:val="24"/>
                <w:szCs w:val="20"/>
                <w:highlight w:val="none"/>
                <w:lang w:val="en-US" w:eastAsia="zh-CN" w:bidi="ar-SA"/>
              </w:rPr>
              <w:t xml:space="preserve"> </w:t>
            </w:r>
            <w:r>
              <w:rPr>
                <w:rFonts w:hint="default" w:ascii="Times New Roman" w:hAnsi="Times New Roman" w:eastAsia="宋体" w:cs="Times New Roman"/>
                <w:b/>
                <w:bCs/>
                <w:color w:val="auto"/>
                <w:spacing w:val="0"/>
                <w:kern w:val="0"/>
                <w:sz w:val="24"/>
                <w:szCs w:val="20"/>
                <w:highlight w:val="none"/>
                <w:lang w:val="en-US" w:eastAsia="zh-CN" w:bidi="ar-SA"/>
              </w:rPr>
              <w:t>评价方法</w:t>
            </w:r>
          </w:p>
          <w:p w14:paraId="4D775C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0"/>
                <w:highlight w:val="none"/>
                <w:lang w:val="en-US" w:eastAsia="zh-CN" w:bidi="ar-SA"/>
              </w:rPr>
            </w:pPr>
            <w:r>
              <w:rPr>
                <w:rFonts w:hint="default" w:ascii="Times New Roman" w:hAnsi="Times New Roman" w:eastAsia="宋体" w:cs="Times New Roman"/>
                <w:color w:val="auto"/>
                <w:spacing w:val="0"/>
                <w:kern w:val="0"/>
                <w:sz w:val="24"/>
                <w:szCs w:val="20"/>
                <w:highlight w:val="none"/>
                <w:lang w:val="en-US" w:eastAsia="zh-CN" w:bidi="ar-SA"/>
              </w:rPr>
              <w:t>基本污染物按照《环境空气质量评价技术规范（试行）》（HJ663-2013）中各评价项目的年评价指标进行判定。年评价指标中的年均浓度和相应百分位数24h平均或8h平均质量浓度满足《环境空气质量标准》（</w:t>
            </w:r>
            <w:r>
              <w:rPr>
                <w:rFonts w:hint="eastAsia" w:cs="Times New Roman"/>
                <w:color w:val="auto"/>
                <w:spacing w:val="0"/>
                <w:kern w:val="0"/>
                <w:sz w:val="24"/>
                <w:szCs w:val="20"/>
                <w:highlight w:val="none"/>
                <w:lang w:val="en-US" w:eastAsia="zh-CN" w:bidi="ar-SA"/>
              </w:rPr>
              <w:t>GB3095-2026</w:t>
            </w:r>
            <w:r>
              <w:rPr>
                <w:rFonts w:hint="default" w:ascii="Times New Roman" w:hAnsi="Times New Roman" w:eastAsia="宋体" w:cs="Times New Roman"/>
                <w:color w:val="auto"/>
                <w:spacing w:val="0"/>
                <w:kern w:val="0"/>
                <w:sz w:val="24"/>
                <w:szCs w:val="20"/>
                <w:highlight w:val="none"/>
                <w:lang w:val="en-US" w:eastAsia="zh-CN" w:bidi="ar-SA"/>
              </w:rPr>
              <w:t>）中浓度限值要求的即为达标。</w:t>
            </w:r>
          </w:p>
          <w:p w14:paraId="676D6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b/>
                <w:bCs/>
                <w:color w:val="auto"/>
                <w:spacing w:val="0"/>
                <w:kern w:val="0"/>
                <w:sz w:val="24"/>
                <w:szCs w:val="20"/>
                <w:highlight w:val="none"/>
                <w:lang w:val="en-US" w:eastAsia="zh-CN" w:bidi="ar-SA"/>
              </w:rPr>
            </w:pPr>
            <w:r>
              <w:rPr>
                <w:rFonts w:hint="default" w:ascii="Times New Roman" w:hAnsi="Times New Roman" w:eastAsia="宋体" w:cs="Times New Roman"/>
                <w:b/>
                <w:bCs/>
                <w:color w:val="auto"/>
                <w:spacing w:val="0"/>
                <w:kern w:val="0"/>
                <w:sz w:val="24"/>
                <w:szCs w:val="20"/>
                <w:highlight w:val="none"/>
                <w:lang w:val="en-US" w:eastAsia="zh-CN" w:bidi="ar-SA"/>
              </w:rPr>
              <w:t>1.1.3</w:t>
            </w:r>
            <w:r>
              <w:rPr>
                <w:rFonts w:hint="eastAsia" w:ascii="Times New Roman" w:hAnsi="Times New Roman" w:eastAsia="宋体" w:cs="Times New Roman"/>
                <w:b/>
                <w:bCs/>
                <w:color w:val="auto"/>
                <w:spacing w:val="0"/>
                <w:kern w:val="0"/>
                <w:sz w:val="24"/>
                <w:szCs w:val="20"/>
                <w:highlight w:val="none"/>
                <w:lang w:val="en-US" w:eastAsia="zh-CN" w:bidi="ar-SA"/>
              </w:rPr>
              <w:t xml:space="preserve"> </w:t>
            </w:r>
            <w:r>
              <w:rPr>
                <w:rFonts w:hint="default" w:ascii="Times New Roman" w:hAnsi="Times New Roman" w:eastAsia="宋体" w:cs="Times New Roman"/>
                <w:b/>
                <w:bCs/>
                <w:color w:val="auto"/>
                <w:spacing w:val="0"/>
                <w:kern w:val="0"/>
                <w:sz w:val="24"/>
                <w:szCs w:val="20"/>
                <w:highlight w:val="none"/>
                <w:lang w:val="en-US" w:eastAsia="zh-CN" w:bidi="ar-SA"/>
              </w:rPr>
              <w:t>评价标准</w:t>
            </w:r>
          </w:p>
          <w:p w14:paraId="700377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0"/>
                <w:highlight w:val="none"/>
                <w:lang w:val="en-US" w:eastAsia="zh-CN" w:bidi="ar-SA"/>
              </w:rPr>
            </w:pPr>
            <w:r>
              <w:rPr>
                <w:rFonts w:hint="default" w:ascii="Times New Roman" w:hAnsi="Times New Roman" w:eastAsia="宋体" w:cs="Times New Roman"/>
                <w:color w:val="auto"/>
                <w:spacing w:val="0"/>
                <w:kern w:val="0"/>
                <w:sz w:val="24"/>
                <w:szCs w:val="20"/>
                <w:highlight w:val="none"/>
                <w:lang w:val="en-US" w:eastAsia="zh-CN" w:bidi="ar-SA"/>
              </w:rPr>
              <w:t>本次基本因子环境空气质量现状评价依据《环境空气质量标准》（</w:t>
            </w:r>
            <w:r>
              <w:rPr>
                <w:rFonts w:hint="eastAsia" w:cs="Times New Roman"/>
                <w:color w:val="auto"/>
                <w:spacing w:val="0"/>
                <w:kern w:val="0"/>
                <w:sz w:val="24"/>
                <w:szCs w:val="20"/>
                <w:highlight w:val="none"/>
                <w:lang w:val="en-US" w:eastAsia="zh-CN" w:bidi="ar-SA"/>
              </w:rPr>
              <w:t>GB3095-2026</w:t>
            </w:r>
            <w:r>
              <w:rPr>
                <w:rFonts w:hint="default" w:ascii="Times New Roman" w:hAnsi="Times New Roman" w:eastAsia="宋体" w:cs="Times New Roman"/>
                <w:color w:val="auto"/>
                <w:spacing w:val="0"/>
                <w:kern w:val="0"/>
                <w:sz w:val="24"/>
                <w:szCs w:val="20"/>
                <w:highlight w:val="none"/>
                <w:lang w:val="en-US" w:eastAsia="zh-CN" w:bidi="ar-SA"/>
              </w:rPr>
              <w:t>）</w:t>
            </w:r>
            <w:r>
              <w:rPr>
                <w:rFonts w:hint="eastAsia" w:ascii="Times New Roman" w:hAnsi="Times New Roman" w:eastAsia="宋体" w:cs="Times New Roman"/>
                <w:color w:val="auto"/>
                <w:spacing w:val="0"/>
                <w:kern w:val="0"/>
                <w:sz w:val="24"/>
                <w:szCs w:val="20"/>
                <w:highlight w:val="none"/>
                <w:lang w:val="en-US" w:eastAsia="zh-CN" w:bidi="ar-SA"/>
              </w:rPr>
              <w:t>中24小时平均</w:t>
            </w:r>
            <w:r>
              <w:rPr>
                <w:rFonts w:hint="default" w:ascii="Times New Roman" w:hAnsi="Times New Roman" w:eastAsia="宋体" w:cs="Times New Roman"/>
                <w:color w:val="auto"/>
                <w:spacing w:val="0"/>
                <w:kern w:val="0"/>
                <w:sz w:val="24"/>
                <w:szCs w:val="20"/>
                <w:highlight w:val="none"/>
                <w:lang w:val="en-US" w:eastAsia="zh-CN" w:bidi="ar-SA"/>
              </w:rPr>
              <w:t>二级标准，见表3-1。</w:t>
            </w:r>
          </w:p>
          <w:p w14:paraId="18FA516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    环境空气质量现状监测统计数据</w:t>
            </w:r>
          </w:p>
          <w:tbl>
            <w:tblPr>
              <w:tblStyle w:val="2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7"/>
              <w:gridCol w:w="2570"/>
              <w:gridCol w:w="1079"/>
              <w:gridCol w:w="1106"/>
              <w:gridCol w:w="864"/>
              <w:gridCol w:w="1038"/>
            </w:tblGrid>
            <w:tr w14:paraId="7C3EF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tcBorders>
                    <w:tl2br w:val="nil"/>
                    <w:tr2bl w:val="nil"/>
                  </w:tcBorders>
                  <w:vAlign w:val="center"/>
                </w:tcPr>
                <w:p w14:paraId="108B42E5">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污染物</w:t>
                  </w:r>
                </w:p>
              </w:tc>
              <w:tc>
                <w:tcPr>
                  <w:tcW w:w="1615" w:type="pct"/>
                  <w:tcBorders>
                    <w:tl2br w:val="nil"/>
                    <w:tr2bl w:val="nil"/>
                  </w:tcBorders>
                  <w:vAlign w:val="center"/>
                </w:tcPr>
                <w:p w14:paraId="2D8872B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评价项目</w:t>
                  </w:r>
                </w:p>
              </w:tc>
              <w:tc>
                <w:tcPr>
                  <w:tcW w:w="678" w:type="pct"/>
                  <w:tcBorders>
                    <w:tl2br w:val="nil"/>
                    <w:tr2bl w:val="nil"/>
                  </w:tcBorders>
                  <w:vAlign w:val="center"/>
                </w:tcPr>
                <w:p w14:paraId="69C43C64">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现状浓度</w:t>
                  </w:r>
                  <w:r>
                    <w:rPr>
                      <w:rFonts w:hint="eastAsia" w:ascii="Times New Roman" w:hAnsi="Times New Roman" w:eastAsia="宋体" w:cs="Times New Roman"/>
                      <w:bCs/>
                      <w:color w:val="auto"/>
                      <w:sz w:val="21"/>
                      <w:szCs w:val="28"/>
                    </w:rPr>
                    <w:t>（</w:t>
                  </w:r>
                  <w:r>
                    <w:rPr>
                      <w:rFonts w:hint="default" w:ascii="Times New Roman" w:hAnsi="Times New Roman" w:eastAsia="宋体" w:cs="Times New Roman"/>
                      <w:bCs/>
                      <w:color w:val="auto"/>
                      <w:sz w:val="21"/>
                      <w:szCs w:val="28"/>
                    </w:rPr>
                    <w:t>μg/m</w:t>
                  </w:r>
                  <w:r>
                    <w:rPr>
                      <w:rFonts w:hint="default" w:ascii="Times New Roman" w:hAnsi="Times New Roman" w:eastAsia="宋体" w:cs="Times New Roman"/>
                      <w:bCs/>
                      <w:color w:val="auto"/>
                      <w:sz w:val="21"/>
                      <w:szCs w:val="28"/>
                      <w:vertAlign w:val="superscript"/>
                    </w:rPr>
                    <w:t>3</w:t>
                  </w:r>
                  <w:r>
                    <w:rPr>
                      <w:rFonts w:hint="eastAsia" w:ascii="Times New Roman" w:hAnsi="Times New Roman" w:eastAsia="宋体" w:cs="Times New Roman"/>
                      <w:bCs/>
                      <w:color w:val="auto"/>
                      <w:sz w:val="21"/>
                      <w:szCs w:val="28"/>
                    </w:rPr>
                    <w:t>）</w:t>
                  </w:r>
                </w:p>
              </w:tc>
              <w:tc>
                <w:tcPr>
                  <w:tcW w:w="695" w:type="pct"/>
                  <w:tcBorders>
                    <w:tl2br w:val="nil"/>
                    <w:tr2bl w:val="nil"/>
                  </w:tcBorders>
                  <w:vAlign w:val="center"/>
                </w:tcPr>
                <w:p w14:paraId="3F07AE30">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sz w:val="24"/>
                      <w:lang w:val="en-US" w:eastAsia="zh-CN"/>
                    </w:rPr>
                  </w:pPr>
                  <w:r>
                    <w:rPr>
                      <w:rFonts w:hint="eastAsia" w:ascii="Times New Roman" w:hAnsi="Times New Roman" w:eastAsia="宋体" w:cs="Times New Roman"/>
                      <w:bCs/>
                      <w:color w:val="auto"/>
                      <w:sz w:val="21"/>
                      <w:szCs w:val="28"/>
                      <w:vertAlign w:val="baseline"/>
                      <w:lang w:val="en-US" w:eastAsia="zh-CN"/>
                    </w:rPr>
                    <w:t>标准限值</w:t>
                  </w:r>
                  <w:r>
                    <w:rPr>
                      <w:rFonts w:hint="eastAsia" w:ascii="Times New Roman" w:hAnsi="Times New Roman" w:eastAsia="宋体" w:cs="Times New Roman"/>
                      <w:bCs/>
                      <w:color w:val="auto"/>
                      <w:sz w:val="21"/>
                      <w:szCs w:val="28"/>
                    </w:rPr>
                    <w:t>（</w:t>
                  </w:r>
                  <w:r>
                    <w:rPr>
                      <w:rFonts w:hint="default" w:ascii="Times New Roman" w:hAnsi="Times New Roman" w:eastAsia="宋体" w:cs="Times New Roman"/>
                      <w:bCs/>
                      <w:color w:val="auto"/>
                      <w:sz w:val="21"/>
                      <w:szCs w:val="28"/>
                    </w:rPr>
                    <w:t>μg/m</w:t>
                  </w:r>
                  <w:r>
                    <w:rPr>
                      <w:rFonts w:hint="default" w:ascii="Times New Roman" w:hAnsi="Times New Roman" w:eastAsia="宋体" w:cs="Times New Roman"/>
                      <w:bCs/>
                      <w:color w:val="auto"/>
                      <w:sz w:val="21"/>
                      <w:szCs w:val="28"/>
                      <w:vertAlign w:val="superscript"/>
                    </w:rPr>
                    <w:t>3</w:t>
                  </w:r>
                  <w:r>
                    <w:rPr>
                      <w:rFonts w:hint="eastAsia" w:ascii="Times New Roman" w:hAnsi="Times New Roman" w:eastAsia="宋体" w:cs="Times New Roman"/>
                      <w:bCs/>
                      <w:color w:val="auto"/>
                      <w:sz w:val="21"/>
                      <w:szCs w:val="28"/>
                    </w:rPr>
                    <w:t>）</w:t>
                  </w:r>
                </w:p>
              </w:tc>
              <w:tc>
                <w:tcPr>
                  <w:tcW w:w="543" w:type="pct"/>
                  <w:tcBorders>
                    <w:tl2br w:val="nil"/>
                    <w:tr2bl w:val="nil"/>
                  </w:tcBorders>
                  <w:vAlign w:val="center"/>
                </w:tcPr>
                <w:p w14:paraId="0AC0714A">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占标率%</w:t>
                  </w:r>
                </w:p>
              </w:tc>
              <w:tc>
                <w:tcPr>
                  <w:tcW w:w="652" w:type="pct"/>
                  <w:tcBorders>
                    <w:tl2br w:val="nil"/>
                    <w:tr2bl w:val="nil"/>
                  </w:tcBorders>
                  <w:vAlign w:val="center"/>
                </w:tcPr>
                <w:p w14:paraId="2AA1E6E4">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达标情况</w:t>
                  </w:r>
                </w:p>
              </w:tc>
            </w:tr>
            <w:tr w14:paraId="17F95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restart"/>
                  <w:tcBorders>
                    <w:tl2br w:val="nil"/>
                    <w:tr2bl w:val="nil"/>
                  </w:tcBorders>
                  <w:vAlign w:val="center"/>
                </w:tcPr>
                <w:p w14:paraId="2C1C92F6">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rPr>
                    <w:t>SO</w:t>
                  </w:r>
                  <w:r>
                    <w:rPr>
                      <w:rFonts w:hint="eastAsia" w:ascii="Times New Roman" w:hAnsi="Times New Roman" w:eastAsia="宋体" w:cs="Times New Roman"/>
                      <w:bCs/>
                      <w:color w:val="auto"/>
                      <w:sz w:val="21"/>
                      <w:szCs w:val="28"/>
                      <w:vertAlign w:val="subscript"/>
                    </w:rPr>
                    <w:t>2</w:t>
                  </w:r>
                </w:p>
              </w:tc>
              <w:tc>
                <w:tcPr>
                  <w:tcW w:w="1615" w:type="pct"/>
                  <w:tcBorders>
                    <w:tl2br w:val="nil"/>
                    <w:tr2bl w:val="nil"/>
                  </w:tcBorders>
                  <w:vAlign w:val="center"/>
                </w:tcPr>
                <w:p w14:paraId="587D88DE">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年平均</w:t>
                  </w:r>
                </w:p>
              </w:tc>
              <w:tc>
                <w:tcPr>
                  <w:tcW w:w="678" w:type="pct"/>
                  <w:tcBorders>
                    <w:tl2br w:val="nil"/>
                    <w:tr2bl w:val="nil"/>
                  </w:tcBorders>
                  <w:vAlign w:val="center"/>
                </w:tcPr>
                <w:p w14:paraId="1389A494">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5</w:t>
                  </w:r>
                </w:p>
              </w:tc>
              <w:tc>
                <w:tcPr>
                  <w:tcW w:w="695" w:type="pct"/>
                  <w:tcBorders>
                    <w:tl2br w:val="nil"/>
                    <w:tr2bl w:val="nil"/>
                  </w:tcBorders>
                  <w:vAlign w:val="center"/>
                </w:tcPr>
                <w:p w14:paraId="2350ADBA">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60</w:t>
                  </w:r>
                </w:p>
              </w:tc>
              <w:tc>
                <w:tcPr>
                  <w:tcW w:w="543" w:type="pct"/>
                  <w:tcBorders>
                    <w:tl2br w:val="nil"/>
                    <w:tr2bl w:val="nil"/>
                  </w:tcBorders>
                  <w:vAlign w:val="center"/>
                </w:tcPr>
                <w:p w14:paraId="3B750EB2">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8</w:t>
                  </w:r>
                </w:p>
              </w:tc>
              <w:tc>
                <w:tcPr>
                  <w:tcW w:w="652" w:type="pct"/>
                  <w:tcBorders>
                    <w:tl2br w:val="nil"/>
                    <w:tr2bl w:val="nil"/>
                  </w:tcBorders>
                  <w:vAlign w:val="center"/>
                </w:tcPr>
                <w:p w14:paraId="2FBA7BB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w:t>
                  </w:r>
                </w:p>
              </w:tc>
            </w:tr>
            <w:tr w14:paraId="717D3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continue"/>
                  <w:tcBorders>
                    <w:tl2br w:val="nil"/>
                    <w:tr2bl w:val="nil"/>
                  </w:tcBorders>
                  <w:vAlign w:val="center"/>
                </w:tcPr>
                <w:p w14:paraId="3EA49A03">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p>
              </w:tc>
              <w:tc>
                <w:tcPr>
                  <w:tcW w:w="1615" w:type="pct"/>
                  <w:tcBorders>
                    <w:tl2br w:val="nil"/>
                    <w:tr2bl w:val="nil"/>
                  </w:tcBorders>
                  <w:vAlign w:val="center"/>
                </w:tcPr>
                <w:p w14:paraId="36D20024">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24平均第98百分位数</w:t>
                  </w:r>
                </w:p>
              </w:tc>
              <w:tc>
                <w:tcPr>
                  <w:tcW w:w="678" w:type="pct"/>
                  <w:tcBorders>
                    <w:tl2br w:val="nil"/>
                    <w:tr2bl w:val="nil"/>
                  </w:tcBorders>
                  <w:vAlign w:val="center"/>
                </w:tcPr>
                <w:p w14:paraId="2CEB8304">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10</w:t>
                  </w:r>
                </w:p>
              </w:tc>
              <w:tc>
                <w:tcPr>
                  <w:tcW w:w="695" w:type="pct"/>
                  <w:tcBorders>
                    <w:tl2br w:val="nil"/>
                    <w:tr2bl w:val="nil"/>
                  </w:tcBorders>
                  <w:vAlign w:val="center"/>
                </w:tcPr>
                <w:p w14:paraId="08E0CE2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150</w:t>
                  </w:r>
                </w:p>
              </w:tc>
              <w:tc>
                <w:tcPr>
                  <w:tcW w:w="543" w:type="pct"/>
                  <w:tcBorders>
                    <w:tl2br w:val="nil"/>
                    <w:tr2bl w:val="nil"/>
                  </w:tcBorders>
                  <w:vAlign w:val="center"/>
                </w:tcPr>
                <w:p w14:paraId="3936A9F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7</w:t>
                  </w:r>
                </w:p>
              </w:tc>
              <w:tc>
                <w:tcPr>
                  <w:tcW w:w="652" w:type="pct"/>
                  <w:tcBorders>
                    <w:tl2br w:val="nil"/>
                    <w:tr2bl w:val="nil"/>
                  </w:tcBorders>
                  <w:vAlign w:val="center"/>
                </w:tcPr>
                <w:p w14:paraId="698112A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w:t>
                  </w:r>
                </w:p>
              </w:tc>
            </w:tr>
            <w:tr w14:paraId="34F9F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restart"/>
                  <w:tcBorders>
                    <w:tl2br w:val="nil"/>
                    <w:tr2bl w:val="nil"/>
                  </w:tcBorders>
                  <w:vAlign w:val="center"/>
                </w:tcPr>
                <w:p w14:paraId="466547C3">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rPr>
                    <w:t>NO</w:t>
                  </w:r>
                  <w:r>
                    <w:rPr>
                      <w:rFonts w:hint="eastAsia" w:ascii="Times New Roman" w:hAnsi="Times New Roman" w:eastAsia="宋体" w:cs="Times New Roman"/>
                      <w:bCs/>
                      <w:color w:val="auto"/>
                      <w:sz w:val="21"/>
                      <w:szCs w:val="28"/>
                      <w:vertAlign w:val="subscript"/>
                    </w:rPr>
                    <w:t>2</w:t>
                  </w:r>
                </w:p>
              </w:tc>
              <w:tc>
                <w:tcPr>
                  <w:tcW w:w="1615" w:type="pct"/>
                  <w:tcBorders>
                    <w:tl2br w:val="nil"/>
                    <w:tr2bl w:val="nil"/>
                  </w:tcBorders>
                  <w:vAlign w:val="center"/>
                </w:tcPr>
                <w:p w14:paraId="33A7EC40">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年平均</w:t>
                  </w:r>
                </w:p>
              </w:tc>
              <w:tc>
                <w:tcPr>
                  <w:tcW w:w="678" w:type="pct"/>
                  <w:tcBorders>
                    <w:tl2br w:val="nil"/>
                    <w:tr2bl w:val="nil"/>
                  </w:tcBorders>
                  <w:vAlign w:val="center"/>
                </w:tcPr>
                <w:p w14:paraId="389DFE22">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19</w:t>
                  </w:r>
                </w:p>
              </w:tc>
              <w:tc>
                <w:tcPr>
                  <w:tcW w:w="695" w:type="pct"/>
                  <w:tcBorders>
                    <w:tl2br w:val="nil"/>
                    <w:tr2bl w:val="nil"/>
                  </w:tcBorders>
                  <w:vAlign w:val="center"/>
                </w:tcPr>
                <w:p w14:paraId="3C24B8F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40</w:t>
                  </w:r>
                </w:p>
              </w:tc>
              <w:tc>
                <w:tcPr>
                  <w:tcW w:w="543" w:type="pct"/>
                  <w:tcBorders>
                    <w:tl2br w:val="nil"/>
                    <w:tr2bl w:val="nil"/>
                  </w:tcBorders>
                  <w:vAlign w:val="center"/>
                </w:tcPr>
                <w:p w14:paraId="16D52CA3">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48</w:t>
                  </w:r>
                </w:p>
              </w:tc>
              <w:tc>
                <w:tcPr>
                  <w:tcW w:w="652" w:type="pct"/>
                  <w:tcBorders>
                    <w:tl2br w:val="nil"/>
                    <w:tr2bl w:val="nil"/>
                  </w:tcBorders>
                  <w:vAlign w:val="center"/>
                </w:tcPr>
                <w:p w14:paraId="6597989A">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w:t>
                  </w:r>
                </w:p>
              </w:tc>
            </w:tr>
            <w:tr w14:paraId="339D4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continue"/>
                  <w:tcBorders>
                    <w:tl2br w:val="nil"/>
                    <w:tr2bl w:val="nil"/>
                  </w:tcBorders>
                  <w:vAlign w:val="center"/>
                </w:tcPr>
                <w:p w14:paraId="5059AE7F">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p>
              </w:tc>
              <w:tc>
                <w:tcPr>
                  <w:tcW w:w="1615" w:type="pct"/>
                  <w:tcBorders>
                    <w:tl2br w:val="nil"/>
                    <w:tr2bl w:val="nil"/>
                  </w:tcBorders>
                  <w:vAlign w:val="center"/>
                </w:tcPr>
                <w:p w14:paraId="4F4992C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24平均第98百分位数</w:t>
                  </w:r>
                </w:p>
              </w:tc>
              <w:tc>
                <w:tcPr>
                  <w:tcW w:w="678" w:type="pct"/>
                  <w:tcBorders>
                    <w:tl2br w:val="nil"/>
                    <w:tr2bl w:val="nil"/>
                  </w:tcBorders>
                  <w:vAlign w:val="center"/>
                </w:tcPr>
                <w:p w14:paraId="3EF9512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43</w:t>
                  </w:r>
                </w:p>
              </w:tc>
              <w:tc>
                <w:tcPr>
                  <w:tcW w:w="695" w:type="pct"/>
                  <w:tcBorders>
                    <w:tl2br w:val="nil"/>
                    <w:tr2bl w:val="nil"/>
                  </w:tcBorders>
                  <w:vAlign w:val="center"/>
                </w:tcPr>
                <w:p w14:paraId="74BC3023">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80</w:t>
                  </w:r>
                </w:p>
              </w:tc>
              <w:tc>
                <w:tcPr>
                  <w:tcW w:w="543" w:type="pct"/>
                  <w:tcBorders>
                    <w:tl2br w:val="nil"/>
                    <w:tr2bl w:val="nil"/>
                  </w:tcBorders>
                  <w:vAlign w:val="center"/>
                </w:tcPr>
                <w:p w14:paraId="0725CE73">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54</w:t>
                  </w:r>
                </w:p>
              </w:tc>
              <w:tc>
                <w:tcPr>
                  <w:tcW w:w="652" w:type="pct"/>
                  <w:tcBorders>
                    <w:tl2br w:val="nil"/>
                    <w:tr2bl w:val="nil"/>
                  </w:tcBorders>
                  <w:vAlign w:val="center"/>
                </w:tcPr>
                <w:p w14:paraId="719F7CB4">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w:t>
                  </w:r>
                </w:p>
              </w:tc>
            </w:tr>
            <w:tr w14:paraId="2B651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tcBorders>
                    <w:tl2br w:val="nil"/>
                    <w:tr2bl w:val="nil"/>
                  </w:tcBorders>
                  <w:vAlign w:val="center"/>
                </w:tcPr>
                <w:p w14:paraId="4ABB5AEF">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rPr>
                    <w:t>CO</w:t>
                  </w:r>
                  <w:r>
                    <w:rPr>
                      <w:rFonts w:hint="eastAsia" w:ascii="宋体" w:hAnsi="宋体" w:eastAsia="宋体" w:cs="宋体"/>
                      <w:bCs/>
                      <w:color w:val="auto"/>
                      <w:sz w:val="21"/>
                      <w:szCs w:val="28"/>
                      <w:lang w:eastAsia="zh-CN"/>
                    </w:rPr>
                    <w:t>(</w:t>
                  </w:r>
                  <w:r>
                    <w:rPr>
                      <w:rFonts w:hint="eastAsia" w:ascii="Times New Roman" w:hAnsi="Times New Roman" w:eastAsia="宋体" w:cs="Times New Roman"/>
                      <w:bCs/>
                      <w:color w:val="auto"/>
                      <w:sz w:val="21"/>
                      <w:szCs w:val="28"/>
                    </w:rPr>
                    <w:t>mg/m</w:t>
                  </w:r>
                  <w:r>
                    <w:rPr>
                      <w:rFonts w:hint="eastAsia" w:ascii="Times New Roman" w:hAnsi="Times New Roman" w:eastAsia="宋体" w:cs="Times New Roman"/>
                      <w:bCs/>
                      <w:color w:val="auto"/>
                      <w:sz w:val="21"/>
                      <w:szCs w:val="28"/>
                      <w:vertAlign w:val="superscript"/>
                    </w:rPr>
                    <w:t>3</w:t>
                  </w:r>
                  <w:r>
                    <w:rPr>
                      <w:rFonts w:hint="eastAsia" w:ascii="Times New Roman" w:hAnsi="Times New Roman" w:eastAsia="宋体" w:cs="Times New Roman"/>
                      <w:bCs/>
                      <w:color w:val="auto"/>
                      <w:sz w:val="21"/>
                      <w:szCs w:val="28"/>
                      <w:lang w:eastAsia="zh-CN"/>
                    </w:rPr>
                    <w:t>）</w:t>
                  </w:r>
                </w:p>
              </w:tc>
              <w:tc>
                <w:tcPr>
                  <w:tcW w:w="1615" w:type="pct"/>
                  <w:tcBorders>
                    <w:tl2br w:val="nil"/>
                    <w:tr2bl w:val="nil"/>
                  </w:tcBorders>
                  <w:vAlign w:val="center"/>
                </w:tcPr>
                <w:p w14:paraId="166B839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24平均第95百分位数</w:t>
                  </w:r>
                </w:p>
              </w:tc>
              <w:tc>
                <w:tcPr>
                  <w:tcW w:w="678" w:type="pct"/>
                  <w:tcBorders>
                    <w:tl2br w:val="nil"/>
                    <w:tr2bl w:val="nil"/>
                  </w:tcBorders>
                  <w:vAlign w:val="center"/>
                </w:tcPr>
                <w:p w14:paraId="69C7B26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1.8</w:t>
                  </w:r>
                </w:p>
              </w:tc>
              <w:tc>
                <w:tcPr>
                  <w:tcW w:w="695" w:type="pct"/>
                  <w:tcBorders>
                    <w:tl2br w:val="nil"/>
                    <w:tr2bl w:val="nil"/>
                  </w:tcBorders>
                  <w:vAlign w:val="center"/>
                </w:tcPr>
                <w:p w14:paraId="62F209BB">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4</w:t>
                  </w:r>
                </w:p>
              </w:tc>
              <w:tc>
                <w:tcPr>
                  <w:tcW w:w="543" w:type="pct"/>
                  <w:tcBorders>
                    <w:tl2br w:val="nil"/>
                    <w:tr2bl w:val="nil"/>
                  </w:tcBorders>
                  <w:vAlign w:val="center"/>
                </w:tcPr>
                <w:p w14:paraId="59465ACB">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45</w:t>
                  </w:r>
                </w:p>
              </w:tc>
              <w:tc>
                <w:tcPr>
                  <w:tcW w:w="652" w:type="pct"/>
                  <w:tcBorders>
                    <w:tl2br w:val="nil"/>
                    <w:tr2bl w:val="nil"/>
                  </w:tcBorders>
                  <w:vAlign w:val="center"/>
                </w:tcPr>
                <w:p w14:paraId="5426393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w:t>
                  </w:r>
                </w:p>
              </w:tc>
            </w:tr>
            <w:tr w14:paraId="1DDDD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tcBorders>
                    <w:tl2br w:val="nil"/>
                    <w:tr2bl w:val="nil"/>
                  </w:tcBorders>
                  <w:vAlign w:val="center"/>
                </w:tcPr>
                <w:p w14:paraId="5EA1CED3">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rPr>
                    <w:t>O</w:t>
                  </w:r>
                  <w:r>
                    <w:rPr>
                      <w:rFonts w:hint="eastAsia" w:ascii="Times New Roman" w:hAnsi="Times New Roman" w:eastAsia="宋体" w:cs="Times New Roman"/>
                      <w:bCs/>
                      <w:color w:val="auto"/>
                      <w:sz w:val="21"/>
                      <w:szCs w:val="28"/>
                      <w:vertAlign w:val="subscript"/>
                    </w:rPr>
                    <w:t>3</w:t>
                  </w:r>
                </w:p>
              </w:tc>
              <w:tc>
                <w:tcPr>
                  <w:tcW w:w="1615" w:type="pct"/>
                  <w:tcBorders>
                    <w:tl2br w:val="nil"/>
                    <w:tr2bl w:val="nil"/>
                  </w:tcBorders>
                  <w:vAlign w:val="center"/>
                </w:tcPr>
                <w:p w14:paraId="3F191B7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最大8小时滑动平均值的第90百分位数</w:t>
                  </w:r>
                </w:p>
              </w:tc>
              <w:tc>
                <w:tcPr>
                  <w:tcW w:w="678" w:type="pct"/>
                  <w:tcBorders>
                    <w:tl2br w:val="nil"/>
                    <w:tr2bl w:val="nil"/>
                  </w:tcBorders>
                  <w:vAlign w:val="center"/>
                </w:tcPr>
                <w:p w14:paraId="78DEA81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118</w:t>
                  </w:r>
                </w:p>
              </w:tc>
              <w:tc>
                <w:tcPr>
                  <w:tcW w:w="695" w:type="pct"/>
                  <w:tcBorders>
                    <w:tl2br w:val="nil"/>
                    <w:tr2bl w:val="nil"/>
                  </w:tcBorders>
                  <w:vAlign w:val="center"/>
                </w:tcPr>
                <w:p w14:paraId="488CC62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160</w:t>
                  </w:r>
                </w:p>
              </w:tc>
              <w:tc>
                <w:tcPr>
                  <w:tcW w:w="543" w:type="pct"/>
                  <w:tcBorders>
                    <w:tl2br w:val="nil"/>
                    <w:tr2bl w:val="nil"/>
                  </w:tcBorders>
                  <w:vAlign w:val="center"/>
                </w:tcPr>
                <w:p w14:paraId="1ED39A12">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74</w:t>
                  </w:r>
                </w:p>
              </w:tc>
              <w:tc>
                <w:tcPr>
                  <w:tcW w:w="652" w:type="pct"/>
                  <w:tcBorders>
                    <w:tl2br w:val="nil"/>
                    <w:tr2bl w:val="nil"/>
                  </w:tcBorders>
                  <w:vAlign w:val="center"/>
                </w:tcPr>
                <w:p w14:paraId="16A4D61A">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达标</w:t>
                  </w:r>
                </w:p>
              </w:tc>
            </w:tr>
            <w:tr w14:paraId="435D4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restart"/>
                  <w:tcBorders>
                    <w:tl2br w:val="nil"/>
                    <w:tr2bl w:val="nil"/>
                  </w:tcBorders>
                  <w:vAlign w:val="center"/>
                </w:tcPr>
                <w:p w14:paraId="7987BEA8">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rPr>
                    <w:t>PM</w:t>
                  </w:r>
                  <w:r>
                    <w:rPr>
                      <w:rFonts w:hint="eastAsia" w:ascii="Times New Roman" w:hAnsi="Times New Roman" w:eastAsia="宋体" w:cs="Times New Roman"/>
                      <w:bCs/>
                      <w:color w:val="auto"/>
                      <w:sz w:val="21"/>
                      <w:szCs w:val="28"/>
                      <w:vertAlign w:val="subscript"/>
                    </w:rPr>
                    <w:t>10</w:t>
                  </w:r>
                </w:p>
              </w:tc>
              <w:tc>
                <w:tcPr>
                  <w:tcW w:w="1615" w:type="pct"/>
                  <w:tcBorders>
                    <w:tl2br w:val="nil"/>
                    <w:tr2bl w:val="nil"/>
                  </w:tcBorders>
                  <w:vAlign w:val="center"/>
                </w:tcPr>
                <w:p w14:paraId="0887CF0B">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年平均</w:t>
                  </w:r>
                </w:p>
              </w:tc>
              <w:tc>
                <w:tcPr>
                  <w:tcW w:w="678" w:type="pct"/>
                  <w:tcBorders>
                    <w:tl2br w:val="nil"/>
                    <w:tr2bl w:val="nil"/>
                  </w:tcBorders>
                  <w:vAlign w:val="center"/>
                </w:tcPr>
                <w:p w14:paraId="03DF1A7B">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171</w:t>
                  </w:r>
                </w:p>
              </w:tc>
              <w:tc>
                <w:tcPr>
                  <w:tcW w:w="695" w:type="pct"/>
                  <w:tcBorders>
                    <w:tl2br w:val="nil"/>
                    <w:tr2bl w:val="nil"/>
                  </w:tcBorders>
                  <w:vAlign w:val="center"/>
                </w:tcPr>
                <w:p w14:paraId="578F74F9">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70</w:t>
                  </w:r>
                </w:p>
              </w:tc>
              <w:tc>
                <w:tcPr>
                  <w:tcW w:w="543" w:type="pct"/>
                  <w:tcBorders>
                    <w:tl2br w:val="nil"/>
                    <w:tr2bl w:val="nil"/>
                  </w:tcBorders>
                  <w:vAlign w:val="center"/>
                </w:tcPr>
                <w:p w14:paraId="48038C58">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244</w:t>
                  </w:r>
                </w:p>
              </w:tc>
              <w:tc>
                <w:tcPr>
                  <w:tcW w:w="652" w:type="pct"/>
                  <w:tcBorders>
                    <w:tl2br w:val="nil"/>
                    <w:tr2bl w:val="nil"/>
                  </w:tcBorders>
                  <w:vAlign w:val="center"/>
                </w:tcPr>
                <w:p w14:paraId="329C69AE">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不达标</w:t>
                  </w:r>
                </w:p>
              </w:tc>
            </w:tr>
            <w:tr w14:paraId="4E93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continue"/>
                  <w:tcBorders>
                    <w:tl2br w:val="nil"/>
                    <w:tr2bl w:val="nil"/>
                  </w:tcBorders>
                  <w:vAlign w:val="center"/>
                </w:tcPr>
                <w:p w14:paraId="1F4775AE">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p>
              </w:tc>
              <w:tc>
                <w:tcPr>
                  <w:tcW w:w="1615" w:type="pct"/>
                  <w:tcBorders>
                    <w:tl2br w:val="nil"/>
                    <w:tr2bl w:val="nil"/>
                  </w:tcBorders>
                  <w:vAlign w:val="center"/>
                </w:tcPr>
                <w:p w14:paraId="1FAE33B0">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24平均第95百分位数</w:t>
                  </w:r>
                </w:p>
              </w:tc>
              <w:tc>
                <w:tcPr>
                  <w:tcW w:w="678" w:type="pct"/>
                  <w:tcBorders>
                    <w:tl2br w:val="nil"/>
                    <w:tr2bl w:val="nil"/>
                  </w:tcBorders>
                  <w:vAlign w:val="center"/>
                </w:tcPr>
                <w:p w14:paraId="002B79A1">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481</w:t>
                  </w:r>
                </w:p>
              </w:tc>
              <w:tc>
                <w:tcPr>
                  <w:tcW w:w="695" w:type="pct"/>
                  <w:tcBorders>
                    <w:tl2br w:val="nil"/>
                    <w:tr2bl w:val="nil"/>
                  </w:tcBorders>
                  <w:vAlign w:val="center"/>
                </w:tcPr>
                <w:p w14:paraId="60534130">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150</w:t>
                  </w:r>
                </w:p>
              </w:tc>
              <w:tc>
                <w:tcPr>
                  <w:tcW w:w="543" w:type="pct"/>
                  <w:tcBorders>
                    <w:tl2br w:val="nil"/>
                    <w:tr2bl w:val="nil"/>
                  </w:tcBorders>
                  <w:vAlign w:val="center"/>
                </w:tcPr>
                <w:p w14:paraId="0E3A0E8B">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321</w:t>
                  </w:r>
                </w:p>
              </w:tc>
              <w:tc>
                <w:tcPr>
                  <w:tcW w:w="652" w:type="pct"/>
                  <w:tcBorders>
                    <w:tl2br w:val="nil"/>
                    <w:tr2bl w:val="nil"/>
                  </w:tcBorders>
                  <w:vAlign w:val="center"/>
                </w:tcPr>
                <w:p w14:paraId="3C55F00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不达标</w:t>
                  </w:r>
                </w:p>
              </w:tc>
            </w:tr>
            <w:tr w14:paraId="09581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restart"/>
                  <w:tcBorders>
                    <w:tl2br w:val="nil"/>
                    <w:tr2bl w:val="nil"/>
                  </w:tcBorders>
                  <w:vAlign w:val="center"/>
                </w:tcPr>
                <w:p w14:paraId="29A0456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rPr>
                    <w:t>PM</w:t>
                  </w:r>
                  <w:r>
                    <w:rPr>
                      <w:rFonts w:hint="eastAsia" w:ascii="Times New Roman" w:hAnsi="Times New Roman" w:eastAsia="宋体" w:cs="Times New Roman"/>
                      <w:bCs/>
                      <w:color w:val="auto"/>
                      <w:sz w:val="21"/>
                      <w:szCs w:val="28"/>
                      <w:vertAlign w:val="subscript"/>
                    </w:rPr>
                    <w:t>2.5</w:t>
                  </w:r>
                </w:p>
              </w:tc>
              <w:tc>
                <w:tcPr>
                  <w:tcW w:w="1615" w:type="pct"/>
                  <w:tcBorders>
                    <w:tl2br w:val="nil"/>
                    <w:tr2bl w:val="nil"/>
                  </w:tcBorders>
                  <w:vAlign w:val="center"/>
                </w:tcPr>
                <w:p w14:paraId="3E50F9D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年平均</w:t>
                  </w:r>
                </w:p>
              </w:tc>
              <w:tc>
                <w:tcPr>
                  <w:tcW w:w="678" w:type="pct"/>
                  <w:tcBorders>
                    <w:tl2br w:val="nil"/>
                    <w:tr2bl w:val="nil"/>
                  </w:tcBorders>
                  <w:vAlign w:val="center"/>
                </w:tcPr>
                <w:p w14:paraId="0FE05D2F">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52</w:t>
                  </w:r>
                </w:p>
              </w:tc>
              <w:tc>
                <w:tcPr>
                  <w:tcW w:w="695" w:type="pct"/>
                  <w:tcBorders>
                    <w:tl2br w:val="nil"/>
                    <w:tr2bl w:val="nil"/>
                  </w:tcBorders>
                  <w:vAlign w:val="center"/>
                </w:tcPr>
                <w:p w14:paraId="6DD4AE77">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default" w:ascii="Times New Roman" w:hAnsi="Times New Roman" w:eastAsia="宋体" w:cs="Times New Roman"/>
                      <w:bCs/>
                      <w:color w:val="auto"/>
                      <w:sz w:val="21"/>
                      <w:szCs w:val="28"/>
                      <w:vertAlign w:val="baseline"/>
                      <w:lang w:val="en-US" w:eastAsia="zh-CN"/>
                    </w:rPr>
                    <w:t>35</w:t>
                  </w:r>
                </w:p>
              </w:tc>
              <w:tc>
                <w:tcPr>
                  <w:tcW w:w="543" w:type="pct"/>
                  <w:tcBorders>
                    <w:tl2br w:val="nil"/>
                    <w:tr2bl w:val="nil"/>
                  </w:tcBorders>
                  <w:vAlign w:val="center"/>
                </w:tcPr>
                <w:p w14:paraId="2B5354CA">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149</w:t>
                  </w:r>
                </w:p>
              </w:tc>
              <w:tc>
                <w:tcPr>
                  <w:tcW w:w="652" w:type="pct"/>
                  <w:tcBorders>
                    <w:tl2br w:val="nil"/>
                    <w:tr2bl w:val="nil"/>
                  </w:tcBorders>
                  <w:vAlign w:val="center"/>
                </w:tcPr>
                <w:p w14:paraId="386C40B2">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不达标</w:t>
                  </w:r>
                </w:p>
              </w:tc>
            </w:tr>
            <w:tr w14:paraId="4C1ED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5" w:type="pct"/>
                  <w:vMerge w:val="continue"/>
                  <w:tcBorders>
                    <w:tl2br w:val="nil"/>
                    <w:tr2bl w:val="nil"/>
                  </w:tcBorders>
                  <w:vAlign w:val="center"/>
                </w:tcPr>
                <w:p w14:paraId="76DA4E4D">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p>
              </w:tc>
              <w:tc>
                <w:tcPr>
                  <w:tcW w:w="1615" w:type="pct"/>
                  <w:tcBorders>
                    <w:tl2br w:val="nil"/>
                    <w:tr2bl w:val="nil"/>
                  </w:tcBorders>
                  <w:vAlign w:val="center"/>
                </w:tcPr>
                <w:p w14:paraId="33982B0F">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24平均第95百分位数</w:t>
                  </w:r>
                </w:p>
              </w:tc>
              <w:tc>
                <w:tcPr>
                  <w:tcW w:w="678" w:type="pct"/>
                  <w:tcBorders>
                    <w:tl2br w:val="nil"/>
                    <w:tr2bl w:val="nil"/>
                  </w:tcBorders>
                  <w:vAlign w:val="center"/>
                </w:tcPr>
                <w:p w14:paraId="27B668E5">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123</w:t>
                  </w:r>
                </w:p>
              </w:tc>
              <w:tc>
                <w:tcPr>
                  <w:tcW w:w="695" w:type="pct"/>
                  <w:tcBorders>
                    <w:tl2br w:val="nil"/>
                    <w:tr2bl w:val="nil"/>
                  </w:tcBorders>
                  <w:vAlign w:val="center"/>
                </w:tcPr>
                <w:p w14:paraId="5AA039F5">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75</w:t>
                  </w:r>
                </w:p>
              </w:tc>
              <w:tc>
                <w:tcPr>
                  <w:tcW w:w="543" w:type="pct"/>
                  <w:tcBorders>
                    <w:tl2br w:val="nil"/>
                    <w:tr2bl w:val="nil"/>
                  </w:tcBorders>
                  <w:vAlign w:val="center"/>
                </w:tcPr>
                <w:p w14:paraId="1376899F">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default"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164</w:t>
                  </w:r>
                </w:p>
              </w:tc>
              <w:tc>
                <w:tcPr>
                  <w:tcW w:w="652" w:type="pct"/>
                  <w:tcBorders>
                    <w:tl2br w:val="nil"/>
                    <w:tr2bl w:val="nil"/>
                  </w:tcBorders>
                  <w:vAlign w:val="center"/>
                </w:tcPr>
                <w:p w14:paraId="5DBFD2A9">
                  <w:pPr>
                    <w:keepNext w:val="0"/>
                    <w:keepLines w:val="0"/>
                    <w:suppressLineNumbers w:val="0"/>
                    <w:adjustRightInd w:val="0"/>
                    <w:snapToGrid w:val="0"/>
                    <w:spacing w:before="0" w:beforeAutospacing="0" w:after="0" w:afterAutospacing="0" w:line="240" w:lineRule="auto"/>
                    <w:ind w:left="0" w:right="0" w:firstLine="0" w:firstLineChars="0"/>
                    <w:jc w:val="center"/>
                    <w:outlineLvl w:val="3"/>
                    <w:rPr>
                      <w:rFonts w:hint="eastAsia" w:ascii="Times New Roman" w:hAnsi="Times New Roman" w:eastAsia="宋体" w:cs="Times New Roman"/>
                      <w:bCs/>
                      <w:color w:val="auto"/>
                      <w:sz w:val="21"/>
                      <w:szCs w:val="28"/>
                      <w:vertAlign w:val="baseline"/>
                      <w:lang w:val="en-US" w:eastAsia="zh-CN"/>
                    </w:rPr>
                  </w:pPr>
                  <w:r>
                    <w:rPr>
                      <w:rFonts w:hint="eastAsia" w:ascii="Times New Roman" w:hAnsi="Times New Roman" w:eastAsia="宋体" w:cs="Times New Roman"/>
                      <w:bCs/>
                      <w:color w:val="auto"/>
                      <w:sz w:val="21"/>
                      <w:szCs w:val="28"/>
                      <w:vertAlign w:val="baseline"/>
                      <w:lang w:val="en-US" w:eastAsia="zh-CN"/>
                    </w:rPr>
                    <w:t>不达标</w:t>
                  </w:r>
                </w:p>
              </w:tc>
            </w:tr>
          </w:tbl>
          <w:p w14:paraId="71C6302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pacing w:val="0"/>
                <w:kern w:val="2"/>
                <w:sz w:val="24"/>
                <w:highlight w:val="none"/>
                <w:lang w:val="en-US" w:eastAsia="zh-CN"/>
              </w:rPr>
              <w:t>由表3-</w:t>
            </w:r>
            <w:r>
              <w:rPr>
                <w:rFonts w:hint="eastAsia" w:ascii="Times New Roman" w:hAnsi="Times New Roman" w:eastAsia="宋体" w:cs="Times New Roman"/>
                <w:color w:val="auto"/>
                <w:spacing w:val="0"/>
                <w:kern w:val="2"/>
                <w:sz w:val="24"/>
                <w:highlight w:val="none"/>
                <w:lang w:val="en-US" w:eastAsia="zh-CN"/>
              </w:rPr>
              <w:t>1</w:t>
            </w:r>
            <w:r>
              <w:rPr>
                <w:rFonts w:hint="default" w:ascii="Times New Roman" w:hAnsi="Times New Roman" w:eastAsia="宋体" w:cs="Times New Roman"/>
                <w:color w:val="auto"/>
                <w:spacing w:val="0"/>
                <w:kern w:val="2"/>
                <w:sz w:val="24"/>
                <w:highlight w:val="none"/>
                <w:lang w:val="en-US" w:eastAsia="zh-CN"/>
              </w:rPr>
              <w:t>看出，2024年</w:t>
            </w:r>
            <w:r>
              <w:rPr>
                <w:rFonts w:hint="eastAsia" w:ascii="Times New Roman" w:hAnsi="Times New Roman" w:eastAsia="宋体" w:cs="Times New Roman"/>
                <w:color w:val="auto"/>
                <w:spacing w:val="0"/>
                <w:kern w:val="2"/>
                <w:sz w:val="24"/>
                <w:highlight w:val="none"/>
                <w:lang w:val="en-US" w:eastAsia="zh-CN"/>
              </w:rPr>
              <w:t>轮台县</w:t>
            </w:r>
            <w:r>
              <w:rPr>
                <w:rFonts w:hint="default" w:ascii="Times New Roman" w:hAnsi="Times New Roman" w:eastAsia="宋体" w:cs="Times New Roman"/>
                <w:color w:val="auto"/>
                <w:spacing w:val="0"/>
                <w:kern w:val="2"/>
                <w:sz w:val="24"/>
                <w:highlight w:val="none"/>
                <w:lang w:val="en-US" w:eastAsia="zh-CN"/>
              </w:rPr>
              <w:t>空气质量监测总天数为365天，受沙尘天气影响，PM</w:t>
            </w:r>
            <w:r>
              <w:rPr>
                <w:rFonts w:hint="default" w:ascii="Times New Roman" w:hAnsi="Times New Roman" w:eastAsia="宋体" w:cs="Times New Roman"/>
                <w:color w:val="auto"/>
                <w:spacing w:val="0"/>
                <w:kern w:val="2"/>
                <w:sz w:val="24"/>
                <w:highlight w:val="none"/>
                <w:vertAlign w:val="subscript"/>
                <w:lang w:val="en-US" w:eastAsia="zh-CN"/>
              </w:rPr>
              <w:t>10</w:t>
            </w:r>
            <w:r>
              <w:rPr>
                <w:rFonts w:hint="default" w:ascii="Times New Roman" w:hAnsi="Times New Roman" w:eastAsia="宋体" w:cs="Times New Roman"/>
                <w:color w:val="auto"/>
                <w:spacing w:val="0"/>
                <w:kern w:val="2"/>
                <w:sz w:val="24"/>
                <w:highlight w:val="none"/>
                <w:lang w:val="en-US" w:eastAsia="zh-CN"/>
              </w:rPr>
              <w:t>、PM</w:t>
            </w:r>
            <w:r>
              <w:rPr>
                <w:rFonts w:hint="default" w:ascii="Times New Roman" w:hAnsi="Times New Roman" w:eastAsia="宋体" w:cs="Times New Roman"/>
                <w:color w:val="auto"/>
                <w:spacing w:val="0"/>
                <w:kern w:val="2"/>
                <w:sz w:val="24"/>
                <w:highlight w:val="none"/>
                <w:vertAlign w:val="subscript"/>
                <w:lang w:val="en-US" w:eastAsia="zh-CN"/>
              </w:rPr>
              <w:t>2.5</w:t>
            </w:r>
            <w:r>
              <w:rPr>
                <w:rFonts w:hint="default" w:ascii="Times New Roman" w:hAnsi="Times New Roman" w:eastAsia="宋体" w:cs="Times New Roman"/>
                <w:color w:val="auto"/>
                <w:spacing w:val="0"/>
                <w:kern w:val="2"/>
                <w:sz w:val="24"/>
                <w:highlight w:val="none"/>
                <w:lang w:val="en-US" w:eastAsia="zh-CN"/>
              </w:rPr>
              <w:t>浓度超过《环境空气质量标准》（</w:t>
            </w:r>
            <w:r>
              <w:rPr>
                <w:rFonts w:hint="eastAsia" w:cs="Times New Roman"/>
                <w:color w:val="auto"/>
                <w:spacing w:val="0"/>
                <w:kern w:val="2"/>
                <w:sz w:val="24"/>
                <w:highlight w:val="none"/>
                <w:lang w:val="en-US" w:eastAsia="zh-CN"/>
              </w:rPr>
              <w:t>GB3095-2026</w:t>
            </w:r>
            <w:r>
              <w:rPr>
                <w:rFonts w:hint="default" w:ascii="Times New Roman" w:hAnsi="Times New Roman" w:eastAsia="宋体" w:cs="Times New Roman"/>
                <w:color w:val="auto"/>
                <w:spacing w:val="0"/>
                <w:kern w:val="2"/>
                <w:sz w:val="24"/>
                <w:highlight w:val="none"/>
                <w:lang w:val="en-US" w:eastAsia="zh-CN"/>
              </w:rPr>
              <w:t>）二级标准，SO</w:t>
            </w:r>
            <w:r>
              <w:rPr>
                <w:rFonts w:hint="default" w:ascii="Times New Roman" w:hAnsi="Times New Roman" w:eastAsia="宋体" w:cs="Times New Roman"/>
                <w:color w:val="auto"/>
                <w:spacing w:val="0"/>
                <w:kern w:val="2"/>
                <w:sz w:val="24"/>
                <w:highlight w:val="none"/>
                <w:vertAlign w:val="subscript"/>
                <w:lang w:val="en-US" w:eastAsia="zh-CN"/>
              </w:rPr>
              <w:t>2</w:t>
            </w:r>
            <w:r>
              <w:rPr>
                <w:rFonts w:hint="default" w:ascii="Times New Roman" w:hAnsi="Times New Roman" w:eastAsia="宋体" w:cs="Times New Roman"/>
                <w:color w:val="auto"/>
                <w:spacing w:val="0"/>
                <w:kern w:val="2"/>
                <w:sz w:val="24"/>
                <w:highlight w:val="none"/>
                <w:lang w:val="en-US" w:eastAsia="zh-CN"/>
              </w:rPr>
              <w:t>、NO</w:t>
            </w:r>
            <w:r>
              <w:rPr>
                <w:rFonts w:hint="default" w:ascii="Times New Roman" w:hAnsi="Times New Roman" w:eastAsia="宋体" w:cs="Times New Roman"/>
                <w:color w:val="auto"/>
                <w:spacing w:val="0"/>
                <w:kern w:val="2"/>
                <w:sz w:val="24"/>
                <w:highlight w:val="none"/>
                <w:vertAlign w:val="subscript"/>
                <w:lang w:val="en-US" w:eastAsia="zh-CN"/>
              </w:rPr>
              <w:t>2</w:t>
            </w:r>
            <w:r>
              <w:rPr>
                <w:rFonts w:hint="default" w:ascii="Times New Roman" w:hAnsi="Times New Roman" w:eastAsia="宋体" w:cs="Times New Roman"/>
                <w:color w:val="auto"/>
                <w:spacing w:val="0"/>
                <w:kern w:val="2"/>
                <w:sz w:val="24"/>
                <w:highlight w:val="none"/>
                <w:lang w:val="en-US" w:eastAsia="zh-CN"/>
              </w:rPr>
              <w:t>、CO、O</w:t>
            </w:r>
            <w:r>
              <w:rPr>
                <w:rFonts w:hint="default" w:ascii="Times New Roman" w:hAnsi="Times New Roman" w:eastAsia="宋体" w:cs="Times New Roman"/>
                <w:color w:val="auto"/>
                <w:spacing w:val="0"/>
                <w:kern w:val="2"/>
                <w:sz w:val="24"/>
                <w:highlight w:val="none"/>
                <w:vertAlign w:val="subscript"/>
                <w:lang w:val="en-US" w:eastAsia="zh-CN"/>
              </w:rPr>
              <w:t>3</w:t>
            </w:r>
            <w:r>
              <w:rPr>
                <w:rFonts w:hint="default" w:ascii="Times New Roman" w:hAnsi="Times New Roman" w:eastAsia="宋体" w:cs="Times New Roman"/>
                <w:color w:val="auto"/>
                <w:spacing w:val="0"/>
                <w:kern w:val="2"/>
                <w:sz w:val="24"/>
                <w:highlight w:val="none"/>
                <w:lang w:val="en-US" w:eastAsia="zh-CN"/>
              </w:rPr>
              <w:t>、PM</w:t>
            </w:r>
            <w:r>
              <w:rPr>
                <w:rFonts w:hint="default" w:ascii="Times New Roman" w:hAnsi="Times New Roman" w:eastAsia="宋体" w:cs="Times New Roman"/>
                <w:color w:val="auto"/>
                <w:spacing w:val="0"/>
                <w:kern w:val="2"/>
                <w:sz w:val="24"/>
                <w:highlight w:val="none"/>
                <w:vertAlign w:val="subscript"/>
                <w:lang w:val="en-US" w:eastAsia="zh-CN"/>
              </w:rPr>
              <w:t>2.5</w:t>
            </w:r>
            <w:r>
              <w:rPr>
                <w:rFonts w:hint="default" w:ascii="Times New Roman" w:hAnsi="Times New Roman" w:eastAsia="宋体" w:cs="Times New Roman"/>
                <w:color w:val="auto"/>
                <w:spacing w:val="0"/>
                <w:kern w:val="2"/>
                <w:sz w:val="24"/>
                <w:highlight w:val="none"/>
                <w:lang w:val="en-US" w:eastAsia="zh-CN"/>
              </w:rPr>
              <w:t>等其他监测指标均满足二级标准，因此判断本项目所在区域为不达标区域。</w:t>
            </w:r>
          </w:p>
          <w:p w14:paraId="02F2C315">
            <w:pPr>
              <w:pStyle w:val="4"/>
              <w:spacing w:before="0" w:after="0" w:line="360" w:lineRule="auto"/>
              <w:rPr>
                <w:rFonts w:hint="default" w:ascii="Times New Roman" w:hAnsi="Times New Roman" w:eastAsia="宋体" w:cs="Times New Roman"/>
                <w:b/>
                <w:bCs/>
                <w:szCs w:val="24"/>
              </w:rPr>
            </w:pPr>
            <w:r>
              <w:rPr>
                <w:rFonts w:hint="default" w:ascii="Times New Roman" w:hAnsi="Times New Roman" w:cs="Times New Roman"/>
                <w:b/>
                <w:bCs/>
                <w:szCs w:val="24"/>
                <w:lang w:val="en-US" w:eastAsia="zh-CN"/>
              </w:rPr>
              <w:t>1</w:t>
            </w:r>
            <w:r>
              <w:rPr>
                <w:rFonts w:hint="eastAsia" w:cs="Times New Roman"/>
                <w:b/>
                <w:bCs/>
                <w:szCs w:val="24"/>
                <w:lang w:val="en-US" w:eastAsia="zh-CN"/>
              </w:rPr>
              <w:t xml:space="preserve"> </w:t>
            </w:r>
            <w:r>
              <w:rPr>
                <w:rFonts w:hint="default" w:ascii="Times New Roman" w:hAnsi="Times New Roman" w:eastAsia="宋体" w:cs="Times New Roman"/>
                <w:b/>
                <w:bCs/>
                <w:szCs w:val="24"/>
              </w:rPr>
              <w:t>其他污染物质量现状评价</w:t>
            </w:r>
          </w:p>
          <w:p w14:paraId="4CEDA63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480" w:firstLineChars="200"/>
              <w:textAlignment w:val="auto"/>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H</w:t>
            </w:r>
            <w:r>
              <w:rPr>
                <w:rFonts w:hint="default" w:ascii="Times New Roman" w:hAnsi="Times New Roman" w:eastAsia="宋体" w:cs="Times New Roman"/>
                <w:b w:val="0"/>
                <w:bCs w:val="0"/>
                <w:color w:val="000000"/>
                <w:sz w:val="24"/>
                <w:szCs w:val="22"/>
                <w:vertAlign w:val="subscript"/>
                <w:lang w:val="en-US" w:eastAsia="zh-CN"/>
              </w:rPr>
              <w:t>2</w:t>
            </w:r>
            <w:r>
              <w:rPr>
                <w:rFonts w:hint="default" w:ascii="Times New Roman" w:hAnsi="Times New Roman" w:eastAsia="宋体" w:cs="Times New Roman"/>
                <w:b w:val="0"/>
                <w:bCs w:val="0"/>
                <w:color w:val="000000"/>
                <w:sz w:val="24"/>
                <w:szCs w:val="22"/>
                <w:lang w:val="en-US" w:eastAsia="zh-CN"/>
              </w:rPr>
              <w:t>S、NH</w:t>
            </w:r>
            <w:r>
              <w:rPr>
                <w:rFonts w:hint="default" w:ascii="Times New Roman" w:hAnsi="Times New Roman" w:eastAsia="宋体" w:cs="Times New Roman"/>
                <w:b w:val="0"/>
                <w:bCs w:val="0"/>
                <w:color w:val="000000"/>
                <w:sz w:val="24"/>
                <w:szCs w:val="22"/>
                <w:vertAlign w:val="subscript"/>
                <w:lang w:val="en-US" w:eastAsia="zh-CN"/>
              </w:rPr>
              <w:t>3</w:t>
            </w:r>
            <w:r>
              <w:rPr>
                <w:rFonts w:hint="eastAsia" w:ascii="Times New Roman" w:hAnsi="Times New Roman" w:eastAsia="宋体" w:cs="Times New Roman"/>
                <w:b w:val="0"/>
                <w:bCs w:val="0"/>
                <w:color w:val="000000"/>
                <w:sz w:val="24"/>
                <w:szCs w:val="22"/>
                <w:vertAlign w:val="baseline"/>
                <w:lang w:val="en-US" w:eastAsia="zh-CN"/>
              </w:rPr>
              <w:t>、</w:t>
            </w:r>
            <w:r>
              <w:rPr>
                <w:rFonts w:hint="eastAsia" w:cs="Times New Roman"/>
                <w:b w:val="0"/>
                <w:bCs w:val="0"/>
                <w:color w:val="000000"/>
                <w:sz w:val="24"/>
                <w:szCs w:val="22"/>
                <w:vertAlign w:val="baseline"/>
                <w:lang w:val="en-US" w:eastAsia="zh-CN"/>
              </w:rPr>
              <w:t>TSP、</w:t>
            </w:r>
            <w:r>
              <w:rPr>
                <w:rFonts w:hint="eastAsia" w:ascii="Times New Roman" w:hAnsi="Times New Roman" w:eastAsia="宋体" w:cs="Times New Roman"/>
                <w:b w:val="0"/>
                <w:bCs w:val="0"/>
                <w:color w:val="000000"/>
                <w:sz w:val="24"/>
                <w:szCs w:val="22"/>
                <w:vertAlign w:val="baseline"/>
                <w:lang w:val="en-US" w:eastAsia="zh-CN"/>
              </w:rPr>
              <w:t>非甲烷总烃</w:t>
            </w:r>
            <w:r>
              <w:rPr>
                <w:rFonts w:hint="eastAsia" w:cs="Times New Roman"/>
                <w:b w:val="0"/>
                <w:bCs w:val="0"/>
                <w:color w:val="000000"/>
                <w:sz w:val="24"/>
                <w:szCs w:val="22"/>
                <w:vertAlign w:val="baseline"/>
                <w:lang w:val="en-US" w:eastAsia="zh-CN"/>
              </w:rPr>
              <w:t>数据，</w:t>
            </w:r>
            <w:r>
              <w:rPr>
                <w:rFonts w:hint="default" w:ascii="Times New Roman" w:hAnsi="Times New Roman" w:eastAsia="宋体" w:cs="Times New Roman"/>
                <w:color w:val="000000"/>
                <w:kern w:val="0"/>
                <w:sz w:val="24"/>
                <w:szCs w:val="24"/>
                <w:highlight w:val="none"/>
                <w:vertAlign w:val="baseline"/>
                <w:lang w:val="en-US" w:eastAsia="zh-CN" w:bidi="ar-SA"/>
              </w:rPr>
              <w:t>本</w:t>
            </w:r>
            <w:r>
              <w:rPr>
                <w:rFonts w:hint="default" w:ascii="Times New Roman" w:hAnsi="Times New Roman" w:eastAsia="宋体" w:cs="Times New Roman"/>
                <w:color w:val="000000"/>
                <w:kern w:val="0"/>
                <w:sz w:val="24"/>
                <w:szCs w:val="24"/>
                <w:highlight w:val="none"/>
                <w:lang w:val="en-US" w:eastAsia="zh-CN" w:bidi="ar-SA"/>
              </w:rPr>
              <w:t>次环评委托</w:t>
            </w:r>
            <w:r>
              <w:rPr>
                <w:rFonts w:hint="eastAsia" w:ascii="Times New Roman" w:hAnsi="Times New Roman" w:eastAsia="宋体" w:cs="Times New Roman"/>
                <w:color w:val="000000"/>
                <w:kern w:val="0"/>
                <w:sz w:val="24"/>
                <w:szCs w:val="24"/>
                <w:highlight w:val="none"/>
                <w:lang w:val="en-US" w:eastAsia="zh-CN" w:bidi="ar-SA"/>
              </w:rPr>
              <w:t>新疆广宇众联环境监测有限公司</w:t>
            </w:r>
            <w:r>
              <w:rPr>
                <w:rFonts w:hint="default" w:ascii="Times New Roman" w:hAnsi="Times New Roman" w:eastAsia="宋体" w:cs="Times New Roman"/>
                <w:color w:val="000000"/>
                <w:kern w:val="0"/>
                <w:sz w:val="24"/>
                <w:szCs w:val="24"/>
                <w:highlight w:val="none"/>
                <w:lang w:val="en-US" w:eastAsia="zh-CN" w:bidi="ar-SA"/>
              </w:rPr>
              <w:t>于202</w:t>
            </w:r>
            <w:r>
              <w:rPr>
                <w:rFonts w:hint="eastAsia" w:cs="Times New Roman"/>
                <w:color w:val="000000"/>
                <w:kern w:val="0"/>
                <w:sz w:val="24"/>
                <w:szCs w:val="24"/>
                <w:highlight w:val="none"/>
                <w:lang w:val="en-US" w:eastAsia="zh-CN" w:bidi="ar-SA"/>
              </w:rPr>
              <w:t>5</w:t>
            </w:r>
            <w:r>
              <w:rPr>
                <w:rFonts w:hint="default" w:ascii="Times New Roman" w:hAnsi="Times New Roman" w:eastAsia="宋体" w:cs="Times New Roman"/>
                <w:color w:val="000000"/>
                <w:kern w:val="0"/>
                <w:sz w:val="24"/>
                <w:szCs w:val="24"/>
                <w:highlight w:val="none"/>
                <w:lang w:val="en-US" w:eastAsia="zh-CN" w:bidi="ar-SA"/>
              </w:rPr>
              <w:t>年</w:t>
            </w:r>
            <w:r>
              <w:rPr>
                <w:rFonts w:hint="eastAsia" w:cs="Times New Roman"/>
                <w:color w:val="000000"/>
                <w:kern w:val="0"/>
                <w:sz w:val="24"/>
                <w:szCs w:val="24"/>
                <w:highlight w:val="none"/>
                <w:lang w:val="en-US" w:eastAsia="zh-CN" w:bidi="ar-SA"/>
              </w:rPr>
              <w:t>12</w:t>
            </w:r>
            <w:r>
              <w:rPr>
                <w:rFonts w:hint="default" w:ascii="Times New Roman" w:hAnsi="Times New Roman" w:eastAsia="宋体" w:cs="Times New Roman"/>
                <w:color w:val="000000"/>
                <w:kern w:val="0"/>
                <w:sz w:val="24"/>
                <w:szCs w:val="24"/>
                <w:highlight w:val="none"/>
                <w:lang w:val="en-US" w:eastAsia="zh-CN" w:bidi="ar-SA"/>
              </w:rPr>
              <w:t>月</w:t>
            </w:r>
            <w:r>
              <w:rPr>
                <w:rFonts w:hint="eastAsia" w:cs="Times New Roman"/>
                <w:color w:val="000000"/>
                <w:kern w:val="0"/>
                <w:sz w:val="24"/>
                <w:szCs w:val="24"/>
                <w:highlight w:val="none"/>
                <w:lang w:val="en-US" w:eastAsia="zh-CN" w:bidi="ar-SA"/>
              </w:rPr>
              <w:t>13日至12</w:t>
            </w:r>
            <w:r>
              <w:rPr>
                <w:rFonts w:hint="default" w:ascii="Times New Roman" w:hAnsi="Times New Roman" w:eastAsia="宋体" w:cs="Times New Roman"/>
                <w:color w:val="000000"/>
                <w:kern w:val="0"/>
                <w:sz w:val="24"/>
                <w:szCs w:val="24"/>
                <w:highlight w:val="none"/>
                <w:lang w:val="en-US" w:eastAsia="zh-CN" w:bidi="ar-SA"/>
              </w:rPr>
              <w:t>月</w:t>
            </w:r>
            <w:r>
              <w:rPr>
                <w:rFonts w:hint="eastAsia" w:ascii="Times New Roman" w:hAnsi="Times New Roman" w:eastAsia="宋体" w:cs="Times New Roman"/>
                <w:color w:val="000000"/>
                <w:kern w:val="0"/>
                <w:sz w:val="24"/>
                <w:szCs w:val="24"/>
                <w:highlight w:val="none"/>
                <w:lang w:val="en-US" w:eastAsia="zh-CN" w:bidi="ar-SA"/>
              </w:rPr>
              <w:t>1</w:t>
            </w:r>
            <w:r>
              <w:rPr>
                <w:rFonts w:hint="eastAsia" w:cs="Times New Roman"/>
                <w:color w:val="000000"/>
                <w:kern w:val="0"/>
                <w:sz w:val="24"/>
                <w:szCs w:val="24"/>
                <w:highlight w:val="none"/>
                <w:lang w:val="en-US" w:eastAsia="zh-CN" w:bidi="ar-SA"/>
              </w:rPr>
              <w:t>5</w:t>
            </w:r>
            <w:r>
              <w:rPr>
                <w:rFonts w:hint="default" w:ascii="Times New Roman" w:hAnsi="Times New Roman" w:eastAsia="宋体" w:cs="Times New Roman"/>
                <w:color w:val="000000"/>
                <w:kern w:val="0"/>
                <w:sz w:val="24"/>
                <w:szCs w:val="24"/>
                <w:highlight w:val="none"/>
                <w:lang w:val="en-US" w:eastAsia="zh-CN" w:bidi="ar-SA"/>
              </w:rPr>
              <w:t>日对项目所在地附近进行了现状监测</w:t>
            </w:r>
            <w:r>
              <w:rPr>
                <w:rFonts w:hint="eastAsia" w:ascii="Times New Roman" w:hAnsi="Times New Roman" w:eastAsia="宋体" w:cs="Times New Roman"/>
                <w:color w:val="000000"/>
                <w:kern w:val="0"/>
                <w:sz w:val="24"/>
                <w:szCs w:val="24"/>
                <w:highlight w:val="none"/>
                <w:lang w:val="en-US" w:eastAsia="zh-CN" w:bidi="ar-SA"/>
              </w:rPr>
              <w:t>，</w:t>
            </w:r>
            <w:r>
              <w:rPr>
                <w:rFonts w:hint="default" w:ascii="Times New Roman" w:hAnsi="Times New Roman" w:eastAsia="宋体" w:cs="Times New Roman"/>
                <w:color w:val="000000"/>
                <w:sz w:val="24"/>
                <w:szCs w:val="22"/>
                <w:lang w:val="en-US" w:eastAsia="zh-CN"/>
              </w:rPr>
              <w:t>监测方法符合</w:t>
            </w:r>
            <w:r>
              <w:rPr>
                <w:rFonts w:hint="default" w:ascii="Times New Roman" w:hAnsi="Times New Roman" w:eastAsia="宋体" w:cs="Times New Roman"/>
                <w:color w:val="000000"/>
                <w:sz w:val="24"/>
                <w:szCs w:val="22"/>
              </w:rPr>
              <w:t>《建设项目环境影响报告表编制技术指南（污染影响类）（试行）》</w:t>
            </w:r>
            <w:r>
              <w:rPr>
                <w:rFonts w:hint="default" w:ascii="Times New Roman" w:hAnsi="Times New Roman" w:eastAsia="宋体" w:cs="Times New Roman"/>
                <w:color w:val="000000"/>
                <w:sz w:val="24"/>
                <w:szCs w:val="22"/>
                <w:lang w:eastAsia="zh-CN"/>
              </w:rPr>
              <w:t>。</w:t>
            </w:r>
          </w:p>
          <w:p w14:paraId="518F60D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textAlignment w:val="auto"/>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bCs/>
                <w:color w:val="000000"/>
                <w:sz w:val="24"/>
                <w:szCs w:val="22"/>
                <w:lang w:val="en-US" w:eastAsia="zh-CN"/>
              </w:rPr>
              <w:t>1.1</w:t>
            </w:r>
            <w:r>
              <w:rPr>
                <w:rFonts w:hint="eastAsia" w:cs="Times New Roman"/>
                <w:b/>
                <w:bCs/>
                <w:color w:val="000000"/>
                <w:sz w:val="24"/>
                <w:szCs w:val="22"/>
                <w:lang w:val="en-US" w:eastAsia="zh-CN"/>
              </w:rPr>
              <w:t xml:space="preserve"> </w:t>
            </w:r>
            <w:r>
              <w:rPr>
                <w:rFonts w:hint="default" w:ascii="Times New Roman" w:hAnsi="Times New Roman" w:eastAsia="宋体" w:cs="Times New Roman"/>
                <w:b/>
                <w:bCs/>
                <w:color w:val="000000"/>
                <w:sz w:val="24"/>
                <w:szCs w:val="22"/>
                <w:lang w:val="en-US" w:eastAsia="zh-CN"/>
              </w:rPr>
              <w:t>监测布点</w:t>
            </w:r>
          </w:p>
          <w:p w14:paraId="19A3FFF3">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val="0"/>
                <w:bCs w:val="0"/>
                <w:color w:val="000000"/>
                <w:sz w:val="24"/>
                <w:szCs w:val="22"/>
                <w:lang w:val="en-US" w:eastAsia="zh-CN"/>
              </w:rPr>
              <w:t>H</w:t>
            </w:r>
            <w:r>
              <w:rPr>
                <w:rFonts w:hint="default" w:ascii="Times New Roman" w:hAnsi="Times New Roman" w:eastAsia="宋体" w:cs="Times New Roman"/>
                <w:b w:val="0"/>
                <w:bCs w:val="0"/>
                <w:color w:val="000000"/>
                <w:sz w:val="24"/>
                <w:szCs w:val="22"/>
                <w:vertAlign w:val="subscript"/>
                <w:lang w:val="en-US" w:eastAsia="zh-CN"/>
              </w:rPr>
              <w:t>2</w:t>
            </w:r>
            <w:r>
              <w:rPr>
                <w:rFonts w:hint="default" w:ascii="Times New Roman" w:hAnsi="Times New Roman" w:eastAsia="宋体" w:cs="Times New Roman"/>
                <w:b w:val="0"/>
                <w:bCs w:val="0"/>
                <w:color w:val="000000"/>
                <w:sz w:val="24"/>
                <w:szCs w:val="22"/>
                <w:lang w:val="en-US" w:eastAsia="zh-CN"/>
              </w:rPr>
              <w:t>S、NH</w:t>
            </w:r>
            <w:r>
              <w:rPr>
                <w:rFonts w:hint="default" w:ascii="Times New Roman" w:hAnsi="Times New Roman" w:eastAsia="宋体" w:cs="Times New Roman"/>
                <w:b w:val="0"/>
                <w:bCs w:val="0"/>
                <w:color w:val="000000"/>
                <w:sz w:val="24"/>
                <w:szCs w:val="22"/>
                <w:vertAlign w:val="subscript"/>
                <w:lang w:val="en-US" w:eastAsia="zh-CN"/>
              </w:rPr>
              <w:t>3</w:t>
            </w:r>
            <w:r>
              <w:rPr>
                <w:rFonts w:hint="eastAsia" w:ascii="Times New Roman" w:hAnsi="Times New Roman" w:eastAsia="宋体" w:cs="Times New Roman"/>
                <w:b w:val="0"/>
                <w:bCs w:val="0"/>
                <w:color w:val="000000"/>
                <w:sz w:val="24"/>
                <w:szCs w:val="22"/>
                <w:vertAlign w:val="baseline"/>
                <w:lang w:val="en-US" w:eastAsia="zh-CN"/>
              </w:rPr>
              <w:t>、</w:t>
            </w:r>
            <w:r>
              <w:rPr>
                <w:rFonts w:hint="eastAsia" w:cs="Times New Roman"/>
                <w:b w:val="0"/>
                <w:bCs w:val="0"/>
                <w:color w:val="000000"/>
                <w:sz w:val="24"/>
                <w:szCs w:val="22"/>
                <w:vertAlign w:val="baseline"/>
                <w:lang w:val="en-US" w:eastAsia="zh-CN"/>
              </w:rPr>
              <w:t>TSP、</w:t>
            </w:r>
            <w:r>
              <w:rPr>
                <w:rFonts w:hint="eastAsia" w:ascii="Times New Roman" w:hAnsi="Times New Roman" w:eastAsia="宋体" w:cs="Times New Roman"/>
                <w:b w:val="0"/>
                <w:bCs w:val="0"/>
                <w:color w:val="000000"/>
                <w:sz w:val="24"/>
                <w:szCs w:val="22"/>
                <w:vertAlign w:val="baseline"/>
                <w:lang w:val="en-US" w:eastAsia="zh-CN"/>
              </w:rPr>
              <w:t>非甲烷总烃</w:t>
            </w:r>
            <w:r>
              <w:rPr>
                <w:rFonts w:hint="eastAsia" w:ascii="Times New Roman" w:hAnsi="Times New Roman" w:cs="Times New Roman"/>
                <w:sz w:val="24"/>
                <w:lang w:val="en-US" w:eastAsia="zh-CN"/>
              </w:rPr>
              <w:t>布点为</w:t>
            </w:r>
            <w:r>
              <w:rPr>
                <w:rFonts w:hint="default" w:ascii="Times New Roman" w:hAnsi="Times New Roman" w:eastAsia="宋体" w:cs="Times New Roman"/>
                <w:sz w:val="24"/>
                <w:lang w:val="en-US" w:eastAsia="zh-CN"/>
              </w:rPr>
              <w:t>新疆同芃生物科技有限公司</w:t>
            </w:r>
            <w:r>
              <w:rPr>
                <w:rFonts w:hint="eastAsia" w:ascii="Times New Roman" w:hAnsi="Times New Roman" w:cs="Times New Roman"/>
                <w:sz w:val="24"/>
                <w:lang w:val="en-US" w:eastAsia="zh-CN"/>
              </w:rPr>
              <w:t>厂址下方向500m范围内，设置1个监测点，连续3天。</w:t>
            </w:r>
            <w:r>
              <w:rPr>
                <w:rFonts w:hint="default" w:ascii="Times New Roman" w:hAnsi="Times New Roman" w:eastAsia="宋体" w:cs="Times New Roman"/>
                <w:sz w:val="24"/>
              </w:rPr>
              <w:t>其他因子监测布点见</w:t>
            </w:r>
            <w:r>
              <w:rPr>
                <w:rFonts w:hint="eastAsia" w:ascii="Times New Roman" w:hAnsi="Times New Roman" w:cs="Times New Roman"/>
                <w:sz w:val="24"/>
                <w:highlight w:val="none"/>
                <w:lang w:val="en-US" w:eastAsia="zh-CN"/>
              </w:rPr>
              <w:t>附图</w:t>
            </w:r>
            <w:r>
              <w:rPr>
                <w:rFonts w:hint="eastAsia" w:cs="Times New Roman"/>
                <w:sz w:val="24"/>
                <w:highlight w:val="none"/>
                <w:lang w:val="en-US" w:eastAsia="zh-CN"/>
              </w:rPr>
              <w:t>6</w:t>
            </w:r>
            <w:r>
              <w:rPr>
                <w:rFonts w:hint="default" w:ascii="Times New Roman" w:hAnsi="Times New Roman" w:eastAsia="宋体" w:cs="Times New Roman"/>
                <w:sz w:val="24"/>
                <w:highlight w:val="none"/>
              </w:rPr>
              <w:t>。</w:t>
            </w:r>
          </w:p>
          <w:p w14:paraId="4C42662C">
            <w:pPr>
              <w:spacing w:line="360" w:lineRule="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w:t>
            </w:r>
            <w:r>
              <w:rPr>
                <w:rFonts w:hint="default" w:ascii="Times New Roman" w:hAnsi="Times New Roman" w:eastAsia="宋体" w:cs="Times New Roman"/>
                <w:b/>
                <w:bCs/>
                <w:sz w:val="24"/>
              </w:rPr>
              <w:t>.2</w:t>
            </w:r>
            <w:r>
              <w:rPr>
                <w:rFonts w:hint="eastAsia" w:cs="Times New Roman"/>
                <w:b/>
                <w:bCs/>
                <w:sz w:val="24"/>
                <w:lang w:val="en-US" w:eastAsia="zh-CN"/>
              </w:rPr>
              <w:t xml:space="preserve"> </w:t>
            </w:r>
            <w:r>
              <w:rPr>
                <w:rFonts w:hint="default" w:ascii="Times New Roman" w:hAnsi="Times New Roman" w:eastAsia="宋体" w:cs="Times New Roman"/>
                <w:b/>
                <w:bCs/>
                <w:sz w:val="24"/>
              </w:rPr>
              <w:t>监测因子及分析方法</w:t>
            </w:r>
          </w:p>
          <w:p w14:paraId="1C39F0E5">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根据《环境空气质量标准》（</w:t>
            </w:r>
            <w:r>
              <w:rPr>
                <w:rFonts w:hint="eastAsia" w:cs="Times New Roman"/>
                <w:sz w:val="24"/>
                <w:lang w:eastAsia="zh-CN"/>
              </w:rPr>
              <w:t>GB3095-2026</w:t>
            </w:r>
            <w:r>
              <w:rPr>
                <w:rFonts w:hint="default" w:ascii="Times New Roman" w:hAnsi="Times New Roman" w:eastAsia="宋体" w:cs="Times New Roman"/>
                <w:sz w:val="24"/>
              </w:rPr>
              <w:t>），其他因子选择：</w:t>
            </w:r>
            <w:r>
              <w:rPr>
                <w:rFonts w:hint="default" w:ascii="Times New Roman" w:hAnsi="Times New Roman" w:eastAsia="宋体" w:cs="Times New Roman"/>
                <w:spacing w:val="12"/>
                <w:sz w:val="24"/>
              </w:rPr>
              <w:t>非甲烷总烃</w:t>
            </w:r>
            <w:r>
              <w:rPr>
                <w:rFonts w:hint="eastAsia" w:ascii="Times New Roman" w:hAnsi="Times New Roman" w:cs="Times New Roman"/>
                <w:spacing w:val="12"/>
                <w:sz w:val="24"/>
                <w:lang w:eastAsia="zh-CN"/>
              </w:rPr>
              <w:t>、</w:t>
            </w:r>
            <w:r>
              <w:rPr>
                <w:rFonts w:hint="eastAsia" w:ascii="Times New Roman" w:hAnsi="Times New Roman" w:cs="Times New Roman"/>
                <w:spacing w:val="12"/>
                <w:sz w:val="24"/>
                <w:lang w:val="en-US" w:eastAsia="zh-CN"/>
              </w:rPr>
              <w:t>氨、硫化氢</w:t>
            </w:r>
            <w:r>
              <w:rPr>
                <w:rFonts w:hint="eastAsia" w:cs="Times New Roman"/>
                <w:spacing w:val="12"/>
                <w:sz w:val="24"/>
                <w:lang w:val="en-US" w:eastAsia="zh-CN"/>
              </w:rPr>
              <w:t>、总悬浮颗粒物</w:t>
            </w:r>
            <w:r>
              <w:rPr>
                <w:rFonts w:hint="default" w:ascii="Times New Roman" w:hAnsi="Times New Roman" w:eastAsia="宋体" w:cs="Times New Roman"/>
                <w:sz w:val="24"/>
              </w:rPr>
              <w:t>。</w:t>
            </w:r>
          </w:p>
          <w:p w14:paraId="44F0E75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采样方法按国家环保局1986年《环境监测技术规范》（大气部分）执行，分析方法按《环境空气质量标准》（</w:t>
            </w:r>
            <w:r>
              <w:rPr>
                <w:rFonts w:hint="eastAsia" w:cs="Times New Roman"/>
                <w:sz w:val="24"/>
                <w:lang w:eastAsia="zh-CN"/>
              </w:rPr>
              <w:t>GB3095-2026</w:t>
            </w:r>
            <w:r>
              <w:rPr>
                <w:rFonts w:hint="default" w:ascii="Times New Roman" w:hAnsi="Times New Roman" w:eastAsia="宋体" w:cs="Times New Roman"/>
                <w:sz w:val="24"/>
              </w:rPr>
              <w:t>）</w:t>
            </w:r>
            <w:r>
              <w:rPr>
                <w:rFonts w:hint="default" w:ascii="Times New Roman" w:hAnsi="Times New Roman" w:eastAsia="宋体" w:cs="Times New Roman"/>
                <w:kern w:val="0"/>
                <w:sz w:val="24"/>
                <w:lang w:val="de-DE"/>
              </w:rPr>
              <w:t>和《空气和废气监测分析方法》执</w:t>
            </w:r>
            <w:r>
              <w:rPr>
                <w:rFonts w:hint="default" w:ascii="Times New Roman" w:hAnsi="Times New Roman" w:eastAsia="宋体" w:cs="Times New Roman"/>
                <w:sz w:val="24"/>
              </w:rPr>
              <w:t>行。</w:t>
            </w:r>
          </w:p>
          <w:p w14:paraId="0C725ED1">
            <w:pPr>
              <w:spacing w:line="360" w:lineRule="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1</w:t>
            </w:r>
            <w:r>
              <w:rPr>
                <w:rFonts w:hint="default" w:ascii="Times New Roman" w:hAnsi="Times New Roman" w:eastAsia="宋体" w:cs="Times New Roman"/>
                <w:b/>
                <w:bCs/>
                <w:sz w:val="24"/>
              </w:rPr>
              <w:t>.3</w:t>
            </w:r>
            <w:r>
              <w:rPr>
                <w:rFonts w:hint="eastAsia" w:cs="Times New Roman"/>
                <w:b/>
                <w:bCs/>
                <w:sz w:val="24"/>
                <w:lang w:val="en-US" w:eastAsia="zh-CN"/>
              </w:rPr>
              <w:t xml:space="preserve"> </w:t>
            </w:r>
            <w:r>
              <w:rPr>
                <w:rFonts w:hint="default" w:ascii="Times New Roman" w:hAnsi="Times New Roman" w:eastAsia="宋体" w:cs="Times New Roman"/>
                <w:b/>
                <w:bCs/>
                <w:sz w:val="24"/>
              </w:rPr>
              <w:t>监测频率</w:t>
            </w:r>
          </w:p>
          <w:p w14:paraId="265C1A69">
            <w:pPr>
              <w:spacing w:line="360" w:lineRule="auto"/>
              <w:ind w:firstLine="512" w:firstLineChars="200"/>
              <w:rPr>
                <w:rFonts w:hint="default" w:ascii="Times New Roman" w:hAnsi="Times New Roman" w:cs="Times New Roman"/>
              </w:rPr>
            </w:pPr>
            <w:r>
              <w:rPr>
                <w:rFonts w:hint="default" w:ascii="Times New Roman" w:hAnsi="Times New Roman" w:eastAsia="宋体" w:cs="Times New Roman"/>
                <w:snapToGrid w:val="0"/>
                <w:spacing w:val="8"/>
                <w:sz w:val="24"/>
              </w:rPr>
              <w:t>监测频次</w:t>
            </w:r>
            <w:r>
              <w:rPr>
                <w:rFonts w:hint="default" w:ascii="Times New Roman" w:hAnsi="Times New Roman" w:eastAsia="宋体" w:cs="Times New Roman"/>
                <w:sz w:val="24"/>
              </w:rPr>
              <w:t>具体见表</w:t>
            </w:r>
            <w:r>
              <w:rPr>
                <w:rFonts w:hint="default" w:ascii="Times New Roman" w:hAnsi="Times New Roman" w:eastAsia="宋体" w:cs="Times New Roman"/>
                <w:sz w:val="24"/>
                <w:lang w:val="en-US" w:eastAsia="zh-CN"/>
              </w:rPr>
              <w:t>3-2</w:t>
            </w:r>
            <w:r>
              <w:rPr>
                <w:rFonts w:hint="default" w:ascii="Times New Roman" w:hAnsi="Times New Roman" w:eastAsia="宋体" w:cs="Times New Roman"/>
                <w:sz w:val="24"/>
              </w:rPr>
              <w:t>。</w:t>
            </w:r>
          </w:p>
          <w:p w14:paraId="127308AB">
            <w:pPr>
              <w:ind w:firstLine="420" w:firstLineChars="200"/>
              <w:jc w:val="center"/>
              <w:rPr>
                <w:rFonts w:hint="eastAsia" w:ascii="黑体" w:hAnsi="黑体" w:eastAsia="黑体" w:cs="黑体"/>
                <w:b w:val="0"/>
                <w:bCs/>
                <w:sz w:val="21"/>
                <w:szCs w:val="21"/>
              </w:rPr>
            </w:pPr>
            <w:r>
              <w:rPr>
                <w:rFonts w:hint="eastAsia" w:ascii="黑体" w:hAnsi="黑体" w:eastAsia="黑体" w:cs="黑体"/>
                <w:b w:val="0"/>
                <w:bCs/>
                <w:sz w:val="21"/>
                <w:szCs w:val="21"/>
              </w:rPr>
              <w:t>表</w:t>
            </w:r>
            <w:r>
              <w:rPr>
                <w:rFonts w:hint="eastAsia" w:ascii="黑体" w:hAnsi="黑体" w:eastAsia="黑体" w:cs="黑体"/>
                <w:b w:val="0"/>
                <w:bCs/>
                <w:sz w:val="21"/>
                <w:szCs w:val="21"/>
                <w:lang w:val="en-US" w:eastAsia="zh-CN"/>
              </w:rPr>
              <w:t>3-2</w:t>
            </w:r>
            <w:r>
              <w:rPr>
                <w:rFonts w:hint="eastAsia" w:ascii="黑体" w:hAnsi="黑体" w:eastAsia="黑体" w:cs="黑体"/>
                <w:b w:val="0"/>
                <w:bCs/>
                <w:sz w:val="21"/>
                <w:szCs w:val="21"/>
              </w:rPr>
              <w:t xml:space="preserve">   环境空气各监测因子监测频率一览表</w:t>
            </w:r>
          </w:p>
          <w:tbl>
            <w:tblPr>
              <w:tblStyle w:val="21"/>
              <w:tblW w:w="5000" w:type="pct"/>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7"/>
              <w:gridCol w:w="3172"/>
              <w:gridCol w:w="3979"/>
            </w:tblGrid>
            <w:tr w14:paraId="1A90B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507" w:type="pct"/>
                  <w:tcBorders>
                    <w:tl2br w:val="nil"/>
                    <w:tr2bl w:val="nil"/>
                  </w:tcBorders>
                  <w:noWrap w:val="0"/>
                  <w:vAlign w:val="center"/>
                </w:tcPr>
                <w:p w14:paraId="257F31B8">
                  <w:pPr>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992" w:type="pct"/>
                  <w:tcBorders>
                    <w:tl2br w:val="nil"/>
                    <w:tr2bl w:val="nil"/>
                  </w:tcBorders>
                  <w:noWrap w:val="0"/>
                  <w:vAlign w:val="center"/>
                </w:tcPr>
                <w:p w14:paraId="6D0D6D26">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污染物项目</w:t>
                  </w:r>
                </w:p>
              </w:tc>
              <w:tc>
                <w:tcPr>
                  <w:tcW w:w="2499" w:type="pct"/>
                  <w:tcBorders>
                    <w:tl2br w:val="nil"/>
                    <w:tr2bl w:val="nil"/>
                  </w:tcBorders>
                  <w:noWrap w:val="0"/>
                  <w:vAlign w:val="center"/>
                </w:tcPr>
                <w:p w14:paraId="45E25551">
                  <w:pPr>
                    <w:jc w:val="center"/>
                    <w:rPr>
                      <w:rFonts w:hint="default" w:ascii="Times New Roman" w:hAnsi="Times New Roman" w:eastAsia="宋体" w:cs="Times New Roman"/>
                      <w:szCs w:val="21"/>
                    </w:rPr>
                  </w:pPr>
                  <w:r>
                    <w:rPr>
                      <w:rFonts w:hint="default" w:ascii="Times New Roman" w:hAnsi="Times New Roman" w:eastAsia="宋体" w:cs="Times New Roman"/>
                      <w:szCs w:val="21"/>
                    </w:rPr>
                    <w:t>数据有效性</w:t>
                  </w:r>
                </w:p>
              </w:tc>
            </w:tr>
            <w:tr w14:paraId="2E9CE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507" w:type="pct"/>
                  <w:tcBorders>
                    <w:tl2br w:val="nil"/>
                    <w:tr2bl w:val="nil"/>
                  </w:tcBorders>
                  <w:noWrap w:val="0"/>
                  <w:vAlign w:val="center"/>
                </w:tcPr>
                <w:p w14:paraId="6B6B6CF0">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1</w:t>
                  </w:r>
                </w:p>
              </w:tc>
              <w:tc>
                <w:tcPr>
                  <w:tcW w:w="1992" w:type="pct"/>
                  <w:tcBorders>
                    <w:tl2br w:val="nil"/>
                    <w:tr2bl w:val="nil"/>
                  </w:tcBorders>
                  <w:noWrap w:val="0"/>
                  <w:vAlign w:val="center"/>
                </w:tcPr>
                <w:p w14:paraId="1ABFF770">
                  <w:pPr>
                    <w:jc w:val="center"/>
                    <w:rPr>
                      <w:rFonts w:hint="default" w:ascii="Times New Roman" w:hAnsi="Times New Roman" w:eastAsia="宋体" w:cs="Times New Roman"/>
                      <w:spacing w:val="12"/>
                      <w:szCs w:val="21"/>
                    </w:rPr>
                  </w:pPr>
                  <w:r>
                    <w:rPr>
                      <w:rFonts w:hint="default" w:ascii="Times New Roman" w:hAnsi="Times New Roman" w:eastAsia="宋体" w:cs="Times New Roman"/>
                      <w:spacing w:val="12"/>
                      <w:szCs w:val="21"/>
                    </w:rPr>
                    <w:t>非甲烷总烃</w:t>
                  </w:r>
                  <w:r>
                    <w:rPr>
                      <w:rFonts w:hint="eastAsia" w:cs="Times New Roman"/>
                      <w:spacing w:val="12"/>
                      <w:szCs w:val="21"/>
                      <w:lang w:eastAsia="zh-CN"/>
                    </w:rPr>
                    <w:t>、</w:t>
                  </w:r>
                  <w:r>
                    <w:rPr>
                      <w:rFonts w:hint="eastAsia" w:ascii="Times New Roman" w:hAnsi="Times New Roman" w:cs="Times New Roman"/>
                      <w:spacing w:val="12"/>
                      <w:szCs w:val="21"/>
                      <w:lang w:val="en-US" w:eastAsia="zh-CN"/>
                    </w:rPr>
                    <w:t>氨气、硫化氢</w:t>
                  </w:r>
                </w:p>
              </w:tc>
              <w:tc>
                <w:tcPr>
                  <w:tcW w:w="2499" w:type="pct"/>
                  <w:tcBorders>
                    <w:tl2br w:val="nil"/>
                    <w:tr2bl w:val="nil"/>
                  </w:tcBorders>
                  <w:noWrap w:val="0"/>
                  <w:vAlign w:val="center"/>
                </w:tcPr>
                <w:p w14:paraId="16384274">
                  <w:pPr>
                    <w:jc w:val="center"/>
                    <w:rPr>
                      <w:rFonts w:hint="default" w:ascii="Times New Roman" w:hAnsi="Times New Roman" w:eastAsia="宋体" w:cs="Times New Roman"/>
                      <w:spacing w:val="12"/>
                      <w:szCs w:val="21"/>
                    </w:rPr>
                  </w:pPr>
                  <w:r>
                    <w:rPr>
                      <w:rFonts w:hint="default" w:ascii="Times New Roman" w:hAnsi="Times New Roman" w:eastAsia="宋体" w:cs="Times New Roman"/>
                      <w:spacing w:val="12"/>
                      <w:szCs w:val="21"/>
                    </w:rPr>
                    <w:t>每小时至少有45分钟的采样时间</w:t>
                  </w:r>
                </w:p>
              </w:tc>
            </w:tr>
            <w:tr w14:paraId="30082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507" w:type="pct"/>
                  <w:tcBorders>
                    <w:tl2br w:val="nil"/>
                    <w:tr2bl w:val="nil"/>
                  </w:tcBorders>
                  <w:noWrap w:val="0"/>
                  <w:vAlign w:val="center"/>
                </w:tcPr>
                <w:p w14:paraId="152358D3">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992" w:type="pct"/>
                  <w:tcBorders>
                    <w:tl2br w:val="nil"/>
                    <w:tr2bl w:val="nil"/>
                  </w:tcBorders>
                  <w:noWrap w:val="0"/>
                  <w:vAlign w:val="center"/>
                </w:tcPr>
                <w:p w14:paraId="2D791F42">
                  <w:pPr>
                    <w:jc w:val="center"/>
                    <w:rPr>
                      <w:rFonts w:hint="default" w:ascii="Times New Roman" w:hAnsi="Times New Roman" w:eastAsia="宋体" w:cs="Times New Roman"/>
                      <w:spacing w:val="12"/>
                      <w:szCs w:val="21"/>
                      <w:lang w:val="en-US" w:eastAsia="zh-CN"/>
                    </w:rPr>
                  </w:pPr>
                  <w:r>
                    <w:rPr>
                      <w:rFonts w:hint="eastAsia" w:cs="Times New Roman"/>
                      <w:spacing w:val="12"/>
                      <w:szCs w:val="21"/>
                      <w:lang w:val="en-US" w:eastAsia="zh-CN"/>
                    </w:rPr>
                    <w:t>TSP</w:t>
                  </w:r>
                </w:p>
              </w:tc>
              <w:tc>
                <w:tcPr>
                  <w:tcW w:w="2499" w:type="pct"/>
                  <w:tcBorders>
                    <w:tl2br w:val="nil"/>
                    <w:tr2bl w:val="nil"/>
                  </w:tcBorders>
                  <w:noWrap w:val="0"/>
                  <w:vAlign w:val="center"/>
                </w:tcPr>
                <w:p w14:paraId="4CB3113E">
                  <w:pPr>
                    <w:jc w:val="center"/>
                    <w:rPr>
                      <w:rFonts w:hint="default" w:ascii="Times New Roman" w:hAnsi="Times New Roman" w:eastAsia="宋体" w:cs="Times New Roman"/>
                      <w:spacing w:val="12"/>
                      <w:szCs w:val="21"/>
                      <w:lang w:val="en-US" w:eastAsia="zh-CN"/>
                    </w:rPr>
                  </w:pPr>
                  <w:r>
                    <w:rPr>
                      <w:rFonts w:hint="eastAsia" w:cs="Times New Roman"/>
                      <w:spacing w:val="12"/>
                      <w:szCs w:val="21"/>
                      <w:lang w:val="en-US" w:eastAsia="zh-CN"/>
                    </w:rPr>
                    <w:t>每天采样24小时</w:t>
                  </w:r>
                </w:p>
              </w:tc>
            </w:tr>
          </w:tbl>
          <w:p w14:paraId="766221B0">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1</w:t>
            </w:r>
            <w:r>
              <w:rPr>
                <w:rFonts w:hint="default" w:ascii="Times New Roman" w:hAnsi="Times New Roman" w:eastAsia="宋体" w:cs="Times New Roman"/>
                <w:b/>
                <w:bCs/>
                <w:sz w:val="24"/>
              </w:rPr>
              <w:t>.4</w:t>
            </w:r>
            <w:r>
              <w:rPr>
                <w:rFonts w:hint="eastAsia" w:cs="Times New Roman"/>
                <w:b/>
                <w:bCs/>
                <w:sz w:val="24"/>
                <w:lang w:val="en-US" w:eastAsia="zh-CN"/>
              </w:rPr>
              <w:t xml:space="preserve"> </w:t>
            </w:r>
            <w:r>
              <w:rPr>
                <w:rFonts w:hint="default" w:ascii="Times New Roman" w:hAnsi="Times New Roman" w:eastAsia="宋体" w:cs="Times New Roman"/>
                <w:b/>
                <w:bCs/>
                <w:sz w:val="24"/>
              </w:rPr>
              <w:t>大气环境质量现状评价标准</w:t>
            </w:r>
          </w:p>
          <w:p w14:paraId="7DA0DD87">
            <w:pPr>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sz w:val="24"/>
              </w:rPr>
              <w:t>非甲烷总烃执行《大气污染物综合排放标准详解》中相关标准限值</w:t>
            </w:r>
            <w:r>
              <w:rPr>
                <w:rFonts w:hint="eastAsia" w:ascii="Times New Roman" w:hAnsi="Times New Roman" w:eastAsia="宋体" w:cs="Times New Roman"/>
                <w:sz w:val="24"/>
                <w:lang w:eastAsia="zh-CN"/>
              </w:rPr>
              <w:t>。</w:t>
            </w:r>
          </w:p>
          <w:p w14:paraId="1D75A2A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leftChars="0" w:firstLine="480" w:firstLineChars="200"/>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氨气、硫化氢执行</w:t>
            </w:r>
            <w:r>
              <w:rPr>
                <w:rFonts w:hint="default" w:ascii="Times New Roman" w:hAnsi="Times New Roman" w:eastAsia="宋体" w:cs="Times New Roman"/>
                <w:color w:val="000000"/>
                <w:kern w:val="0"/>
                <w:sz w:val="24"/>
                <w:szCs w:val="24"/>
                <w:lang w:val="en-US" w:eastAsia="zh-CN" w:bidi="ar-SA"/>
              </w:rPr>
              <w:t>《环境影响评价技术导则-大气环境》（HJ 2.2-2018）中</w:t>
            </w:r>
            <w:r>
              <w:rPr>
                <w:rFonts w:hint="eastAsia" w:ascii="Times New Roman" w:hAnsi="Times New Roman" w:eastAsia="宋体" w:cs="Times New Roman"/>
                <w:color w:val="000000"/>
                <w:kern w:val="0"/>
                <w:sz w:val="24"/>
                <w:szCs w:val="24"/>
                <w:lang w:val="en-US" w:eastAsia="zh-CN" w:bidi="ar-SA"/>
              </w:rPr>
              <w:t>附录D相关限制。</w:t>
            </w:r>
          </w:p>
          <w:p w14:paraId="228F139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leftChars="0" w:firstLine="480" w:firstLineChars="200"/>
              <w:textAlignment w:val="auto"/>
              <w:rPr>
                <w:rFonts w:hint="default" w:ascii="Times New Roman" w:hAnsi="Times New Roman" w:eastAsia="宋体" w:cs="Times New Roman"/>
                <w:color w:val="000000"/>
                <w:kern w:val="0"/>
                <w:sz w:val="24"/>
                <w:szCs w:val="24"/>
                <w:lang w:val="en-US" w:eastAsia="zh-CN" w:bidi="ar-SA"/>
              </w:rPr>
            </w:pPr>
            <w:r>
              <w:rPr>
                <w:rFonts w:hint="eastAsia" w:cs="Times New Roman"/>
                <w:color w:val="000000"/>
                <w:kern w:val="0"/>
                <w:sz w:val="24"/>
                <w:szCs w:val="24"/>
                <w:lang w:val="en-US" w:eastAsia="zh-CN" w:bidi="ar-SA"/>
              </w:rPr>
              <w:t>TSP执行</w:t>
            </w:r>
            <w:r>
              <w:rPr>
                <w:rFonts w:hint="default" w:ascii="Times New Roman" w:hAnsi="Times New Roman" w:eastAsia="宋体" w:cs="Times New Roman"/>
                <w:sz w:val="24"/>
              </w:rPr>
              <w:t>《环境空气质量标准》（</w:t>
            </w:r>
            <w:r>
              <w:rPr>
                <w:rFonts w:hint="eastAsia" w:cs="Times New Roman"/>
                <w:sz w:val="24"/>
                <w:lang w:eastAsia="zh-CN"/>
              </w:rPr>
              <w:t>GB3095-2026</w:t>
            </w:r>
            <w:r>
              <w:rPr>
                <w:rFonts w:hint="default" w:ascii="Times New Roman" w:hAnsi="Times New Roman" w:eastAsia="宋体" w:cs="Times New Roman"/>
                <w:sz w:val="24"/>
              </w:rPr>
              <w:t>）表2环境空气污染物其他项目浓度限值</w:t>
            </w:r>
          </w:p>
          <w:p w14:paraId="77C33B9A">
            <w:pPr>
              <w:spacing w:line="360" w:lineRule="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1</w:t>
            </w:r>
            <w:r>
              <w:rPr>
                <w:rFonts w:hint="default" w:ascii="Times New Roman" w:hAnsi="Times New Roman" w:eastAsia="宋体" w:cs="Times New Roman"/>
                <w:b/>
                <w:bCs/>
                <w:sz w:val="24"/>
              </w:rPr>
              <w:t>.5</w:t>
            </w:r>
            <w:r>
              <w:rPr>
                <w:rFonts w:hint="eastAsia" w:cs="Times New Roman"/>
                <w:b/>
                <w:bCs/>
                <w:sz w:val="24"/>
                <w:lang w:val="en-US" w:eastAsia="zh-CN"/>
              </w:rPr>
              <w:t xml:space="preserve"> </w:t>
            </w:r>
            <w:r>
              <w:rPr>
                <w:rFonts w:hint="default" w:ascii="Times New Roman" w:hAnsi="Times New Roman" w:eastAsia="宋体" w:cs="Times New Roman"/>
                <w:b/>
                <w:bCs/>
                <w:sz w:val="24"/>
              </w:rPr>
              <w:t>评价方法</w:t>
            </w:r>
          </w:p>
          <w:p w14:paraId="3927C996">
            <w:pPr>
              <w:spacing w:line="360" w:lineRule="auto"/>
              <w:ind w:firstLine="480" w:firstLineChars="200"/>
              <w:rPr>
                <w:rFonts w:hint="default" w:ascii="Times New Roman" w:hAnsi="Times New Roman" w:eastAsia="宋体" w:cs="Times New Roman"/>
                <w:sz w:val="28"/>
                <w:szCs w:val="28"/>
              </w:rPr>
            </w:pPr>
            <w:r>
              <w:rPr>
                <w:rFonts w:hint="default" w:ascii="Times New Roman" w:hAnsi="Times New Roman" w:eastAsia="宋体" w:cs="Times New Roman"/>
                <w:sz w:val="24"/>
              </w:rPr>
              <w:t>采用单因子标准指数法评价大气污染物在评价区域内的环境质量现状，计算公式如下。</w:t>
            </w:r>
          </w:p>
          <w:p w14:paraId="344946C3">
            <w:pPr>
              <w:spacing w:line="360" w:lineRule="auto"/>
              <w:ind w:firstLine="3640" w:firstLineChars="13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I</w:t>
            </w:r>
            <w:r>
              <w:rPr>
                <w:rFonts w:hint="default" w:ascii="Times New Roman" w:hAnsi="Times New Roman" w:eastAsia="宋体" w:cs="Times New Roman"/>
                <w:sz w:val="28"/>
                <w:szCs w:val="28"/>
                <w:vertAlign w:val="subscript"/>
              </w:rPr>
              <w:t>i</w:t>
            </w:r>
            <w:r>
              <w:rPr>
                <w:rFonts w:hint="default" w:ascii="Times New Roman" w:hAnsi="Times New Roman" w:eastAsia="宋体" w:cs="Times New Roman"/>
                <w:sz w:val="28"/>
                <w:szCs w:val="28"/>
              </w:rPr>
              <w:t>=C</w:t>
            </w:r>
            <w:r>
              <w:rPr>
                <w:rFonts w:hint="default" w:ascii="Times New Roman" w:hAnsi="Times New Roman" w:eastAsia="宋体" w:cs="Times New Roman"/>
                <w:sz w:val="28"/>
                <w:szCs w:val="28"/>
                <w:vertAlign w:val="subscript"/>
              </w:rPr>
              <w:t>i</w:t>
            </w:r>
            <w:r>
              <w:rPr>
                <w:rFonts w:hint="default" w:ascii="Times New Roman" w:hAnsi="Times New Roman" w:eastAsia="宋体" w:cs="Times New Roman"/>
                <w:sz w:val="28"/>
                <w:szCs w:val="28"/>
              </w:rPr>
              <w:t>/C</w:t>
            </w:r>
            <w:r>
              <w:rPr>
                <w:rFonts w:hint="default" w:ascii="Times New Roman" w:hAnsi="Times New Roman" w:eastAsia="宋体" w:cs="Times New Roman"/>
                <w:sz w:val="28"/>
                <w:szCs w:val="28"/>
                <w:vertAlign w:val="subscript"/>
              </w:rPr>
              <w:t>io</w:t>
            </w:r>
          </w:p>
          <w:p w14:paraId="5429B6D9">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式中：I</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—某种污染物的标准指数；</w:t>
            </w:r>
          </w:p>
          <w:p w14:paraId="73DDF2CE">
            <w:pPr>
              <w:spacing w:line="360" w:lineRule="auto"/>
              <w:ind w:firstLine="1200" w:firstLineChars="500"/>
              <w:rPr>
                <w:rFonts w:hint="default" w:ascii="Times New Roman" w:hAnsi="Times New Roman" w:eastAsia="宋体" w:cs="Times New Roman"/>
                <w:sz w:val="24"/>
              </w:rPr>
            </w:pPr>
            <w:r>
              <w:rPr>
                <w:rFonts w:hint="default" w:ascii="Times New Roman" w:hAnsi="Times New Roman" w:eastAsia="宋体" w:cs="Times New Roman"/>
                <w:sz w:val="24"/>
              </w:rPr>
              <w:t>C</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—某种污染物的实际监测浓度，mg/m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p>
          <w:p w14:paraId="44166FED">
            <w:pPr>
              <w:spacing w:line="360" w:lineRule="auto"/>
              <w:ind w:firstLine="1200" w:firstLineChars="500"/>
              <w:rPr>
                <w:rFonts w:hint="default" w:ascii="Times New Roman" w:hAnsi="Times New Roman" w:eastAsia="宋体" w:cs="Times New Roman"/>
                <w:sz w:val="24"/>
              </w:rPr>
            </w:pPr>
            <w:r>
              <w:rPr>
                <w:rFonts w:hint="default" w:ascii="Times New Roman" w:hAnsi="Times New Roman" w:eastAsia="宋体" w:cs="Times New Roman"/>
                <w:sz w:val="24"/>
              </w:rPr>
              <w:t>C</w:t>
            </w:r>
            <w:r>
              <w:rPr>
                <w:rFonts w:hint="default" w:ascii="Times New Roman" w:hAnsi="Times New Roman" w:eastAsia="宋体" w:cs="Times New Roman"/>
                <w:sz w:val="24"/>
                <w:vertAlign w:val="subscript"/>
              </w:rPr>
              <w:t>io</w:t>
            </w:r>
            <w:r>
              <w:rPr>
                <w:rFonts w:hint="default" w:ascii="Times New Roman" w:hAnsi="Times New Roman" w:eastAsia="宋体" w:cs="Times New Roman"/>
                <w:sz w:val="24"/>
              </w:rPr>
              <w:t>—某种污染物的环境空气标准浓度，mg/m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p>
          <w:p w14:paraId="7CF47A00">
            <w:pPr>
              <w:spacing w:line="360" w:lineRule="auto"/>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1</w:t>
            </w:r>
            <w:r>
              <w:rPr>
                <w:rFonts w:hint="default" w:ascii="Times New Roman" w:hAnsi="Times New Roman" w:eastAsia="宋体" w:cs="Times New Roman"/>
                <w:b/>
                <w:bCs/>
                <w:sz w:val="24"/>
              </w:rPr>
              <w:t>.6</w:t>
            </w:r>
            <w:r>
              <w:rPr>
                <w:rFonts w:hint="eastAsia" w:cs="Times New Roman"/>
                <w:b/>
                <w:bCs/>
                <w:sz w:val="24"/>
                <w:lang w:val="en-US" w:eastAsia="zh-CN"/>
              </w:rPr>
              <w:t xml:space="preserve"> </w:t>
            </w:r>
            <w:r>
              <w:rPr>
                <w:rFonts w:hint="default" w:ascii="Times New Roman" w:hAnsi="Times New Roman" w:eastAsia="宋体" w:cs="Times New Roman"/>
                <w:b/>
                <w:bCs/>
                <w:sz w:val="24"/>
              </w:rPr>
              <w:t>监测结果与评价</w:t>
            </w:r>
          </w:p>
          <w:p w14:paraId="5452B295">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根据评价计算结果，得出各单项标准指数（I</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），依据I</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值的大小，分别确定其污染程度。</w:t>
            </w:r>
          </w:p>
          <w:p w14:paraId="28CF715A">
            <w:pPr>
              <w:widowControl w:val="0"/>
              <w:snapToGrid w:val="0"/>
              <w:spacing w:line="360" w:lineRule="auto"/>
              <w:ind w:firstLine="480" w:firstLineChars="200"/>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lang w:val="en-US" w:eastAsia="zh-CN" w:bidi="ar-SA"/>
              </w:rPr>
              <w:t>项目所在区域其他污染物补充监测点位基本信息详见表</w:t>
            </w:r>
            <w:r>
              <w:rPr>
                <w:rFonts w:hint="eastAsia" w:ascii="Times New Roman" w:hAnsi="Times New Roman" w:eastAsia="宋体" w:cs="Times New Roman"/>
                <w:sz w:val="24"/>
                <w:lang w:val="en-US" w:eastAsia="zh-CN" w:bidi="ar-SA"/>
              </w:rPr>
              <w:t>3-3</w:t>
            </w:r>
            <w:r>
              <w:rPr>
                <w:rFonts w:hint="default" w:ascii="Times New Roman" w:hAnsi="Times New Roman" w:eastAsia="宋体" w:cs="Times New Roman"/>
                <w:sz w:val="24"/>
                <w:lang w:val="en-US" w:eastAsia="zh-CN" w:bidi="ar-SA"/>
              </w:rPr>
              <w:t>，监测结果见表</w:t>
            </w:r>
            <w:r>
              <w:rPr>
                <w:rFonts w:hint="eastAsia" w:ascii="Times New Roman" w:hAnsi="Times New Roman" w:eastAsia="宋体" w:cs="Times New Roman"/>
                <w:sz w:val="24"/>
                <w:lang w:val="en-US" w:eastAsia="zh-CN" w:bidi="ar-SA"/>
              </w:rPr>
              <w:t>3-4</w:t>
            </w:r>
            <w:r>
              <w:rPr>
                <w:rFonts w:hint="default" w:ascii="Times New Roman" w:hAnsi="Times New Roman" w:eastAsia="宋体" w:cs="Times New Roman"/>
                <w:sz w:val="24"/>
                <w:szCs w:val="24"/>
                <w:lang w:val="en-US" w:eastAsia="zh-CN" w:bidi="ar-SA"/>
              </w:rPr>
              <w:t>。</w:t>
            </w:r>
          </w:p>
          <w:p w14:paraId="6D466FAC">
            <w:pPr>
              <w:ind w:firstLine="420" w:firstLineChars="200"/>
              <w:jc w:val="right"/>
              <w:rPr>
                <w:rFonts w:hint="eastAsia" w:ascii="黑体" w:hAnsi="黑体" w:eastAsia="黑体" w:cs="黑体"/>
                <w:b w:val="0"/>
                <w:bCs/>
                <w:sz w:val="21"/>
                <w:szCs w:val="21"/>
                <w:vertAlign w:val="superscript"/>
              </w:rPr>
            </w:pPr>
            <w:r>
              <w:rPr>
                <w:rFonts w:hint="eastAsia" w:ascii="黑体" w:hAnsi="黑体" w:eastAsia="黑体" w:cs="黑体"/>
                <w:b w:val="0"/>
                <w:bCs/>
                <w:sz w:val="21"/>
                <w:szCs w:val="21"/>
              </w:rPr>
              <w:t>表</w:t>
            </w:r>
            <w:r>
              <w:rPr>
                <w:rFonts w:hint="eastAsia" w:ascii="黑体" w:hAnsi="黑体" w:eastAsia="黑体" w:cs="黑体"/>
                <w:b w:val="0"/>
                <w:bCs/>
                <w:sz w:val="21"/>
                <w:szCs w:val="21"/>
                <w:lang w:val="en-US" w:eastAsia="zh-CN"/>
              </w:rPr>
              <w:t>3-3</w:t>
            </w:r>
            <w:r>
              <w:rPr>
                <w:rFonts w:hint="eastAsia" w:ascii="黑体" w:hAnsi="黑体" w:eastAsia="黑体" w:cs="黑体"/>
                <w:b w:val="0"/>
                <w:bCs/>
                <w:sz w:val="21"/>
                <w:szCs w:val="21"/>
              </w:rPr>
              <w:t xml:space="preserve">  其他污染物补充监测点位基本信息表   单位：mg/m</w:t>
            </w:r>
            <w:r>
              <w:rPr>
                <w:rFonts w:hint="eastAsia" w:ascii="黑体" w:hAnsi="黑体" w:eastAsia="黑体" w:cs="黑体"/>
                <w:b w:val="0"/>
                <w:bCs/>
                <w:sz w:val="21"/>
                <w:szCs w:val="21"/>
                <w:vertAlign w:val="superscript"/>
              </w:rPr>
              <w:t>3</w:t>
            </w:r>
          </w:p>
          <w:tbl>
            <w:tblPr>
              <w:tblStyle w:val="21"/>
              <w:tblW w:w="4998" w:type="pct"/>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1"/>
              <w:gridCol w:w="1215"/>
              <w:gridCol w:w="1156"/>
              <w:gridCol w:w="1051"/>
              <w:gridCol w:w="1094"/>
              <w:gridCol w:w="1084"/>
              <w:gridCol w:w="1065"/>
            </w:tblGrid>
            <w:tr w14:paraId="5FA13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811" w:type="pct"/>
                  <w:tcBorders>
                    <w:tl2br w:val="nil"/>
                    <w:tr2bl w:val="nil"/>
                  </w:tcBorders>
                  <w:noWrap w:val="0"/>
                  <w:vAlign w:val="center"/>
                </w:tcPr>
                <w:p w14:paraId="1A981CE1">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监测点位</w:t>
                  </w:r>
                </w:p>
              </w:tc>
              <w:tc>
                <w:tcPr>
                  <w:tcW w:w="1489" w:type="pct"/>
                  <w:gridSpan w:val="2"/>
                  <w:tcBorders>
                    <w:tl2br w:val="nil"/>
                    <w:tr2bl w:val="nil"/>
                  </w:tcBorders>
                  <w:noWrap w:val="0"/>
                  <w:vAlign w:val="center"/>
                </w:tcPr>
                <w:p w14:paraId="3AD0FDC9">
                  <w:pPr>
                    <w:spacing w:line="24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坐标/m</w:t>
                  </w:r>
                </w:p>
              </w:tc>
              <w:tc>
                <w:tcPr>
                  <w:tcW w:w="660" w:type="pct"/>
                  <w:tcBorders>
                    <w:tl2br w:val="nil"/>
                    <w:tr2bl w:val="nil"/>
                  </w:tcBorders>
                  <w:noWrap w:val="0"/>
                  <w:vAlign w:val="center"/>
                </w:tcPr>
                <w:p w14:paraId="3B15C5B8">
                  <w:pPr>
                    <w:spacing w:line="24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监测因子</w:t>
                  </w:r>
                </w:p>
              </w:tc>
              <w:tc>
                <w:tcPr>
                  <w:tcW w:w="687" w:type="pct"/>
                  <w:tcBorders>
                    <w:tl2br w:val="nil"/>
                    <w:tr2bl w:val="nil"/>
                  </w:tcBorders>
                  <w:noWrap w:val="0"/>
                  <w:vAlign w:val="center"/>
                </w:tcPr>
                <w:p w14:paraId="46FF3352">
                  <w:pPr>
                    <w:spacing w:line="24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监测时段</w:t>
                  </w:r>
                </w:p>
              </w:tc>
              <w:tc>
                <w:tcPr>
                  <w:tcW w:w="681" w:type="pct"/>
                  <w:tcBorders>
                    <w:tl2br w:val="nil"/>
                    <w:tr2bl w:val="nil"/>
                  </w:tcBorders>
                  <w:noWrap w:val="0"/>
                  <w:vAlign w:val="center"/>
                </w:tcPr>
                <w:p w14:paraId="45D0A131">
                  <w:pPr>
                    <w:spacing w:line="24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相对厂址方位</w:t>
                  </w:r>
                </w:p>
              </w:tc>
              <w:tc>
                <w:tcPr>
                  <w:tcW w:w="669" w:type="pct"/>
                  <w:tcBorders>
                    <w:tl2br w:val="nil"/>
                    <w:tr2bl w:val="nil"/>
                  </w:tcBorders>
                  <w:noWrap w:val="0"/>
                  <w:vAlign w:val="center"/>
                </w:tcPr>
                <w:p w14:paraId="6CA0A75E">
                  <w:pPr>
                    <w:spacing w:line="24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相对厂界距离/m</w:t>
                  </w:r>
                </w:p>
              </w:tc>
            </w:tr>
            <w:tr w14:paraId="227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811" w:type="pct"/>
                  <w:vMerge w:val="restart"/>
                  <w:tcBorders>
                    <w:tl2br w:val="nil"/>
                    <w:tr2bl w:val="nil"/>
                  </w:tcBorders>
                  <w:noWrap w:val="0"/>
                  <w:vAlign w:val="center"/>
                </w:tcPr>
                <w:p w14:paraId="07B9019F">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新疆同芃生物科技有限公司</w:t>
                  </w:r>
                </w:p>
              </w:tc>
              <w:tc>
                <w:tcPr>
                  <w:tcW w:w="763" w:type="pct"/>
                  <w:tcBorders>
                    <w:tl2br w:val="nil"/>
                    <w:tr2bl w:val="nil"/>
                  </w:tcBorders>
                  <w:noWrap w:val="0"/>
                  <w:vAlign w:val="center"/>
                </w:tcPr>
                <w:p w14:paraId="59861881">
                  <w:pPr>
                    <w:spacing w:line="240" w:lineRule="exact"/>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E</w:t>
                  </w:r>
                </w:p>
              </w:tc>
              <w:tc>
                <w:tcPr>
                  <w:tcW w:w="725" w:type="pct"/>
                  <w:tcBorders>
                    <w:tl2br w:val="nil"/>
                    <w:tr2bl w:val="nil"/>
                  </w:tcBorders>
                  <w:noWrap w:val="0"/>
                  <w:vAlign w:val="center"/>
                </w:tcPr>
                <w:p w14:paraId="7F50C077">
                  <w:pPr>
                    <w:spacing w:line="240" w:lineRule="exact"/>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N</w:t>
                  </w:r>
                </w:p>
              </w:tc>
              <w:tc>
                <w:tcPr>
                  <w:tcW w:w="660" w:type="pct"/>
                  <w:vMerge w:val="restart"/>
                  <w:tcBorders>
                    <w:tl2br w:val="nil"/>
                    <w:tr2bl w:val="nil"/>
                  </w:tcBorders>
                  <w:noWrap w:val="0"/>
                  <w:vAlign w:val="center"/>
                </w:tcPr>
                <w:p w14:paraId="3EBCB17C">
                  <w:pPr>
                    <w:spacing w:line="24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氨、</w:t>
                  </w:r>
                  <w:r>
                    <w:rPr>
                      <w:rFonts w:hint="eastAsia" w:cs="Times New Roman"/>
                      <w:color w:val="000000"/>
                      <w:szCs w:val="21"/>
                      <w:lang w:val="en-US" w:eastAsia="zh-CN"/>
                    </w:rPr>
                    <w:t>硫化氢、非甲烷总烃</w:t>
                  </w:r>
                </w:p>
              </w:tc>
              <w:tc>
                <w:tcPr>
                  <w:tcW w:w="687" w:type="pct"/>
                  <w:vMerge w:val="restart"/>
                  <w:tcBorders>
                    <w:tl2br w:val="nil"/>
                    <w:tr2bl w:val="nil"/>
                  </w:tcBorders>
                  <w:noWrap w:val="0"/>
                  <w:vAlign w:val="center"/>
                </w:tcPr>
                <w:p w14:paraId="629D8B6C">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冬季</w:t>
                  </w:r>
                </w:p>
              </w:tc>
              <w:tc>
                <w:tcPr>
                  <w:tcW w:w="681" w:type="pct"/>
                  <w:vMerge w:val="restart"/>
                  <w:tcBorders>
                    <w:tl2br w:val="nil"/>
                    <w:tr2bl w:val="nil"/>
                  </w:tcBorders>
                  <w:noWrap w:val="0"/>
                  <w:vAlign w:val="center"/>
                </w:tcPr>
                <w:p w14:paraId="00C38DC8">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NE</w:t>
                  </w:r>
                  <w:r>
                    <w:rPr>
                      <w:rFonts w:hint="default" w:ascii="Times New Roman" w:hAnsi="Times New Roman" w:eastAsia="宋体" w:cs="Times New Roman"/>
                      <w:color w:val="000000"/>
                      <w:szCs w:val="21"/>
                    </w:rPr>
                    <w:t>（下风向）</w:t>
                  </w:r>
                </w:p>
              </w:tc>
              <w:tc>
                <w:tcPr>
                  <w:tcW w:w="669" w:type="pct"/>
                  <w:vMerge w:val="restart"/>
                  <w:tcBorders>
                    <w:tl2br w:val="nil"/>
                    <w:tr2bl w:val="nil"/>
                  </w:tcBorders>
                  <w:noWrap w:val="0"/>
                  <w:vAlign w:val="center"/>
                </w:tcPr>
                <w:p w14:paraId="4906DE4F">
                  <w:pPr>
                    <w:spacing w:line="240" w:lineRule="exact"/>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14</w:t>
                  </w:r>
                  <w:r>
                    <w:rPr>
                      <w:rFonts w:hint="eastAsia" w:ascii="Times New Roman" w:hAnsi="Times New Roman" w:cs="Times New Roman"/>
                      <w:color w:val="000000"/>
                      <w:szCs w:val="21"/>
                      <w:highlight w:val="none"/>
                      <w:vertAlign w:val="baseline"/>
                      <w:lang w:val="en-US" w:eastAsia="zh-CN"/>
                    </w:rPr>
                    <w:t>3</w:t>
                  </w:r>
                </w:p>
              </w:tc>
            </w:tr>
            <w:tr w14:paraId="0DA69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11" w:type="pct"/>
                  <w:vMerge w:val="continue"/>
                  <w:tcBorders>
                    <w:tl2br w:val="nil"/>
                    <w:tr2bl w:val="nil"/>
                  </w:tcBorders>
                  <w:noWrap w:val="0"/>
                  <w:vAlign w:val="center"/>
                </w:tcPr>
                <w:p w14:paraId="1F90C98A">
                  <w:pPr>
                    <w:spacing w:line="240" w:lineRule="exact"/>
                    <w:jc w:val="center"/>
                  </w:pPr>
                </w:p>
              </w:tc>
              <w:tc>
                <w:tcPr>
                  <w:tcW w:w="763" w:type="pct"/>
                  <w:tcBorders>
                    <w:tl2br w:val="nil"/>
                    <w:tr2bl w:val="nil"/>
                  </w:tcBorders>
                  <w:noWrap w:val="0"/>
                  <w:vAlign w:val="center"/>
                </w:tcPr>
                <w:p w14:paraId="33D9ADAF">
                  <w:pPr>
                    <w:spacing w:line="240" w:lineRule="exact"/>
                    <w:jc w:val="center"/>
                    <w:rPr>
                      <w:rFonts w:hint="default" w:eastAsia="宋体"/>
                      <w:lang w:val="en-US" w:eastAsia="zh-CN"/>
                    </w:rPr>
                  </w:pPr>
                  <w:r>
                    <w:rPr>
                      <w:rFonts w:hint="eastAsia"/>
                      <w:lang w:val="en-US" w:eastAsia="zh-CN"/>
                    </w:rPr>
                    <w:t>84°18'11.768"</w:t>
                  </w:r>
                </w:p>
              </w:tc>
              <w:tc>
                <w:tcPr>
                  <w:tcW w:w="725" w:type="pct"/>
                  <w:tcBorders>
                    <w:tl2br w:val="nil"/>
                    <w:tr2bl w:val="nil"/>
                  </w:tcBorders>
                  <w:noWrap w:val="0"/>
                  <w:vAlign w:val="center"/>
                </w:tcPr>
                <w:p w14:paraId="1ED9C4FE">
                  <w:pPr>
                    <w:spacing w:line="24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41°47'47.052"</w:t>
                  </w:r>
                </w:p>
              </w:tc>
              <w:tc>
                <w:tcPr>
                  <w:tcW w:w="660" w:type="pct"/>
                  <w:vMerge w:val="continue"/>
                  <w:tcBorders>
                    <w:tl2br w:val="nil"/>
                    <w:tr2bl w:val="nil"/>
                  </w:tcBorders>
                  <w:noWrap w:val="0"/>
                  <w:vAlign w:val="center"/>
                </w:tcPr>
                <w:p w14:paraId="3B90B406">
                  <w:pPr>
                    <w:spacing w:line="240" w:lineRule="exact"/>
                    <w:jc w:val="center"/>
                    <w:rPr>
                      <w:rFonts w:hint="default" w:ascii="Times New Roman" w:hAnsi="Times New Roman" w:eastAsia="宋体" w:cs="Times New Roman"/>
                      <w:color w:val="000000"/>
                      <w:szCs w:val="21"/>
                    </w:rPr>
                  </w:pPr>
                </w:p>
              </w:tc>
              <w:tc>
                <w:tcPr>
                  <w:tcW w:w="687" w:type="pct"/>
                  <w:vMerge w:val="continue"/>
                  <w:tcBorders>
                    <w:tl2br w:val="nil"/>
                    <w:tr2bl w:val="nil"/>
                  </w:tcBorders>
                  <w:noWrap w:val="0"/>
                  <w:vAlign w:val="center"/>
                </w:tcPr>
                <w:p w14:paraId="7B73FA43">
                  <w:pPr>
                    <w:spacing w:line="240" w:lineRule="exact"/>
                    <w:jc w:val="center"/>
                    <w:rPr>
                      <w:rFonts w:hint="default" w:ascii="Times New Roman" w:hAnsi="Times New Roman" w:eastAsia="宋体" w:cs="Times New Roman"/>
                      <w:color w:val="000000"/>
                      <w:szCs w:val="21"/>
                    </w:rPr>
                  </w:pPr>
                </w:p>
              </w:tc>
              <w:tc>
                <w:tcPr>
                  <w:tcW w:w="681" w:type="pct"/>
                  <w:vMerge w:val="continue"/>
                  <w:tcBorders>
                    <w:tl2br w:val="nil"/>
                    <w:tr2bl w:val="nil"/>
                  </w:tcBorders>
                  <w:noWrap w:val="0"/>
                  <w:vAlign w:val="center"/>
                </w:tcPr>
                <w:p w14:paraId="74780E88">
                  <w:pPr>
                    <w:spacing w:line="240" w:lineRule="exact"/>
                    <w:jc w:val="center"/>
                    <w:rPr>
                      <w:rFonts w:hint="default" w:ascii="Times New Roman" w:hAnsi="Times New Roman" w:eastAsia="宋体" w:cs="Times New Roman"/>
                      <w:color w:val="000000"/>
                      <w:szCs w:val="21"/>
                    </w:rPr>
                  </w:pPr>
                </w:p>
              </w:tc>
              <w:tc>
                <w:tcPr>
                  <w:tcW w:w="669" w:type="pct"/>
                  <w:vMerge w:val="continue"/>
                  <w:tcBorders>
                    <w:tl2br w:val="nil"/>
                    <w:tr2bl w:val="nil"/>
                  </w:tcBorders>
                  <w:noWrap w:val="0"/>
                  <w:vAlign w:val="center"/>
                </w:tcPr>
                <w:p w14:paraId="64F2C7B0">
                  <w:pPr>
                    <w:spacing w:line="240" w:lineRule="exact"/>
                    <w:jc w:val="center"/>
                    <w:rPr>
                      <w:rFonts w:hint="default" w:ascii="Times New Roman" w:hAnsi="Times New Roman" w:eastAsia="宋体" w:cs="Times New Roman"/>
                      <w:color w:val="000000"/>
                      <w:szCs w:val="21"/>
                    </w:rPr>
                  </w:pPr>
                </w:p>
              </w:tc>
            </w:tr>
          </w:tbl>
          <w:p w14:paraId="28D24F09">
            <w:pPr>
              <w:ind w:firstLine="630" w:firstLineChars="300"/>
              <w:jc w:val="right"/>
              <w:rPr>
                <w:rFonts w:hint="default" w:ascii="Times New Roman" w:hAnsi="Times New Roman" w:eastAsia="宋体" w:cs="Times New Roman"/>
                <w:b/>
                <w:sz w:val="21"/>
                <w:szCs w:val="21"/>
                <w:vertAlign w:val="superscript"/>
              </w:rPr>
            </w:pPr>
            <w:r>
              <w:rPr>
                <w:rFonts w:hint="eastAsia" w:ascii="黑体" w:hAnsi="黑体" w:eastAsia="黑体" w:cs="黑体"/>
                <w:b w:val="0"/>
                <w:bCs/>
                <w:sz w:val="21"/>
                <w:szCs w:val="21"/>
              </w:rPr>
              <w:t>表</w:t>
            </w:r>
            <w:r>
              <w:rPr>
                <w:rFonts w:hint="eastAsia" w:ascii="黑体" w:hAnsi="黑体" w:eastAsia="黑体" w:cs="黑体"/>
                <w:b w:val="0"/>
                <w:bCs/>
                <w:sz w:val="21"/>
                <w:szCs w:val="21"/>
                <w:lang w:val="en-US" w:eastAsia="zh-CN"/>
              </w:rPr>
              <w:t>3-4</w:t>
            </w:r>
            <w:r>
              <w:rPr>
                <w:rFonts w:hint="eastAsia" w:ascii="黑体" w:hAnsi="黑体" w:eastAsia="黑体" w:cs="黑体"/>
                <w:b w:val="0"/>
                <w:bCs/>
                <w:sz w:val="21"/>
                <w:szCs w:val="21"/>
              </w:rPr>
              <w:t xml:space="preserve"> </w:t>
            </w:r>
            <w:r>
              <w:rPr>
                <w:rFonts w:hint="eastAsia" w:ascii="黑体" w:hAnsi="黑体" w:eastAsia="黑体" w:cs="黑体"/>
                <w:b w:val="0"/>
                <w:bCs/>
                <w:sz w:val="21"/>
                <w:szCs w:val="21"/>
                <w:lang w:val="en-US" w:eastAsia="zh-CN"/>
              </w:rPr>
              <w:t xml:space="preserve"> </w:t>
            </w:r>
            <w:r>
              <w:rPr>
                <w:rFonts w:hint="eastAsia" w:ascii="黑体" w:hAnsi="黑体" w:eastAsia="黑体" w:cs="黑体"/>
                <w:b w:val="0"/>
                <w:bCs/>
                <w:sz w:val="21"/>
                <w:szCs w:val="21"/>
              </w:rPr>
              <w:t>其他污染物环境质量现状（检测结果）表      单位：mg/m</w:t>
            </w:r>
            <w:r>
              <w:rPr>
                <w:rFonts w:hint="eastAsia" w:ascii="黑体" w:hAnsi="黑体" w:eastAsia="黑体" w:cs="黑体"/>
                <w:b w:val="0"/>
                <w:bCs/>
                <w:sz w:val="21"/>
                <w:szCs w:val="21"/>
                <w:vertAlign w:val="superscript"/>
              </w:rPr>
              <w:t>3</w:t>
            </w:r>
          </w:p>
          <w:tbl>
            <w:tblPr>
              <w:tblStyle w:val="21"/>
              <w:tblW w:w="801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0"/>
              <w:gridCol w:w="1329"/>
              <w:gridCol w:w="1200"/>
              <w:gridCol w:w="1284"/>
              <w:gridCol w:w="604"/>
              <w:gridCol w:w="806"/>
              <w:gridCol w:w="851"/>
              <w:gridCol w:w="749"/>
              <w:gridCol w:w="427"/>
            </w:tblGrid>
            <w:tr w14:paraId="63149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9" w:hRule="atLeast"/>
              </w:trPr>
              <w:tc>
                <w:tcPr>
                  <w:tcW w:w="474" w:type="pct"/>
                  <w:tcBorders>
                    <w:tl2br w:val="nil"/>
                    <w:tr2bl w:val="nil"/>
                  </w:tcBorders>
                  <w:noWrap w:val="0"/>
                  <w:vAlign w:val="center"/>
                </w:tcPr>
                <w:p w14:paraId="54EE39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监测点位</w:t>
                  </w:r>
                </w:p>
              </w:tc>
              <w:tc>
                <w:tcPr>
                  <w:tcW w:w="1578" w:type="pct"/>
                  <w:gridSpan w:val="2"/>
                  <w:tcBorders>
                    <w:tl2br w:val="nil"/>
                    <w:tr2bl w:val="nil"/>
                  </w:tcBorders>
                  <w:noWrap w:val="0"/>
                  <w:vAlign w:val="center"/>
                </w:tcPr>
                <w:p w14:paraId="5F373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经纬度</w:t>
                  </w:r>
                </w:p>
              </w:tc>
              <w:tc>
                <w:tcPr>
                  <w:tcW w:w="801" w:type="pct"/>
                  <w:tcBorders>
                    <w:tl2br w:val="nil"/>
                    <w:tr2bl w:val="nil"/>
                  </w:tcBorders>
                  <w:noWrap w:val="0"/>
                  <w:vAlign w:val="center"/>
                </w:tcPr>
                <w:p w14:paraId="68918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污染物</w:t>
                  </w:r>
                </w:p>
              </w:tc>
              <w:tc>
                <w:tcPr>
                  <w:tcW w:w="377" w:type="pct"/>
                  <w:tcBorders>
                    <w:tl2br w:val="nil"/>
                    <w:tr2bl w:val="nil"/>
                  </w:tcBorders>
                  <w:noWrap w:val="0"/>
                  <w:vAlign w:val="center"/>
                </w:tcPr>
                <w:p w14:paraId="7461CA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平均时间</w:t>
                  </w:r>
                </w:p>
              </w:tc>
              <w:tc>
                <w:tcPr>
                  <w:tcW w:w="503" w:type="pct"/>
                  <w:tcBorders>
                    <w:tl2br w:val="nil"/>
                    <w:tr2bl w:val="nil"/>
                  </w:tcBorders>
                  <w:noWrap w:val="0"/>
                  <w:vAlign w:val="center"/>
                </w:tcPr>
                <w:p w14:paraId="538AC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评价标准mg/m</w:t>
                  </w:r>
                  <w:r>
                    <w:rPr>
                      <w:rFonts w:hint="default" w:ascii="Times New Roman" w:hAnsi="Times New Roman" w:eastAsia="宋体" w:cs="Times New Roman"/>
                      <w:color w:val="000000"/>
                      <w:szCs w:val="21"/>
                      <w:vertAlign w:val="superscript"/>
                    </w:rPr>
                    <w:t>3</w:t>
                  </w:r>
                </w:p>
              </w:tc>
              <w:tc>
                <w:tcPr>
                  <w:tcW w:w="531" w:type="pct"/>
                  <w:tcBorders>
                    <w:tl2br w:val="nil"/>
                    <w:tr2bl w:val="nil"/>
                  </w:tcBorders>
                  <w:noWrap w:val="0"/>
                  <w:vAlign w:val="center"/>
                </w:tcPr>
                <w:p w14:paraId="565C2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检测浓度范围mg/m</w:t>
                  </w:r>
                  <w:r>
                    <w:rPr>
                      <w:rFonts w:hint="default" w:ascii="Times New Roman" w:hAnsi="Times New Roman" w:eastAsia="宋体" w:cs="Times New Roman"/>
                      <w:color w:val="000000"/>
                      <w:szCs w:val="21"/>
                      <w:vertAlign w:val="superscript"/>
                    </w:rPr>
                    <w:t>3</w:t>
                  </w:r>
                </w:p>
              </w:tc>
              <w:tc>
                <w:tcPr>
                  <w:tcW w:w="467" w:type="pct"/>
                  <w:tcBorders>
                    <w:tl2br w:val="nil"/>
                    <w:tr2bl w:val="nil"/>
                  </w:tcBorders>
                  <w:noWrap w:val="0"/>
                  <w:vAlign w:val="center"/>
                </w:tcPr>
                <w:p w14:paraId="4B100B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最大浓度占标率%</w:t>
                  </w:r>
                </w:p>
              </w:tc>
              <w:tc>
                <w:tcPr>
                  <w:tcW w:w="266" w:type="pct"/>
                  <w:tcBorders>
                    <w:tl2br w:val="nil"/>
                    <w:tr2bl w:val="nil"/>
                  </w:tcBorders>
                  <w:noWrap w:val="0"/>
                  <w:vAlign w:val="center"/>
                </w:tcPr>
                <w:p w14:paraId="3F083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达标情况</w:t>
                  </w:r>
                </w:p>
              </w:tc>
            </w:tr>
            <w:tr w14:paraId="6EC3C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474" w:type="pct"/>
                  <w:vMerge w:val="restart"/>
                  <w:tcBorders>
                    <w:tl2br w:val="nil"/>
                    <w:tr2bl w:val="nil"/>
                  </w:tcBorders>
                  <w:noWrap w:val="0"/>
                  <w:vAlign w:val="center"/>
                </w:tcPr>
                <w:p w14:paraId="3F0E4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rPr>
                  </w:pPr>
                  <w:r>
                    <w:rPr>
                      <w:rFonts w:hint="eastAsia" w:ascii="Times New Roman" w:hAnsi="Times New Roman" w:eastAsia="宋体" w:cs="Times New Roman"/>
                      <w:color w:val="000000"/>
                      <w:szCs w:val="21"/>
                      <w:lang w:val="en-US" w:eastAsia="zh-CN"/>
                    </w:rPr>
                    <w:t>新疆同芃生物科技有限公司</w:t>
                  </w:r>
                </w:p>
              </w:tc>
              <w:tc>
                <w:tcPr>
                  <w:tcW w:w="829" w:type="pct"/>
                  <w:tcBorders>
                    <w:tl2br w:val="nil"/>
                    <w:tr2bl w:val="nil"/>
                  </w:tcBorders>
                  <w:noWrap w:val="0"/>
                  <w:vAlign w:val="center"/>
                </w:tcPr>
                <w:p w14:paraId="04468C36">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E</w:t>
                  </w:r>
                </w:p>
              </w:tc>
              <w:tc>
                <w:tcPr>
                  <w:tcW w:w="749" w:type="pct"/>
                  <w:tcBorders>
                    <w:tl2br w:val="nil"/>
                    <w:tr2bl w:val="nil"/>
                  </w:tcBorders>
                  <w:noWrap w:val="0"/>
                  <w:vAlign w:val="center"/>
                </w:tcPr>
                <w:p w14:paraId="60DBC01F">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N</w:t>
                  </w:r>
                </w:p>
              </w:tc>
              <w:tc>
                <w:tcPr>
                  <w:tcW w:w="801" w:type="pct"/>
                  <w:tcBorders>
                    <w:tl2br w:val="nil"/>
                    <w:tr2bl w:val="nil"/>
                  </w:tcBorders>
                  <w:noWrap w:val="0"/>
                  <w:vAlign w:val="center"/>
                </w:tcPr>
                <w:p w14:paraId="75D3D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非甲烷总烃</w:t>
                  </w:r>
                </w:p>
              </w:tc>
              <w:tc>
                <w:tcPr>
                  <w:tcW w:w="377" w:type="pct"/>
                  <w:tcBorders>
                    <w:tl2br w:val="nil"/>
                    <w:tr2bl w:val="nil"/>
                  </w:tcBorders>
                  <w:noWrap w:val="0"/>
                  <w:vAlign w:val="center"/>
                </w:tcPr>
                <w:p w14:paraId="452F06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1</w:t>
                  </w:r>
                  <w:r>
                    <w:rPr>
                      <w:rFonts w:hint="default" w:ascii="Times New Roman" w:hAnsi="Times New Roman" w:eastAsia="宋体" w:cs="Times New Roman"/>
                      <w:color w:val="000000"/>
                      <w:szCs w:val="21"/>
                    </w:rPr>
                    <w:t>h</w:t>
                  </w:r>
                </w:p>
              </w:tc>
              <w:tc>
                <w:tcPr>
                  <w:tcW w:w="503" w:type="pct"/>
                  <w:tcBorders>
                    <w:tl2br w:val="nil"/>
                    <w:tr2bl w:val="nil"/>
                  </w:tcBorders>
                  <w:noWrap w:val="0"/>
                  <w:vAlign w:val="center"/>
                </w:tcPr>
                <w:p w14:paraId="3C0C9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2.0</w:t>
                  </w:r>
                </w:p>
              </w:tc>
              <w:tc>
                <w:tcPr>
                  <w:tcW w:w="531" w:type="pct"/>
                  <w:tcBorders>
                    <w:tl2br w:val="nil"/>
                    <w:tr2bl w:val="nil"/>
                  </w:tcBorders>
                  <w:noWrap w:val="0"/>
                  <w:vAlign w:val="center"/>
                </w:tcPr>
                <w:p w14:paraId="2F5717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0.</w:t>
                  </w:r>
                  <w:r>
                    <w:rPr>
                      <w:rFonts w:hint="eastAsia" w:cs="Times New Roman"/>
                      <w:color w:val="000000"/>
                      <w:szCs w:val="21"/>
                      <w:lang w:val="en-US" w:eastAsia="zh-CN"/>
                    </w:rPr>
                    <w:t>21~</w:t>
                  </w:r>
                  <w:r>
                    <w:rPr>
                      <w:rFonts w:hint="default" w:ascii="Times New Roman" w:hAnsi="Times New Roman" w:eastAsia="宋体" w:cs="Times New Roman"/>
                      <w:color w:val="000000"/>
                      <w:szCs w:val="21"/>
                    </w:rPr>
                    <w:t>0.</w:t>
                  </w:r>
                  <w:r>
                    <w:rPr>
                      <w:rFonts w:hint="eastAsia" w:cs="Times New Roman"/>
                      <w:color w:val="000000"/>
                      <w:szCs w:val="21"/>
                      <w:lang w:val="en-US" w:eastAsia="zh-CN"/>
                    </w:rPr>
                    <w:t>25</w:t>
                  </w:r>
                </w:p>
              </w:tc>
              <w:tc>
                <w:tcPr>
                  <w:tcW w:w="467" w:type="pct"/>
                  <w:tcBorders>
                    <w:tl2br w:val="nil"/>
                    <w:tr2bl w:val="nil"/>
                  </w:tcBorders>
                  <w:noWrap w:val="0"/>
                  <w:vAlign w:val="center"/>
                </w:tcPr>
                <w:p w14:paraId="71B905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12.5</w:t>
                  </w:r>
                </w:p>
              </w:tc>
              <w:tc>
                <w:tcPr>
                  <w:tcW w:w="266" w:type="pct"/>
                  <w:tcBorders>
                    <w:tl2br w:val="nil"/>
                    <w:tr2bl w:val="nil"/>
                  </w:tcBorders>
                  <w:noWrap w:val="0"/>
                  <w:vAlign w:val="center"/>
                </w:tcPr>
                <w:p w14:paraId="6B6C1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1ED64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474" w:type="pct"/>
                  <w:vMerge w:val="continue"/>
                  <w:tcBorders>
                    <w:tl2br w:val="nil"/>
                    <w:tr2bl w:val="nil"/>
                  </w:tcBorders>
                  <w:noWrap w:val="0"/>
                  <w:vAlign w:val="center"/>
                </w:tcPr>
                <w:p w14:paraId="5B11B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Cs w:val="21"/>
                      <w:lang w:val="en-US" w:eastAsia="zh-CN"/>
                    </w:rPr>
                  </w:pPr>
                </w:p>
              </w:tc>
              <w:tc>
                <w:tcPr>
                  <w:tcW w:w="829" w:type="pct"/>
                  <w:vMerge w:val="restart"/>
                  <w:tcBorders>
                    <w:tl2br w:val="nil"/>
                    <w:tr2bl w:val="nil"/>
                  </w:tcBorders>
                  <w:noWrap w:val="0"/>
                  <w:vAlign w:val="center"/>
                </w:tcPr>
                <w:p w14:paraId="4F1810B9">
                  <w:pPr>
                    <w:spacing w:line="240" w:lineRule="exact"/>
                    <w:jc w:val="center"/>
                    <w:rPr>
                      <w:rFonts w:hint="default" w:ascii="Times New Roman" w:hAnsi="Times New Roman" w:eastAsia="宋体" w:cs="Times New Roman"/>
                      <w:kern w:val="2"/>
                      <w:sz w:val="21"/>
                      <w:szCs w:val="24"/>
                      <w:lang w:val="en-US" w:eastAsia="zh-CN" w:bidi="ar-SA"/>
                    </w:rPr>
                  </w:pPr>
                  <w:r>
                    <w:rPr>
                      <w:rFonts w:hint="eastAsia"/>
                      <w:lang w:val="en-US" w:eastAsia="zh-CN"/>
                    </w:rPr>
                    <w:t>84°18'11.768"</w:t>
                  </w:r>
                </w:p>
              </w:tc>
              <w:tc>
                <w:tcPr>
                  <w:tcW w:w="749" w:type="pct"/>
                  <w:vMerge w:val="restart"/>
                  <w:tcBorders>
                    <w:tl2br w:val="nil"/>
                    <w:tr2bl w:val="nil"/>
                  </w:tcBorders>
                  <w:noWrap w:val="0"/>
                  <w:vAlign w:val="center"/>
                </w:tcPr>
                <w:p w14:paraId="0CA39AFE">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41°47'47.052"</w:t>
                  </w:r>
                </w:p>
              </w:tc>
              <w:tc>
                <w:tcPr>
                  <w:tcW w:w="801" w:type="pct"/>
                  <w:tcBorders>
                    <w:tl2br w:val="nil"/>
                    <w:tr2bl w:val="nil"/>
                  </w:tcBorders>
                  <w:noWrap w:val="0"/>
                  <w:vAlign w:val="center"/>
                </w:tcPr>
                <w:p w14:paraId="4F0ED8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氨气</w:t>
                  </w:r>
                </w:p>
              </w:tc>
              <w:tc>
                <w:tcPr>
                  <w:tcW w:w="377" w:type="pct"/>
                  <w:tcBorders>
                    <w:tl2br w:val="nil"/>
                    <w:tr2bl w:val="nil"/>
                  </w:tcBorders>
                  <w:noWrap w:val="0"/>
                  <w:vAlign w:val="center"/>
                </w:tcPr>
                <w:p w14:paraId="6CBE8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r>
                    <w:rPr>
                      <w:rFonts w:hint="default" w:ascii="Times New Roman" w:hAnsi="Times New Roman" w:eastAsia="宋体" w:cs="Times New Roman"/>
                      <w:color w:val="000000"/>
                      <w:szCs w:val="21"/>
                    </w:rPr>
                    <w:t>h</w:t>
                  </w:r>
                </w:p>
              </w:tc>
              <w:tc>
                <w:tcPr>
                  <w:tcW w:w="503" w:type="pct"/>
                  <w:tcBorders>
                    <w:tl2br w:val="nil"/>
                    <w:tr2bl w:val="nil"/>
                  </w:tcBorders>
                  <w:noWrap w:val="0"/>
                  <w:vAlign w:val="center"/>
                </w:tcPr>
                <w:p w14:paraId="48E3D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0.2</w:t>
                  </w:r>
                </w:p>
              </w:tc>
              <w:tc>
                <w:tcPr>
                  <w:tcW w:w="531" w:type="pct"/>
                  <w:tcBorders>
                    <w:tl2br w:val="nil"/>
                    <w:tr2bl w:val="nil"/>
                  </w:tcBorders>
                  <w:noWrap w:val="0"/>
                  <w:vAlign w:val="center"/>
                </w:tcPr>
                <w:p w14:paraId="3A356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0.0</w:t>
                  </w:r>
                  <w:r>
                    <w:rPr>
                      <w:rFonts w:hint="eastAsia" w:cs="Times New Roman"/>
                      <w:color w:val="000000"/>
                      <w:szCs w:val="21"/>
                      <w:lang w:val="en-US" w:eastAsia="zh-CN"/>
                    </w:rPr>
                    <w:t>3~</w:t>
                  </w:r>
                  <w:r>
                    <w:rPr>
                      <w:rFonts w:hint="eastAsia" w:ascii="Times New Roman" w:hAnsi="Times New Roman" w:cs="Times New Roman"/>
                      <w:color w:val="000000"/>
                      <w:szCs w:val="21"/>
                      <w:lang w:val="en-US" w:eastAsia="zh-CN"/>
                    </w:rPr>
                    <w:t>0.0</w:t>
                  </w:r>
                  <w:r>
                    <w:rPr>
                      <w:rFonts w:hint="eastAsia" w:cs="Times New Roman"/>
                      <w:color w:val="000000"/>
                      <w:szCs w:val="21"/>
                      <w:lang w:val="en-US" w:eastAsia="zh-CN"/>
                    </w:rPr>
                    <w:t>6</w:t>
                  </w:r>
                </w:p>
              </w:tc>
              <w:tc>
                <w:tcPr>
                  <w:tcW w:w="467" w:type="pct"/>
                  <w:tcBorders>
                    <w:tl2br w:val="nil"/>
                    <w:tr2bl w:val="nil"/>
                  </w:tcBorders>
                  <w:noWrap w:val="0"/>
                  <w:vAlign w:val="center"/>
                </w:tcPr>
                <w:p w14:paraId="29F97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5</w:t>
                  </w:r>
                </w:p>
              </w:tc>
              <w:tc>
                <w:tcPr>
                  <w:tcW w:w="266" w:type="pct"/>
                  <w:tcBorders>
                    <w:tl2br w:val="nil"/>
                    <w:tr2bl w:val="nil"/>
                  </w:tcBorders>
                  <w:noWrap w:val="0"/>
                  <w:vAlign w:val="center"/>
                </w:tcPr>
                <w:p w14:paraId="487A99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4D3F7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74" w:type="pct"/>
                  <w:vMerge w:val="continue"/>
                  <w:tcBorders>
                    <w:tl2br w:val="nil"/>
                    <w:tr2bl w:val="nil"/>
                  </w:tcBorders>
                  <w:noWrap w:val="0"/>
                  <w:vAlign w:val="center"/>
                </w:tcPr>
                <w:p w14:paraId="3AF84B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lang w:val="en-US" w:eastAsia="zh-CN"/>
                    </w:rPr>
                  </w:pPr>
                </w:p>
              </w:tc>
              <w:tc>
                <w:tcPr>
                  <w:tcW w:w="829" w:type="pct"/>
                  <w:vMerge w:val="continue"/>
                  <w:tcBorders>
                    <w:tl2br w:val="nil"/>
                    <w:tr2bl w:val="nil"/>
                  </w:tcBorders>
                  <w:noWrap w:val="0"/>
                  <w:vAlign w:val="center"/>
                </w:tcPr>
                <w:p w14:paraId="6F193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49" w:type="pct"/>
                  <w:vMerge w:val="continue"/>
                  <w:tcBorders>
                    <w:tl2br w:val="nil"/>
                    <w:tr2bl w:val="nil"/>
                  </w:tcBorders>
                  <w:noWrap w:val="0"/>
                  <w:vAlign w:val="center"/>
                </w:tcPr>
                <w:p w14:paraId="77B7D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01" w:type="pct"/>
                  <w:tcBorders>
                    <w:tl2br w:val="nil"/>
                    <w:tr2bl w:val="nil"/>
                  </w:tcBorders>
                  <w:noWrap w:val="0"/>
                  <w:vAlign w:val="center"/>
                </w:tcPr>
                <w:p w14:paraId="71B79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硫化氢</w:t>
                  </w:r>
                </w:p>
              </w:tc>
              <w:tc>
                <w:tcPr>
                  <w:tcW w:w="377" w:type="pct"/>
                  <w:tcBorders>
                    <w:tl2br w:val="nil"/>
                    <w:tr2bl w:val="nil"/>
                  </w:tcBorders>
                  <w:noWrap w:val="0"/>
                  <w:vAlign w:val="center"/>
                </w:tcPr>
                <w:p w14:paraId="3271BE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w:t>
                  </w:r>
                  <w:r>
                    <w:rPr>
                      <w:rFonts w:hint="default" w:ascii="Times New Roman" w:hAnsi="Times New Roman" w:eastAsia="宋体" w:cs="Times New Roman"/>
                      <w:color w:val="000000"/>
                      <w:szCs w:val="21"/>
                    </w:rPr>
                    <w:t>h</w:t>
                  </w:r>
                </w:p>
              </w:tc>
              <w:tc>
                <w:tcPr>
                  <w:tcW w:w="503" w:type="pct"/>
                  <w:tcBorders>
                    <w:tl2br w:val="nil"/>
                    <w:tr2bl w:val="nil"/>
                  </w:tcBorders>
                  <w:noWrap w:val="0"/>
                  <w:vAlign w:val="center"/>
                </w:tcPr>
                <w:p w14:paraId="0A4D9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0.01</w:t>
                  </w:r>
                </w:p>
              </w:tc>
              <w:tc>
                <w:tcPr>
                  <w:tcW w:w="531" w:type="pct"/>
                  <w:tcBorders>
                    <w:tl2br w:val="nil"/>
                    <w:tr2bl w:val="nil"/>
                  </w:tcBorders>
                  <w:noWrap w:val="0"/>
                  <w:vAlign w:val="center"/>
                </w:tcPr>
                <w:p w14:paraId="4E05D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0.005L</w:t>
                  </w:r>
                </w:p>
              </w:tc>
              <w:tc>
                <w:tcPr>
                  <w:tcW w:w="467" w:type="pct"/>
                  <w:tcBorders>
                    <w:tl2br w:val="nil"/>
                    <w:tr2bl w:val="nil"/>
                  </w:tcBorders>
                  <w:noWrap w:val="0"/>
                  <w:vAlign w:val="center"/>
                </w:tcPr>
                <w:p w14:paraId="6773B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5</w:t>
                  </w:r>
                </w:p>
              </w:tc>
              <w:tc>
                <w:tcPr>
                  <w:tcW w:w="266" w:type="pct"/>
                  <w:tcBorders>
                    <w:tl2br w:val="nil"/>
                    <w:tr2bl w:val="nil"/>
                  </w:tcBorders>
                  <w:noWrap w:val="0"/>
                  <w:vAlign w:val="center"/>
                </w:tcPr>
                <w:p w14:paraId="24689B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2DA30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474" w:type="pct"/>
                  <w:vMerge w:val="continue"/>
                  <w:tcBorders>
                    <w:tl2br w:val="nil"/>
                    <w:tr2bl w:val="nil"/>
                  </w:tcBorders>
                  <w:noWrap w:val="0"/>
                  <w:vAlign w:val="center"/>
                </w:tcPr>
                <w:p w14:paraId="34C3B7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lang w:val="en-US" w:eastAsia="zh-CN"/>
                    </w:rPr>
                  </w:pPr>
                </w:p>
              </w:tc>
              <w:tc>
                <w:tcPr>
                  <w:tcW w:w="829" w:type="pct"/>
                  <w:vMerge w:val="continue"/>
                  <w:tcBorders>
                    <w:tl2br w:val="nil"/>
                    <w:tr2bl w:val="nil"/>
                  </w:tcBorders>
                  <w:noWrap w:val="0"/>
                  <w:vAlign w:val="center"/>
                </w:tcPr>
                <w:p w14:paraId="23039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49" w:type="pct"/>
                  <w:vMerge w:val="continue"/>
                  <w:tcBorders>
                    <w:tl2br w:val="nil"/>
                    <w:tr2bl w:val="nil"/>
                  </w:tcBorders>
                  <w:noWrap w:val="0"/>
                  <w:vAlign w:val="center"/>
                </w:tcPr>
                <w:p w14:paraId="11DF7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01" w:type="pct"/>
                  <w:tcBorders>
                    <w:tl2br w:val="nil"/>
                    <w:tr2bl w:val="nil"/>
                  </w:tcBorders>
                  <w:noWrap w:val="0"/>
                  <w:vAlign w:val="center"/>
                </w:tcPr>
                <w:p w14:paraId="6D03E7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TSP</w:t>
                  </w:r>
                </w:p>
              </w:tc>
              <w:tc>
                <w:tcPr>
                  <w:tcW w:w="377" w:type="pct"/>
                  <w:tcBorders>
                    <w:tl2br w:val="nil"/>
                    <w:tr2bl w:val="nil"/>
                  </w:tcBorders>
                  <w:noWrap w:val="0"/>
                  <w:vAlign w:val="center"/>
                </w:tcPr>
                <w:p w14:paraId="0BE1B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24h</w:t>
                  </w:r>
                </w:p>
              </w:tc>
              <w:tc>
                <w:tcPr>
                  <w:tcW w:w="503" w:type="pct"/>
                  <w:tcBorders>
                    <w:tl2br w:val="nil"/>
                    <w:tr2bl w:val="nil"/>
                  </w:tcBorders>
                  <w:noWrap w:val="0"/>
                  <w:vAlign w:val="center"/>
                </w:tcPr>
                <w:p w14:paraId="5F332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300</w:t>
                  </w:r>
                </w:p>
              </w:tc>
              <w:tc>
                <w:tcPr>
                  <w:tcW w:w="531" w:type="pct"/>
                  <w:tcBorders>
                    <w:tl2br w:val="nil"/>
                    <w:tr2bl w:val="nil"/>
                  </w:tcBorders>
                  <w:noWrap w:val="0"/>
                  <w:vAlign w:val="center"/>
                </w:tcPr>
                <w:p w14:paraId="641B6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917~</w:t>
                  </w:r>
                  <w:r>
                    <w:rPr>
                      <w:rFonts w:hint="eastAsia" w:ascii="Times New Roman" w:hAnsi="Times New Roman" w:eastAsia="宋体" w:cs="Times New Roman"/>
                      <w:color w:val="000000"/>
                      <w:szCs w:val="21"/>
                      <w:lang w:val="en-US" w:eastAsia="zh-CN"/>
                    </w:rPr>
                    <w:t>951</w:t>
                  </w:r>
                </w:p>
              </w:tc>
              <w:tc>
                <w:tcPr>
                  <w:tcW w:w="467" w:type="pct"/>
                  <w:tcBorders>
                    <w:tl2br w:val="nil"/>
                    <w:tr2bl w:val="nil"/>
                  </w:tcBorders>
                  <w:noWrap w:val="0"/>
                  <w:vAlign w:val="center"/>
                </w:tcPr>
                <w:p w14:paraId="4E9DD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eastAsia" w:cs="Times New Roman"/>
                      <w:color w:val="000000"/>
                      <w:szCs w:val="21"/>
                      <w:lang w:val="en-US" w:eastAsia="zh-CN"/>
                    </w:rPr>
                    <w:t>317</w:t>
                  </w:r>
                </w:p>
              </w:tc>
              <w:tc>
                <w:tcPr>
                  <w:tcW w:w="266" w:type="pct"/>
                  <w:tcBorders>
                    <w:tl2br w:val="nil"/>
                    <w:tr2bl w:val="nil"/>
                  </w:tcBorders>
                  <w:noWrap w:val="0"/>
                  <w:vAlign w:val="center"/>
                </w:tcPr>
                <w:p w14:paraId="62233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超标</w:t>
                  </w:r>
                </w:p>
              </w:tc>
            </w:tr>
          </w:tbl>
          <w:p w14:paraId="17ECD74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b/>
                <w:bCs/>
                <w:kern w:val="0"/>
                <w:sz w:val="24"/>
                <w:szCs w:val="24"/>
                <w:lang w:val="en-US" w:eastAsia="zh-CN" w:bidi="ar-SA"/>
              </w:rPr>
            </w:pPr>
            <w:r>
              <w:rPr>
                <w:rFonts w:hint="default" w:ascii="Times New Roman" w:hAnsi="Times New Roman" w:eastAsia="宋体" w:cs="Times New Roman"/>
                <w:sz w:val="24"/>
                <w:szCs w:val="22"/>
              </w:rPr>
              <w:t>由上表可知：评价区域其他污染物中</w:t>
            </w:r>
            <w:r>
              <w:rPr>
                <w:rFonts w:hint="default" w:ascii="Times New Roman" w:hAnsi="Times New Roman" w:eastAsia="宋体" w:cs="Times New Roman"/>
                <w:sz w:val="24"/>
              </w:rPr>
              <w:t>非甲烷总烃浓度能满足《大气污染物综合排放标准详解》中相关标准限值</w:t>
            </w:r>
            <w:r>
              <w:rPr>
                <w:rFonts w:hint="eastAsia" w:ascii="Times New Roman" w:hAnsi="Times New Roman" w:cs="Times New Roman"/>
                <w:sz w:val="24"/>
                <w:lang w:eastAsia="zh-CN"/>
              </w:rPr>
              <w:t>，</w:t>
            </w:r>
            <w:r>
              <w:rPr>
                <w:rFonts w:hint="default" w:ascii="Times New Roman" w:hAnsi="Times New Roman" w:eastAsia="宋体" w:cs="Times New Roman"/>
                <w:color w:val="000000"/>
                <w:spacing w:val="0"/>
                <w:w w:val="100"/>
                <w:position w:val="0"/>
                <w:sz w:val="24"/>
                <w:szCs w:val="24"/>
                <w:u w:val="none"/>
                <w:shd w:val="clear" w:color="auto" w:fill="auto"/>
                <w:lang w:val="zh-TW" w:eastAsia="zh-TW" w:bidi="zh-TW"/>
              </w:rPr>
              <w:t>氨气、硫化氢满足《环境影响评价</w:t>
            </w:r>
            <w:r>
              <w:rPr>
                <w:rFonts w:hint="eastAsia" w:ascii="Times New Roman" w:hAnsi="Times New Roman" w:cs="Times New Roman"/>
                <w:color w:val="000000"/>
                <w:spacing w:val="0"/>
                <w:w w:val="100"/>
                <w:position w:val="0"/>
                <w:sz w:val="24"/>
                <w:szCs w:val="24"/>
                <w:u w:val="none"/>
                <w:shd w:val="clear" w:color="auto" w:fill="auto"/>
                <w:lang w:val="en-US" w:eastAsia="zh-CN" w:bidi="zh-TW"/>
              </w:rPr>
              <w:t>技术</w:t>
            </w:r>
            <w:r>
              <w:rPr>
                <w:rFonts w:hint="default" w:ascii="Times New Roman" w:hAnsi="Times New Roman" w:eastAsia="宋体" w:cs="Times New Roman"/>
                <w:color w:val="000000"/>
                <w:spacing w:val="0"/>
                <w:w w:val="100"/>
                <w:position w:val="0"/>
                <w:sz w:val="24"/>
                <w:szCs w:val="24"/>
                <w:u w:val="none"/>
                <w:shd w:val="clear" w:color="auto" w:fill="auto"/>
                <w:lang w:val="zh-TW" w:eastAsia="zh-TW" w:bidi="zh-TW"/>
              </w:rPr>
              <w:t>导则大气环境》</w:t>
            </w:r>
            <w:r>
              <w:rPr>
                <w:rFonts w:hint="default" w:ascii="Times New Roman" w:hAnsi="Times New Roman" w:eastAsia="宋体" w:cs="Times New Roman"/>
                <w:color w:val="000000"/>
                <w:spacing w:val="0"/>
                <w:w w:val="100"/>
                <w:position w:val="0"/>
                <w:sz w:val="24"/>
                <w:szCs w:val="24"/>
                <w:u w:val="none"/>
                <w:shd w:val="clear" w:color="auto" w:fill="auto"/>
                <w:lang w:val="en-US" w:eastAsia="en-US" w:bidi="en-US"/>
              </w:rPr>
              <w:t>（HJ2.2-2018）</w:t>
            </w:r>
            <w:r>
              <w:rPr>
                <w:rFonts w:hint="default" w:ascii="Times New Roman" w:hAnsi="Times New Roman" w:eastAsia="宋体" w:cs="Times New Roman"/>
                <w:color w:val="000000"/>
                <w:spacing w:val="0"/>
                <w:w w:val="100"/>
                <w:position w:val="0"/>
                <w:sz w:val="24"/>
                <w:szCs w:val="24"/>
                <w:u w:val="none"/>
                <w:shd w:val="clear" w:color="auto" w:fill="auto"/>
                <w:lang w:val="zh-TW" w:eastAsia="zh-TW" w:bidi="zh-TW"/>
              </w:rPr>
              <w:t>附录</w:t>
            </w:r>
            <w:r>
              <w:rPr>
                <w:rFonts w:hint="default" w:ascii="Times New Roman" w:hAnsi="Times New Roman" w:eastAsia="宋体" w:cs="Times New Roman"/>
                <w:color w:val="000000"/>
                <w:spacing w:val="0"/>
                <w:w w:val="100"/>
                <w:position w:val="0"/>
                <w:sz w:val="24"/>
                <w:szCs w:val="24"/>
                <w:u w:val="none"/>
                <w:shd w:val="clear" w:color="auto" w:fill="auto"/>
                <w:lang w:val="en-US" w:eastAsia="en-US" w:bidi="en-US"/>
              </w:rPr>
              <w:t>D</w:t>
            </w:r>
            <w:r>
              <w:rPr>
                <w:rFonts w:hint="default" w:ascii="Times New Roman" w:hAnsi="Times New Roman" w:eastAsia="宋体" w:cs="Times New Roman"/>
                <w:sz w:val="24"/>
                <w:szCs w:val="24"/>
                <w:lang w:val="en-US"/>
              </w:rPr>
              <w:t>表D.1中</w:t>
            </w:r>
            <w:r>
              <w:rPr>
                <w:rFonts w:hint="default" w:ascii="Times New Roman" w:hAnsi="Times New Roman" w:eastAsia="宋体" w:cs="Times New Roman"/>
                <w:color w:val="000000"/>
                <w:spacing w:val="0"/>
                <w:w w:val="100"/>
                <w:position w:val="0"/>
                <w:sz w:val="24"/>
                <w:szCs w:val="24"/>
                <w:u w:val="none"/>
                <w:shd w:val="clear" w:color="auto" w:fill="auto"/>
                <w:lang w:val="zh-TW" w:eastAsia="zh-TW" w:bidi="zh-TW"/>
              </w:rPr>
              <w:t>浓度限值</w:t>
            </w:r>
            <w:r>
              <w:rPr>
                <w:rFonts w:hint="eastAsia" w:cs="Times New Roman"/>
                <w:color w:val="000000"/>
                <w:spacing w:val="0"/>
                <w:w w:val="100"/>
                <w:position w:val="0"/>
                <w:sz w:val="24"/>
                <w:szCs w:val="24"/>
                <w:u w:val="none"/>
                <w:shd w:val="clear" w:color="auto" w:fill="auto"/>
                <w:lang w:val="zh-TW" w:eastAsia="zh-CN" w:bidi="zh-TW"/>
              </w:rPr>
              <w:t>，</w:t>
            </w:r>
            <w:r>
              <w:rPr>
                <w:rFonts w:hint="eastAsia" w:cs="Times New Roman"/>
                <w:color w:val="000000"/>
                <w:spacing w:val="0"/>
                <w:w w:val="100"/>
                <w:position w:val="0"/>
                <w:sz w:val="24"/>
                <w:szCs w:val="24"/>
                <w:u w:val="none"/>
                <w:shd w:val="clear" w:color="auto" w:fill="auto"/>
                <w:lang w:val="en-US" w:eastAsia="zh-CN" w:bidi="zh-TW"/>
              </w:rPr>
              <w:t>TSP超标，不能满足</w:t>
            </w:r>
            <w:r>
              <w:rPr>
                <w:rFonts w:hint="default" w:ascii="Times New Roman" w:hAnsi="Times New Roman" w:eastAsia="宋体" w:cs="Times New Roman"/>
                <w:sz w:val="24"/>
              </w:rPr>
              <w:t>《环境空气质量标准》（</w:t>
            </w:r>
            <w:r>
              <w:rPr>
                <w:rFonts w:hint="eastAsia" w:cs="Times New Roman"/>
                <w:sz w:val="24"/>
                <w:lang w:eastAsia="zh-CN"/>
              </w:rPr>
              <w:t>GB3095-2026</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二级标准，环境质量现状监测期间轮台县靠近沙漠，且处于大风天气，沙尘扩散严重，故TSP未能达标</w:t>
            </w:r>
            <w:r>
              <w:rPr>
                <w:rFonts w:hint="eastAsia" w:ascii="Times New Roman" w:hAnsi="Times New Roman" w:cs="Times New Roman"/>
                <w:color w:val="000000"/>
                <w:spacing w:val="0"/>
                <w:w w:val="100"/>
                <w:position w:val="0"/>
                <w:sz w:val="24"/>
                <w:szCs w:val="24"/>
                <w:u w:val="none"/>
                <w:shd w:val="clear" w:color="auto" w:fill="auto"/>
                <w:lang w:val="zh-TW" w:eastAsia="zh-CN" w:bidi="zh-TW"/>
              </w:rPr>
              <w:t>。</w:t>
            </w:r>
          </w:p>
          <w:p w14:paraId="002DAC7C">
            <w:pPr>
              <w:keepNext w:val="0"/>
              <w:keepLines w:val="0"/>
              <w:pageBreakBefore w:val="0"/>
              <w:widowControl/>
              <w:kinsoku/>
              <w:wordWrap/>
              <w:overflowPunct/>
              <w:topLinePunct w:val="0"/>
              <w:autoSpaceDE/>
              <w:autoSpaceDN/>
              <w:bidi w:val="0"/>
              <w:adjustRightInd/>
              <w:snapToGrid w:val="0"/>
              <w:spacing w:after="0" w:line="360" w:lineRule="auto"/>
              <w:ind w:right="0"/>
              <w:jc w:val="both"/>
              <w:textAlignment w:val="auto"/>
              <w:rPr>
                <w:rFonts w:hint="default" w:ascii="Times New Roman" w:hAnsi="Times New Roman" w:eastAsia="宋体" w:cs="Times New Roman"/>
                <w:b/>
                <w:bCs/>
                <w:kern w:val="0"/>
                <w:sz w:val="24"/>
                <w:szCs w:val="24"/>
                <w:lang w:val="en-US" w:eastAsia="zh-CN" w:bidi="ar-SA"/>
              </w:rPr>
            </w:pPr>
            <w:r>
              <w:rPr>
                <w:rFonts w:hint="eastAsia" w:cs="Times New Roman"/>
                <w:b/>
                <w:bCs/>
                <w:kern w:val="0"/>
                <w:sz w:val="24"/>
                <w:szCs w:val="24"/>
                <w:lang w:val="en-US" w:eastAsia="zh-CN" w:bidi="ar-SA"/>
              </w:rPr>
              <w:t>2 地表水质量现状</w:t>
            </w:r>
          </w:p>
          <w:p w14:paraId="1DDE7487">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Cs/>
                <w:sz w:val="24"/>
                <w:lang w:val="en-US" w:eastAsia="zh-CN"/>
              </w:rPr>
              <w:t>本项目所在区域主要河流为克其克亚沟，其流域为迪那河分支流域，根据《中国新疆水环境功能区划》迪那河水功能区</w:t>
            </w:r>
            <w:r>
              <w:rPr>
                <w:rFonts w:hint="eastAsia" w:cs="Times New Roman"/>
                <w:bCs/>
                <w:sz w:val="24"/>
                <w:lang w:val="en-US" w:eastAsia="zh-CN"/>
              </w:rPr>
              <w:t>为</w:t>
            </w:r>
            <w:r>
              <w:rPr>
                <w:rFonts w:hint="default" w:ascii="Times New Roman" w:hAnsi="Times New Roman" w:cs="Times New Roman"/>
                <w:bCs/>
                <w:sz w:val="24"/>
                <w:lang w:val="en-US" w:eastAsia="zh-CN"/>
              </w:rPr>
              <w:t>Ⅲ类，根据</w:t>
            </w:r>
            <w:r>
              <w:rPr>
                <w:rFonts w:hint="default" w:ascii="Times New Roman" w:hAnsi="Times New Roman" w:cs="Times New Roman"/>
                <w:bCs/>
                <w:sz w:val="24"/>
                <w:lang w:eastAsia="zh-CN"/>
              </w:rPr>
              <w:t>《20</w:t>
            </w:r>
            <w:r>
              <w:rPr>
                <w:rFonts w:hint="default" w:ascii="Times New Roman" w:hAnsi="Times New Roman" w:cs="Times New Roman"/>
                <w:bCs/>
                <w:sz w:val="24"/>
                <w:lang w:val="en-US" w:eastAsia="zh-CN"/>
              </w:rPr>
              <w:t>24</w:t>
            </w:r>
            <w:r>
              <w:rPr>
                <w:rFonts w:hint="default" w:ascii="Times New Roman" w:hAnsi="Times New Roman" w:cs="Times New Roman"/>
                <w:bCs/>
                <w:sz w:val="24"/>
                <w:lang w:eastAsia="zh-CN"/>
              </w:rPr>
              <w:t>年巴音郭楞蒙古自治州生态环境状况公报》，</w:t>
            </w:r>
            <w:r>
              <w:rPr>
                <w:rFonts w:hint="default" w:ascii="Times New Roman" w:hAnsi="Times New Roman" w:eastAsia="宋体" w:cs="Times New Roman"/>
                <w:sz w:val="24"/>
                <w:szCs w:val="24"/>
              </w:rPr>
              <w:t>地表水31个考核断面中Ⅰ–Ⅲ类占90.3%；6条主要河19个断面优良率100%；3个湖库12个点位优良率75%，无劣Ⅴ类</w:t>
            </w:r>
            <w:r>
              <w:rPr>
                <w:rFonts w:hint="eastAsia" w:cs="Times New Roman"/>
                <w:sz w:val="24"/>
                <w:szCs w:val="24"/>
                <w:lang w:eastAsia="zh-CN"/>
              </w:rPr>
              <w:t>，</w:t>
            </w:r>
            <w:r>
              <w:rPr>
                <w:rFonts w:hint="default" w:ascii="Times New Roman" w:hAnsi="Times New Roman" w:cs="Times New Roman"/>
                <w:bCs/>
                <w:sz w:val="24"/>
                <w:lang w:val="en-US" w:eastAsia="zh-CN"/>
              </w:rPr>
              <w:t>克其克亚沟</w:t>
            </w:r>
            <w:r>
              <w:rPr>
                <w:rFonts w:hint="eastAsia" w:ascii="Times New Roman" w:hAnsi="Times New Roman" w:cs="Times New Roman"/>
                <w:bCs/>
                <w:sz w:val="24"/>
                <w:lang w:val="en-US" w:eastAsia="zh-CN"/>
              </w:rPr>
              <w:t>水质可以满足</w:t>
            </w:r>
            <w:r>
              <w:rPr>
                <w:rFonts w:hint="default" w:ascii="Times New Roman" w:hAnsi="Times New Roman" w:cs="Times New Roman"/>
                <w:bCs/>
                <w:sz w:val="24"/>
                <w:lang w:val="en-US" w:eastAsia="zh-CN"/>
              </w:rPr>
              <w:t>水功能区位Ⅲ类</w:t>
            </w:r>
            <w:r>
              <w:rPr>
                <w:rFonts w:hint="eastAsia" w:ascii="Times New Roman" w:hAnsi="Times New Roman" w:cs="Times New Roman"/>
                <w:bCs/>
                <w:sz w:val="24"/>
                <w:lang w:val="en-US" w:eastAsia="zh-CN"/>
              </w:rPr>
              <w:t>标准</w:t>
            </w:r>
            <w:r>
              <w:rPr>
                <w:rFonts w:hint="default" w:ascii="Times New Roman" w:hAnsi="Times New Roman" w:cs="Times New Roman"/>
                <w:bCs/>
                <w:sz w:val="24"/>
                <w:lang w:eastAsia="zh-CN"/>
              </w:rPr>
              <w:t>。</w:t>
            </w:r>
          </w:p>
          <w:p w14:paraId="2BE9F7B9">
            <w:pPr>
              <w:keepNext w:val="0"/>
              <w:keepLines w:val="0"/>
              <w:pageBreakBefore w:val="0"/>
              <w:widowControl/>
              <w:kinsoku/>
              <w:wordWrap/>
              <w:overflowPunct/>
              <w:topLinePunct w:val="0"/>
              <w:autoSpaceDE/>
              <w:autoSpaceDN/>
              <w:bidi w:val="0"/>
              <w:adjustRightInd/>
              <w:snapToGrid w:val="0"/>
              <w:spacing w:after="0" w:line="360" w:lineRule="auto"/>
              <w:ind w:right="0"/>
              <w:jc w:val="both"/>
              <w:textAlignment w:val="auto"/>
              <w:rPr>
                <w:rFonts w:ascii="Times New Roman" w:hAnsi="Times New Roman" w:eastAsia="宋体" w:cs="Times New Roman"/>
                <w:kern w:val="0"/>
                <w:sz w:val="24"/>
                <w:szCs w:val="24"/>
                <w:lang w:val="en-US" w:eastAsia="zh-CN" w:bidi="ar-SA"/>
              </w:rPr>
            </w:pPr>
            <w:r>
              <w:rPr>
                <w:rFonts w:hint="eastAsia" w:cs="Times New Roman"/>
                <w:b/>
                <w:bCs/>
                <w:kern w:val="0"/>
                <w:sz w:val="24"/>
                <w:szCs w:val="24"/>
                <w:lang w:val="en-US" w:eastAsia="zh-CN" w:bidi="ar-SA"/>
              </w:rPr>
              <w:t>3 地下水</w:t>
            </w:r>
            <w:r>
              <w:rPr>
                <w:rFonts w:hint="default" w:ascii="Times New Roman" w:hAnsi="Times New Roman" w:eastAsia="宋体" w:cs="Times New Roman"/>
                <w:b/>
                <w:bCs/>
                <w:kern w:val="0"/>
                <w:sz w:val="24"/>
                <w:szCs w:val="24"/>
                <w:lang w:val="en-US" w:eastAsia="zh-CN" w:bidi="ar-SA"/>
              </w:rPr>
              <w:t>水环境质量现状</w:t>
            </w:r>
          </w:p>
          <w:p w14:paraId="0238EF12">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根据《环境影响评价技术导则地下水环境》（HJ610-2016)</w:t>
            </w: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属于“N、轻工”中植物油加工，属于</w:t>
            </w:r>
            <w:r>
              <w:rPr>
                <w:rFonts w:hint="default" w:ascii="Times New Roman" w:hAnsi="Times New Roman" w:cs="Times New Roman"/>
                <w:color w:val="000000"/>
                <w:sz w:val="24"/>
                <w:szCs w:val="24"/>
              </w:rPr>
              <w:t>Ⅳ</w:t>
            </w:r>
            <w:r>
              <w:rPr>
                <w:rFonts w:hint="eastAsia" w:ascii="Times New Roman" w:hAnsi="Times New Roman" w:cs="Times New Roman"/>
                <w:color w:val="000000"/>
                <w:sz w:val="24"/>
                <w:szCs w:val="24"/>
                <w:lang w:val="en-US" w:eastAsia="zh-CN"/>
              </w:rPr>
              <w:t>类项目，</w:t>
            </w:r>
            <w:r>
              <w:rPr>
                <w:rFonts w:hint="default" w:ascii="Times New Roman" w:hAnsi="Times New Roman" w:eastAsia="宋体" w:cs="Times New Roman"/>
                <w:sz w:val="24"/>
                <w:szCs w:val="24"/>
                <w:lang w:val="en-US" w:eastAsia="zh-CN"/>
              </w:rPr>
              <w:t>不涉及</w:t>
            </w:r>
            <w:r>
              <w:rPr>
                <w:rFonts w:hint="eastAsia" w:cs="Times New Roman"/>
                <w:sz w:val="24"/>
                <w:szCs w:val="24"/>
                <w:lang w:val="en-US" w:eastAsia="zh-CN"/>
              </w:rPr>
              <w:t>地下</w:t>
            </w:r>
            <w:r>
              <w:rPr>
                <w:rFonts w:hint="default" w:ascii="Times New Roman" w:hAnsi="Times New Roman" w:eastAsia="宋体" w:cs="Times New Roman"/>
                <w:sz w:val="24"/>
                <w:szCs w:val="24"/>
                <w:lang w:val="en-US" w:eastAsia="zh-CN"/>
              </w:rPr>
              <w:t>水环境专项评价，因此不开展水环境质量现状调查。</w:t>
            </w:r>
          </w:p>
          <w:p w14:paraId="4F8C60DF">
            <w:pPr>
              <w:keepNext w:val="0"/>
              <w:keepLines w:val="0"/>
              <w:pageBreakBefore w:val="0"/>
              <w:widowControl w:val="0"/>
              <w:kinsoku/>
              <w:wordWrap/>
              <w:overflowPunct/>
              <w:topLinePunct w:val="0"/>
              <w:autoSpaceDE/>
              <w:autoSpaceDN/>
              <w:bidi w:val="0"/>
              <w:adjustRightInd/>
              <w:snapToGrid/>
              <w:spacing w:line="360" w:lineRule="auto"/>
              <w:ind w:right="0"/>
              <w:textAlignment w:val="auto"/>
              <w:outlineLvl w:val="0"/>
              <w:rPr>
                <w:rFonts w:hint="eastAsia" w:ascii="宋体" w:hAnsi="宋体" w:cs="宋体"/>
                <w:kern w:val="0"/>
                <w:sz w:val="24"/>
                <w:szCs w:val="24"/>
                <w:highlight w:val="yellow"/>
                <w:lang w:val="en-US" w:eastAsia="zh-CN"/>
              </w:rPr>
            </w:pPr>
            <w:r>
              <w:rPr>
                <w:rFonts w:hint="eastAsia" w:cs="Times New Roman"/>
                <w:b/>
                <w:color w:val="000000"/>
                <w:sz w:val="24"/>
                <w:szCs w:val="24"/>
                <w:lang w:val="en-US" w:eastAsia="zh-CN"/>
              </w:rPr>
              <w:t xml:space="preserve">4 </w:t>
            </w:r>
            <w:r>
              <w:rPr>
                <w:rFonts w:hint="default" w:ascii="Times New Roman" w:hAnsi="Times New Roman" w:eastAsia="宋体" w:cs="Times New Roman"/>
                <w:b/>
                <w:color w:val="000000"/>
                <w:sz w:val="24"/>
                <w:szCs w:val="24"/>
                <w:lang w:val="en-US" w:eastAsia="zh-CN"/>
              </w:rPr>
              <w:t>声环境质量现状</w:t>
            </w:r>
          </w:p>
          <w:p w14:paraId="65BDA5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rPr>
            </w:pPr>
            <w:r>
              <w:rPr>
                <w:rFonts w:hint="eastAsia" w:cs="Times New Roman"/>
                <w:b w:val="0"/>
                <w:bCs/>
                <w:color w:val="auto"/>
                <w:sz w:val="24"/>
                <w:szCs w:val="24"/>
                <w:lang w:val="en-US" w:eastAsia="zh-CN"/>
              </w:rPr>
              <w:t>项目位于红桥工业园园区，</w:t>
            </w:r>
            <w:r>
              <w:rPr>
                <w:rFonts w:hint="default" w:ascii="Times New Roman" w:hAnsi="Times New Roman" w:eastAsia="宋体" w:cs="Times New Roman"/>
                <w:b w:val="0"/>
                <w:bCs/>
                <w:color w:val="auto"/>
                <w:sz w:val="24"/>
                <w:szCs w:val="24"/>
              </w:rPr>
              <w:t>厂界周围50m范围内，无声环境保护目标，因此不开展监测。根</w:t>
            </w:r>
            <w:r>
              <w:rPr>
                <w:rFonts w:hint="default" w:ascii="Times New Roman" w:hAnsi="Times New Roman" w:eastAsia="宋体" w:cs="Times New Roman"/>
                <w:b w:val="0"/>
                <w:bCs/>
                <w:color w:val="auto"/>
                <w:sz w:val="24"/>
                <w:szCs w:val="24"/>
                <w:highlight w:val="none"/>
              </w:rPr>
              <w:t>据</w:t>
            </w:r>
            <w:r>
              <w:rPr>
                <w:rFonts w:hint="default" w:ascii="Times New Roman" w:hAnsi="Times New Roman" w:eastAsia="宋体" w:cs="Times New Roman"/>
                <w:b w:val="0"/>
                <w:bCs/>
                <w:color w:val="auto"/>
                <w:sz w:val="24"/>
                <w:szCs w:val="24"/>
                <w:highlight w:val="none"/>
                <w:lang w:val="en-US" w:eastAsia="zh-CN"/>
              </w:rPr>
              <w:t>《轮台工业园区国土空间专项规划(2024-2035年)环境影响报告书》</w:t>
            </w:r>
            <w:r>
              <w:rPr>
                <w:rFonts w:hint="default" w:ascii="Times New Roman" w:hAnsi="Times New Roman" w:eastAsia="宋体" w:cs="Times New Roman"/>
                <w:b w:val="0"/>
                <w:bCs/>
                <w:color w:val="auto"/>
                <w:sz w:val="24"/>
                <w:szCs w:val="24"/>
                <w:highlight w:val="none"/>
              </w:rPr>
              <w:t>，项目区属于声环境</w:t>
            </w:r>
            <w:r>
              <w:rPr>
                <w:rFonts w:hint="eastAsia"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类功能区。</w:t>
            </w:r>
          </w:p>
          <w:p w14:paraId="0B0C7376">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宋体" w:hAnsi="宋体" w:eastAsia="宋体" w:cs="宋体"/>
                <w:b/>
                <w:bCs/>
                <w:kern w:val="0"/>
                <w:sz w:val="24"/>
                <w:szCs w:val="24"/>
                <w:lang w:val="zh-CN" w:eastAsia="zh-CN" w:bidi="zh-CN"/>
              </w:rPr>
            </w:pPr>
            <w:r>
              <w:rPr>
                <w:rFonts w:hint="eastAsia" w:cs="Times New Roman"/>
                <w:b/>
                <w:bCs/>
                <w:kern w:val="0"/>
                <w:sz w:val="24"/>
                <w:szCs w:val="24"/>
                <w:lang w:val="en-US" w:eastAsia="zh-CN" w:bidi="zh-CN"/>
              </w:rPr>
              <w:t xml:space="preserve">5 </w:t>
            </w:r>
            <w:r>
              <w:rPr>
                <w:rFonts w:hint="default" w:ascii="Times New Roman" w:hAnsi="Times New Roman" w:eastAsia="宋体" w:cs="Times New Roman"/>
                <w:b/>
                <w:bCs/>
                <w:kern w:val="0"/>
                <w:sz w:val="24"/>
                <w:szCs w:val="24"/>
                <w:lang w:val="zh-CN" w:eastAsia="zh-CN" w:bidi="zh-CN"/>
              </w:rPr>
              <w:t>土</w:t>
            </w:r>
            <w:r>
              <w:rPr>
                <w:rFonts w:ascii="宋体" w:hAnsi="宋体" w:eastAsia="宋体" w:cs="宋体"/>
                <w:b/>
                <w:bCs/>
                <w:kern w:val="0"/>
                <w:sz w:val="24"/>
                <w:szCs w:val="24"/>
                <w:lang w:val="zh-CN" w:eastAsia="zh-CN" w:bidi="zh-CN"/>
              </w:rPr>
              <w:t>壤</w:t>
            </w:r>
            <w:r>
              <w:rPr>
                <w:rFonts w:hint="default" w:ascii="Times New Roman" w:hAnsi="Times New Roman" w:eastAsia="宋体" w:cs="Times New Roman"/>
                <w:b/>
                <w:color w:val="000000"/>
                <w:sz w:val="24"/>
                <w:szCs w:val="24"/>
                <w:lang w:val="en-US" w:eastAsia="zh-CN"/>
              </w:rPr>
              <w:t>质量现状</w:t>
            </w:r>
          </w:p>
          <w:p w14:paraId="4159420F">
            <w:pPr>
              <w:keepNext w:val="0"/>
              <w:keepLines w:val="0"/>
              <w:pageBreakBefore w:val="0"/>
              <w:widowControl w:val="0"/>
              <w:tabs>
                <w:tab w:val="left" w:pos="1100"/>
              </w:tabs>
              <w:kinsoku/>
              <w:wordWrap/>
              <w:overflowPunct/>
              <w:topLinePunct w:val="0"/>
              <w:autoSpaceDE/>
              <w:autoSpaceDN/>
              <w:bidi w:val="0"/>
              <w:adjustRightInd/>
              <w:snapToGrid/>
              <w:spacing w:line="360" w:lineRule="auto"/>
              <w:ind w:left="0" w:leftChars="0" w:firstLine="480" w:firstLineChars="200"/>
              <w:textAlignment w:val="auto"/>
              <w:rPr>
                <w:rFonts w:hint="eastAsia"/>
                <w:color w:val="000000"/>
                <w:sz w:val="24"/>
                <w:szCs w:val="24"/>
              </w:rPr>
            </w:pPr>
            <w:r>
              <w:rPr>
                <w:rFonts w:hint="default" w:ascii="Times New Roman" w:hAnsi="Times New Roman" w:cs="Times New Roman"/>
                <w:color w:val="000000"/>
                <w:sz w:val="24"/>
                <w:szCs w:val="24"/>
              </w:rPr>
              <w:t>本项目</w:t>
            </w:r>
            <w:r>
              <w:rPr>
                <w:rFonts w:hint="default" w:ascii="Times New Roman" w:hAnsi="Times New Roman" w:cs="Times New Roman"/>
                <w:color w:val="000000"/>
                <w:sz w:val="24"/>
                <w:szCs w:val="24"/>
                <w:lang w:val="en-US" w:eastAsia="zh-CN"/>
              </w:rPr>
              <w:t>不属于《</w:t>
            </w:r>
            <w:r>
              <w:rPr>
                <w:rFonts w:hint="default" w:ascii="Times New Roman" w:hAnsi="Times New Roman" w:cs="Times New Roman"/>
                <w:color w:val="000000"/>
                <w:sz w:val="24"/>
                <w:szCs w:val="24"/>
              </w:rPr>
              <w:t>环境影响评价技术导则 土壤环境（试行）》（HJ964-2018）</w:t>
            </w:r>
            <w:r>
              <w:rPr>
                <w:rFonts w:hint="default" w:ascii="Times New Roman" w:hAnsi="Times New Roman" w:cs="Times New Roman"/>
                <w:color w:val="000000"/>
                <w:sz w:val="24"/>
                <w:szCs w:val="24"/>
                <w:lang w:val="en-US" w:eastAsia="zh-CN"/>
              </w:rPr>
              <w:t>中“附录A”中的项目</w:t>
            </w:r>
            <w:r>
              <w:rPr>
                <w:rFonts w:hint="default" w:ascii="Times New Roman" w:hAnsi="Times New Roman" w:cs="Times New Roman"/>
                <w:color w:val="000000"/>
                <w:sz w:val="24"/>
                <w:szCs w:val="24"/>
              </w:rPr>
              <w:t>，为污染型Ⅳ类建设项目，</w:t>
            </w:r>
            <w:r>
              <w:rPr>
                <w:rFonts w:hint="eastAsia" w:ascii="Times New Roman" w:hAnsi="Times New Roman" w:cs="Times New Roman"/>
                <w:color w:val="000000"/>
                <w:sz w:val="24"/>
                <w:szCs w:val="24"/>
                <w:lang w:val="en-US" w:eastAsia="zh-CN"/>
              </w:rPr>
              <w:t>且</w:t>
            </w:r>
            <w:r>
              <w:rPr>
                <w:rFonts w:hint="default" w:ascii="Times New Roman" w:hAnsi="Times New Roman" w:cs="Times New Roman"/>
                <w:color w:val="000000"/>
                <w:sz w:val="24"/>
                <w:szCs w:val="24"/>
              </w:rPr>
              <w:t>项目位于</w:t>
            </w:r>
            <w:r>
              <w:rPr>
                <w:rFonts w:hint="default" w:ascii="Times New Roman" w:hAnsi="Times New Roman" w:cs="Times New Roman"/>
                <w:color w:val="000000"/>
                <w:sz w:val="24"/>
                <w:szCs w:val="24"/>
                <w:lang w:val="en-US" w:eastAsia="zh-CN"/>
              </w:rPr>
              <w:t>轮台县经济工业园内</w:t>
            </w:r>
            <w:r>
              <w:rPr>
                <w:rFonts w:hint="default" w:ascii="Times New Roman" w:hAnsi="Times New Roman" w:cs="Times New Roman"/>
                <w:color w:val="000000"/>
                <w:sz w:val="24"/>
                <w:szCs w:val="24"/>
              </w:rPr>
              <w:t>，不属于土壤环境敏感区，可不开展土壤环境现状评价。</w:t>
            </w:r>
          </w:p>
          <w:p w14:paraId="76B9DF1D">
            <w:pPr>
              <w:keepNext w:val="0"/>
              <w:keepLines w:val="0"/>
              <w:pageBreakBefore w:val="0"/>
              <w:widowControl w:val="0"/>
              <w:tabs>
                <w:tab w:val="left" w:pos="110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eastAsia="zh-CN"/>
              </w:rPr>
            </w:pPr>
            <w:r>
              <w:rPr>
                <w:rFonts w:hint="eastAsia" w:cs="Times New Roman"/>
                <w:b/>
                <w:bCs/>
                <w:sz w:val="24"/>
                <w:szCs w:val="24"/>
                <w:lang w:val="en-US" w:eastAsia="zh-CN"/>
              </w:rPr>
              <w:t xml:space="preserve">6 </w:t>
            </w:r>
            <w:r>
              <w:rPr>
                <w:rFonts w:hint="default" w:ascii="Times New Roman" w:hAnsi="Times New Roman" w:eastAsia="宋体" w:cs="Times New Roman"/>
                <w:b/>
                <w:bCs/>
                <w:sz w:val="24"/>
                <w:szCs w:val="24"/>
                <w:lang w:eastAsia="zh-CN"/>
              </w:rPr>
              <w:t>生态环境现状与评价</w:t>
            </w:r>
          </w:p>
          <w:p w14:paraId="67C32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根据《建设项目环境影响报告表编制技术指南（污染影响类）（试行）》，本项目位于园区内，因此</w:t>
            </w:r>
            <w:r>
              <w:rPr>
                <w:rFonts w:hint="eastAsia" w:ascii="Times New Roman" w:hAnsi="Times New Roman" w:eastAsia="宋体" w:cs="Times New Roman"/>
                <w:sz w:val="24"/>
                <w:szCs w:val="24"/>
                <w:lang w:val="en-US" w:eastAsia="zh-CN"/>
              </w:rPr>
              <w:t>可</w:t>
            </w:r>
            <w:r>
              <w:rPr>
                <w:rFonts w:hint="default" w:ascii="Times New Roman" w:hAnsi="Times New Roman" w:eastAsia="宋体" w:cs="Times New Roman"/>
                <w:sz w:val="24"/>
                <w:szCs w:val="24"/>
                <w:lang w:val="en-US" w:eastAsia="zh-CN"/>
              </w:rPr>
              <w:t>不进行生态现状调查</w:t>
            </w:r>
            <w:r>
              <w:rPr>
                <w:rFonts w:hint="eastAsia" w:cs="Times New Roman"/>
                <w:sz w:val="24"/>
                <w:szCs w:val="24"/>
                <w:lang w:val="en-US" w:eastAsia="zh-CN"/>
              </w:rPr>
              <w:t>。</w:t>
            </w:r>
          </w:p>
          <w:p w14:paraId="28DCF4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eastAsia" w:cs="Times New Roman"/>
                <w:b/>
                <w:bCs/>
                <w:kern w:val="2"/>
                <w:sz w:val="24"/>
                <w:szCs w:val="24"/>
                <w:lang w:val="en-US" w:eastAsia="zh-CN" w:bidi="ar-SA"/>
              </w:rPr>
              <w:t xml:space="preserve">7 </w:t>
            </w:r>
            <w:r>
              <w:rPr>
                <w:rFonts w:hint="default" w:ascii="Times New Roman" w:hAnsi="Times New Roman" w:cs="Times New Roman"/>
                <w:b/>
                <w:bCs/>
                <w:sz w:val="24"/>
                <w:szCs w:val="24"/>
                <w:lang w:val="en-US" w:eastAsia="zh-CN"/>
              </w:rPr>
              <w:t>项目区沙化土地现状</w:t>
            </w:r>
          </w:p>
          <w:p w14:paraId="7228D8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Cs w:val="21"/>
                <w:lang w:val="en-US" w:eastAsia="zh-CN"/>
              </w:rPr>
            </w:pPr>
            <w:r>
              <w:rPr>
                <w:rFonts w:hint="default"/>
                <w:sz w:val="24"/>
                <w:szCs w:val="24"/>
                <w:lang w:val="en-US" w:eastAsia="zh-CN"/>
              </w:rPr>
              <w:t>区域防沙治沙工作已实施“塔里木河流域近期综合治理项目中开都河流域近期综合治理项目”，“塔里木河流域近期综合治理项目中开都河流域近期综合治理项目”是在流域节水改造和河道治理的基础上，通过实施退耕封育和荒漠林封育恢复，治理沙化土地，保护和恢复荒漠林草植被，改善流域生态环境建设工程。该项目实施以来，在塔东区累计完成生态建设工程面积9.89万公顷，其中完成退耕封育保护0.81万公顷；荒漠林封育保护7.12万公顷；草地改良保护0.52万公顷。</w:t>
            </w:r>
          </w:p>
        </w:tc>
      </w:tr>
      <w:tr w14:paraId="23013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800" w:type="dxa"/>
            <w:tcBorders>
              <w:tl2br w:val="nil"/>
              <w:tr2bl w:val="nil"/>
            </w:tcBorders>
            <w:noWrap w:val="0"/>
            <w:vAlign w:val="center"/>
          </w:tcPr>
          <w:p w14:paraId="7706DD14">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14:paraId="20040C33">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保护</w:t>
            </w:r>
          </w:p>
          <w:p w14:paraId="38A735E2">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目标</w:t>
            </w:r>
          </w:p>
        </w:tc>
        <w:tc>
          <w:tcPr>
            <w:tcW w:w="8190" w:type="dxa"/>
            <w:tcBorders>
              <w:tl2br w:val="nil"/>
              <w:tr2bl w:val="nil"/>
            </w:tcBorders>
            <w:noWrap w:val="0"/>
            <w:vAlign w:val="center"/>
          </w:tcPr>
          <w:p w14:paraId="0F8C26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rPr>
            </w:pPr>
            <w:r>
              <w:rPr>
                <w:rFonts w:hint="default" w:ascii="Times New Roman" w:hAnsi="Times New Roman" w:eastAsia="宋体" w:cs="Times New Roman"/>
                <w:sz w:val="24"/>
                <w:szCs w:val="24"/>
                <w:lang w:val="en-US" w:eastAsia="zh-CN"/>
              </w:rPr>
              <w:t>本项目厂界外500m范围内不存在自然保护区、风景名胜区、居住区、文化区和农村地区中人群较集中的区域，无大气环境保护目标。项目厂界外50m范围内无声环境保护目标</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地表水北侧8m为</w:t>
            </w:r>
            <w:r>
              <w:rPr>
                <w:rFonts w:hint="default" w:ascii="Times New Roman" w:hAnsi="Times New Roman" w:cs="Times New Roman"/>
                <w:bCs/>
                <w:sz w:val="24"/>
                <w:lang w:val="en-US" w:eastAsia="zh-CN"/>
              </w:rPr>
              <w:t>克其克亚沟</w:t>
            </w:r>
            <w:r>
              <w:rPr>
                <w:rFonts w:hint="eastAsia" w:ascii="Times New Roman" w:hAnsi="Times New Roman" w:cs="Times New Roman"/>
                <w:bCs/>
                <w:sz w:val="24"/>
                <w:lang w:val="en-US" w:eastAsia="zh-CN"/>
              </w:rPr>
              <w:t>，该支流作用以灌溉为主，本项目厂界设有3m高围墙，渠道距离浸出车间较远</w:t>
            </w:r>
            <w:r>
              <w:rPr>
                <w:rFonts w:hint="eastAsia" w:cs="Times New Roman"/>
                <w:bCs/>
                <w:sz w:val="24"/>
                <w:lang w:val="en-US" w:eastAsia="zh-CN"/>
              </w:rPr>
              <w:t>127m，距离预处理车间125m</w:t>
            </w:r>
            <w:r>
              <w:rPr>
                <w:rFonts w:hint="eastAsia" w:ascii="Times New Roman" w:hAnsi="Times New Roman" w:cs="Times New Roman"/>
                <w:bCs/>
                <w:sz w:val="24"/>
                <w:lang w:val="en-US" w:eastAsia="zh-CN"/>
              </w:rPr>
              <w:t>，</w:t>
            </w:r>
            <w:r>
              <w:rPr>
                <w:rFonts w:hint="eastAsia" w:cs="Times New Roman"/>
                <w:bCs/>
                <w:sz w:val="24"/>
                <w:lang w:val="en-US" w:eastAsia="zh-CN"/>
              </w:rPr>
              <w:t>生产期间</w:t>
            </w:r>
            <w:r>
              <w:rPr>
                <w:rFonts w:hint="eastAsia" w:ascii="Times New Roman" w:hAnsi="Times New Roman" w:cs="Times New Roman"/>
                <w:bCs/>
                <w:sz w:val="24"/>
                <w:lang w:val="en-US" w:eastAsia="zh-CN"/>
              </w:rPr>
              <w:t>不会对</w:t>
            </w:r>
            <w:r>
              <w:rPr>
                <w:rFonts w:hint="default" w:ascii="Times New Roman" w:hAnsi="Times New Roman" w:cs="Times New Roman"/>
                <w:bCs/>
                <w:sz w:val="24"/>
                <w:lang w:val="en-US" w:eastAsia="zh-CN"/>
              </w:rPr>
              <w:t>克其克亚沟</w:t>
            </w:r>
            <w:r>
              <w:rPr>
                <w:rFonts w:hint="eastAsia" w:ascii="Times New Roman" w:hAnsi="Times New Roman" w:cs="Times New Roman"/>
                <w:bCs/>
                <w:sz w:val="24"/>
                <w:lang w:val="en-US" w:eastAsia="zh-CN"/>
              </w:rPr>
              <w:t>造成不良影响。</w:t>
            </w:r>
          </w:p>
        </w:tc>
      </w:tr>
      <w:tr w14:paraId="71BD2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3" w:hRule="atLeast"/>
          <w:jc w:val="center"/>
        </w:trPr>
        <w:tc>
          <w:tcPr>
            <w:tcW w:w="800" w:type="dxa"/>
            <w:tcBorders>
              <w:tl2br w:val="nil"/>
              <w:tr2bl w:val="nil"/>
            </w:tcBorders>
            <w:noWrap w:val="0"/>
            <w:tcMar>
              <w:left w:w="28" w:type="dxa"/>
              <w:right w:w="28" w:type="dxa"/>
            </w:tcMar>
            <w:vAlign w:val="center"/>
          </w:tcPr>
          <w:p w14:paraId="731CDD27">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污染</w:t>
            </w:r>
          </w:p>
          <w:p w14:paraId="09DDF87F">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物排</w:t>
            </w:r>
          </w:p>
          <w:p w14:paraId="4C07FC35">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放控</w:t>
            </w:r>
          </w:p>
          <w:p w14:paraId="6DE60FF0">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制标</w:t>
            </w:r>
          </w:p>
          <w:p w14:paraId="4477B01C">
            <w:pPr>
              <w:adjustRightInd w:val="0"/>
              <w:snapToGrid w:val="0"/>
              <w:jc w:val="center"/>
              <w:rPr>
                <w:rFonts w:ascii="宋体" w:hAnsi="宋体" w:cs="宋体"/>
                <w:b/>
                <w:bCs/>
                <w:kern w:val="0"/>
                <w:sz w:val="24"/>
                <w:szCs w:val="24"/>
              </w:rPr>
            </w:pPr>
            <w:r>
              <w:rPr>
                <w:rFonts w:hint="eastAsia" w:ascii="宋体" w:hAnsi="宋体" w:cs="宋体"/>
                <w:b/>
                <w:bCs/>
                <w:kern w:val="0"/>
                <w:sz w:val="24"/>
                <w:szCs w:val="24"/>
              </w:rPr>
              <w:t>准</w:t>
            </w:r>
          </w:p>
        </w:tc>
        <w:tc>
          <w:tcPr>
            <w:tcW w:w="8190" w:type="dxa"/>
            <w:tcBorders>
              <w:tl2br w:val="nil"/>
              <w:tr2bl w:val="nil"/>
            </w:tcBorders>
            <w:noWrap w:val="0"/>
            <w:vAlign w:val="center"/>
          </w:tcPr>
          <w:p w14:paraId="0562879A">
            <w:pPr>
              <w:keepNext w:val="0"/>
              <w:keepLines w:val="0"/>
              <w:pageBreakBefore w:val="0"/>
              <w:widowControl w:val="0"/>
              <w:tabs>
                <w:tab w:val="left" w:pos="1100"/>
              </w:tabs>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 污染物排放标准</w:t>
            </w:r>
          </w:p>
          <w:p w14:paraId="2CC0FB7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bCs/>
                <w:color w:val="000000"/>
                <w:kern w:val="0"/>
                <w:sz w:val="24"/>
                <w:szCs w:val="24"/>
              </w:rPr>
            </w:pPr>
            <w:r>
              <w:rPr>
                <w:rFonts w:hint="default" w:ascii="Times New Roman" w:hAnsi="Times New Roman" w:eastAsia="宋体" w:cs="Times New Roman"/>
                <w:color w:val="000000"/>
                <w:kern w:val="0"/>
                <w:sz w:val="24"/>
                <w:szCs w:val="24"/>
              </w:rPr>
              <w:t>本项目废气污染物主要</w:t>
            </w:r>
            <w:r>
              <w:rPr>
                <w:rFonts w:hint="eastAsia" w:ascii="Times New Roman" w:hAnsi="Times New Roman" w:eastAsia="宋体" w:cs="Times New Roman"/>
                <w:color w:val="000000"/>
                <w:kern w:val="0"/>
                <w:sz w:val="24"/>
                <w:szCs w:val="24"/>
                <w:lang w:val="en-US" w:eastAsia="zh-CN"/>
              </w:rPr>
              <w:t>为颗粒物、臭气浓度</w:t>
            </w:r>
            <w:r>
              <w:rPr>
                <w:rFonts w:hint="eastAsia" w:cs="Times New Roman"/>
                <w:color w:val="000000"/>
                <w:kern w:val="0"/>
                <w:sz w:val="24"/>
                <w:szCs w:val="24"/>
                <w:lang w:val="en-US" w:eastAsia="zh-CN"/>
              </w:rPr>
              <w:t>、氨、硫化氢</w:t>
            </w:r>
            <w:r>
              <w:rPr>
                <w:rFonts w:hint="default" w:ascii="Times New Roman" w:hAnsi="Times New Roman" w:eastAsia="宋体" w:cs="Times New Roman"/>
                <w:color w:val="000000"/>
                <w:kern w:val="0"/>
                <w:sz w:val="24"/>
                <w:szCs w:val="24"/>
              </w:rPr>
              <w:t>，</w:t>
            </w:r>
            <w:r>
              <w:rPr>
                <w:rFonts w:hint="eastAsia" w:cs="Times New Roman"/>
                <w:color w:val="000000"/>
                <w:sz w:val="24"/>
                <w:szCs w:val="24"/>
                <w:lang w:val="en-US" w:eastAsia="zh-CN"/>
              </w:rPr>
              <w:t>颗粒物</w:t>
            </w:r>
            <w:r>
              <w:rPr>
                <w:rFonts w:hint="default" w:ascii="Times New Roman" w:hAnsi="Times New Roman" w:eastAsia="宋体" w:cs="Times New Roman"/>
                <w:color w:val="000000"/>
                <w:sz w:val="24"/>
                <w:szCs w:val="24"/>
              </w:rPr>
              <w:t>排放浓度执行《大气污染物综合排放标准》（GB16297-1996）表2中颗粒物</w:t>
            </w:r>
            <w:r>
              <w:rPr>
                <w:rFonts w:hint="default" w:ascii="Times New Roman" w:hAnsi="Times New Roman" w:eastAsia="宋体" w:cs="Times New Roman"/>
                <w:color w:val="000000"/>
                <w:sz w:val="24"/>
                <w:szCs w:val="24"/>
                <w:lang w:val="en-US" w:eastAsia="zh-CN"/>
              </w:rPr>
              <w:t>有</w:t>
            </w:r>
            <w:r>
              <w:rPr>
                <w:rFonts w:hint="default" w:ascii="Times New Roman" w:hAnsi="Times New Roman" w:eastAsia="宋体" w:cs="Times New Roman"/>
                <w:color w:val="000000"/>
                <w:sz w:val="24"/>
                <w:szCs w:val="24"/>
              </w:rPr>
              <w:t>组织排放限值</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kern w:val="0"/>
                <w:sz w:val="24"/>
                <w:szCs w:val="24"/>
                <w:lang w:val="en-US" w:eastAsia="zh-CN"/>
              </w:rPr>
              <w:t>臭气浓度</w:t>
            </w:r>
            <w:r>
              <w:rPr>
                <w:rFonts w:hint="eastAsia" w:cs="Times New Roman"/>
                <w:color w:val="000000"/>
                <w:kern w:val="0"/>
                <w:sz w:val="24"/>
                <w:szCs w:val="24"/>
                <w:lang w:val="en-US" w:eastAsia="zh-CN"/>
              </w:rPr>
              <w:t>、氨、硫化氢执行</w:t>
            </w:r>
            <w:r>
              <w:rPr>
                <w:rFonts w:hint="eastAsia" w:ascii="Times New Roman" w:hAnsi="Times New Roman" w:eastAsia="宋体" w:cs="Times New Roman"/>
                <w:color w:val="000000"/>
                <w:sz w:val="24"/>
                <w:szCs w:val="24"/>
                <w:lang w:val="en-US" w:eastAsia="zh-CN"/>
              </w:rPr>
              <w:t>恶臭污染物排放标准（GB14554-93）</w:t>
            </w:r>
            <w:r>
              <w:rPr>
                <w:rFonts w:hint="default" w:ascii="Times New Roman" w:hAnsi="Times New Roman" w:eastAsia="宋体" w:cs="Times New Roman"/>
                <w:sz w:val="24"/>
                <w:szCs w:val="24"/>
                <w:lang w:val="en-US" w:eastAsia="zh-CN"/>
              </w:rPr>
              <w:t>具体见表</w:t>
            </w:r>
            <w:r>
              <w:rPr>
                <w:rFonts w:hint="eastAsia" w:cs="Times New Roman"/>
                <w:sz w:val="24"/>
                <w:szCs w:val="24"/>
                <w:lang w:val="en-US" w:eastAsia="zh-CN"/>
              </w:rPr>
              <w:t>3-5、3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6</w:t>
            </w:r>
            <w:r>
              <w:rPr>
                <w:rFonts w:hint="eastAsia" w:ascii="Times New Roman" w:hAnsi="Times New Roman" w:eastAsia="宋体" w:cs="Times New Roman"/>
                <w:sz w:val="24"/>
                <w:lang w:val="en-US" w:eastAsia="zh-CN"/>
              </w:rPr>
              <w:t>。</w:t>
            </w:r>
          </w:p>
          <w:p w14:paraId="686AD19F">
            <w:pPr>
              <w:keepNext w:val="0"/>
              <w:keepLines w:val="0"/>
              <w:pageBreakBefore w:val="0"/>
              <w:widowControl w:val="0"/>
              <w:kinsoku/>
              <w:wordWrap/>
              <w:overflowPunct/>
              <w:topLinePunct w:val="0"/>
              <w:autoSpaceDE/>
              <w:autoSpaceDN/>
              <w:bidi w:val="0"/>
              <w:adjustRightInd/>
              <w:snapToGrid w:val="0"/>
              <w:spacing w:line="240" w:lineRule="auto"/>
              <w:ind w:firstLine="420"/>
              <w:jc w:val="center"/>
              <w:textAlignment w:val="auto"/>
              <w:rPr>
                <w:rFonts w:hint="eastAsia" w:ascii="黑体" w:hAnsi="黑体" w:eastAsia="黑体" w:cs="黑体"/>
                <w:b w:val="0"/>
                <w:bCs/>
                <w:color w:val="000000"/>
                <w:kern w:val="0"/>
                <w:sz w:val="21"/>
                <w:szCs w:val="21"/>
                <w:lang w:val="en-US" w:eastAsia="zh-CN" w:bidi="ar-SA"/>
              </w:rPr>
            </w:pPr>
            <w:r>
              <w:rPr>
                <w:rFonts w:hint="eastAsia" w:ascii="黑体" w:hAnsi="黑体" w:eastAsia="黑体" w:cs="黑体"/>
                <w:b w:val="0"/>
                <w:bCs/>
                <w:color w:val="000000"/>
                <w:kern w:val="0"/>
                <w:sz w:val="21"/>
                <w:szCs w:val="21"/>
                <w:lang w:val="en-US" w:eastAsia="zh-CN" w:bidi="ar-SA"/>
              </w:rPr>
              <w:t>表3-5   大气污染物综合排放标准（GB16297-1996）</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124"/>
              <w:gridCol w:w="2023"/>
              <w:gridCol w:w="1164"/>
              <w:gridCol w:w="2330"/>
            </w:tblGrid>
            <w:tr w14:paraId="0C763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826" w:type="pct"/>
                  <w:vMerge w:val="restart"/>
                  <w:tcBorders>
                    <w:tl2br w:val="nil"/>
                    <w:tr2bl w:val="nil"/>
                  </w:tcBorders>
                  <w:noWrap w:val="0"/>
                  <w:vAlign w:val="center"/>
                </w:tcPr>
                <w:p w14:paraId="5B15A8E2">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706" w:type="pct"/>
                  <w:vMerge w:val="restart"/>
                  <w:tcBorders>
                    <w:tl2br w:val="nil"/>
                    <w:tr2bl w:val="nil"/>
                  </w:tcBorders>
                  <w:noWrap w:val="0"/>
                  <w:vAlign w:val="center"/>
                </w:tcPr>
                <w:p w14:paraId="5419B773">
                  <w:pPr>
                    <w:adjustRightInd w:val="0"/>
                    <w:snapToGrid w:val="0"/>
                    <w:spacing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最高</w:t>
                  </w:r>
                  <w:r>
                    <w:rPr>
                      <w:rFonts w:hint="default" w:ascii="Times New Roman" w:hAnsi="Times New Roman" w:eastAsia="宋体" w:cs="Times New Roman"/>
                      <w:color w:val="000000"/>
                      <w:sz w:val="21"/>
                      <w:szCs w:val="21"/>
                    </w:rPr>
                    <w:t>浓度mg/m</w:t>
                  </w:r>
                  <w:r>
                    <w:rPr>
                      <w:rFonts w:hint="default" w:ascii="Times New Roman" w:hAnsi="Times New Roman" w:eastAsia="宋体" w:cs="Times New Roman"/>
                      <w:color w:val="000000"/>
                      <w:sz w:val="21"/>
                      <w:szCs w:val="21"/>
                      <w:vertAlign w:val="superscript"/>
                    </w:rPr>
                    <w:t>3</w:t>
                  </w:r>
                </w:p>
              </w:tc>
              <w:tc>
                <w:tcPr>
                  <w:tcW w:w="2002" w:type="pct"/>
                  <w:gridSpan w:val="2"/>
                  <w:tcBorders>
                    <w:tl2br w:val="nil"/>
                    <w:tr2bl w:val="nil"/>
                  </w:tcBorders>
                  <w:noWrap w:val="0"/>
                  <w:vAlign w:val="center"/>
                </w:tcPr>
                <w:p w14:paraId="35F9CA80">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最高允许排放速率（kg/h）</w:t>
                  </w:r>
                </w:p>
              </w:tc>
              <w:tc>
                <w:tcPr>
                  <w:tcW w:w="1464" w:type="pct"/>
                  <w:tcBorders>
                    <w:tl2br w:val="nil"/>
                    <w:tr2bl w:val="nil"/>
                  </w:tcBorders>
                  <w:noWrap w:val="0"/>
                  <w:vAlign w:val="center"/>
                </w:tcPr>
                <w:p w14:paraId="38531F0C">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无组织排放监控浓</w:t>
                  </w:r>
                </w:p>
                <w:p w14:paraId="00D0C0BF">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度限值mg/m</w:t>
                  </w:r>
                  <w:r>
                    <w:rPr>
                      <w:rFonts w:hint="default" w:ascii="Times New Roman" w:hAnsi="Times New Roman" w:eastAsia="宋体" w:cs="Times New Roman"/>
                      <w:color w:val="000000"/>
                      <w:sz w:val="21"/>
                      <w:szCs w:val="21"/>
                      <w:vertAlign w:val="superscript"/>
                      <w:lang w:val="en-US" w:eastAsia="zh-CN"/>
                    </w:rPr>
                    <w:t>3</w:t>
                  </w:r>
                </w:p>
              </w:tc>
            </w:tr>
            <w:tr w14:paraId="29727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26" w:type="pct"/>
                  <w:vMerge w:val="continue"/>
                  <w:tcBorders>
                    <w:tl2br w:val="nil"/>
                    <w:tr2bl w:val="nil"/>
                  </w:tcBorders>
                  <w:noWrap w:val="0"/>
                  <w:vAlign w:val="center"/>
                </w:tcPr>
                <w:p w14:paraId="24415203">
                  <w:pPr>
                    <w:adjustRightInd w:val="0"/>
                    <w:snapToGrid w:val="0"/>
                    <w:spacing w:line="240" w:lineRule="auto"/>
                    <w:ind w:firstLine="420"/>
                    <w:jc w:val="center"/>
                    <w:rPr>
                      <w:rFonts w:hint="default" w:ascii="Times New Roman" w:hAnsi="Times New Roman" w:eastAsia="宋体" w:cs="Times New Roman"/>
                      <w:color w:val="000000"/>
                      <w:sz w:val="21"/>
                      <w:szCs w:val="21"/>
                    </w:rPr>
                  </w:pPr>
                </w:p>
              </w:tc>
              <w:tc>
                <w:tcPr>
                  <w:tcW w:w="706" w:type="pct"/>
                  <w:vMerge w:val="continue"/>
                  <w:tcBorders>
                    <w:tl2br w:val="nil"/>
                    <w:tr2bl w:val="nil"/>
                  </w:tcBorders>
                  <w:noWrap w:val="0"/>
                  <w:vAlign w:val="center"/>
                </w:tcPr>
                <w:p w14:paraId="29304A96">
                  <w:pPr>
                    <w:adjustRightInd w:val="0"/>
                    <w:snapToGrid w:val="0"/>
                    <w:spacing w:line="240" w:lineRule="auto"/>
                    <w:ind w:firstLine="420"/>
                    <w:jc w:val="center"/>
                    <w:rPr>
                      <w:rFonts w:hint="default" w:ascii="Times New Roman" w:hAnsi="Times New Roman" w:eastAsia="宋体" w:cs="Times New Roman"/>
                      <w:color w:val="000000"/>
                      <w:sz w:val="21"/>
                      <w:szCs w:val="21"/>
                    </w:rPr>
                  </w:pPr>
                </w:p>
              </w:tc>
              <w:tc>
                <w:tcPr>
                  <w:tcW w:w="1271" w:type="pct"/>
                  <w:tcBorders>
                    <w:tl2br w:val="nil"/>
                    <w:tr2bl w:val="nil"/>
                  </w:tcBorders>
                  <w:noWrap w:val="0"/>
                  <w:vAlign w:val="center"/>
                </w:tcPr>
                <w:p w14:paraId="7DA8EC44">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排气筒高度</w:t>
                  </w:r>
                </w:p>
              </w:tc>
              <w:tc>
                <w:tcPr>
                  <w:tcW w:w="731" w:type="pct"/>
                  <w:tcBorders>
                    <w:tl2br w:val="nil"/>
                    <w:tr2bl w:val="nil"/>
                  </w:tcBorders>
                  <w:noWrap w:val="0"/>
                  <w:vAlign w:val="center"/>
                </w:tcPr>
                <w:p w14:paraId="227E0D33">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15m</w:t>
                  </w:r>
                </w:p>
              </w:tc>
              <w:tc>
                <w:tcPr>
                  <w:tcW w:w="1464" w:type="pct"/>
                  <w:tcBorders>
                    <w:tl2br w:val="nil"/>
                    <w:tr2bl w:val="nil"/>
                  </w:tcBorders>
                  <w:noWrap w:val="0"/>
                  <w:vAlign w:val="center"/>
                </w:tcPr>
                <w:p w14:paraId="2D0A80A5">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周界外浓度最高点</w:t>
                  </w:r>
                </w:p>
              </w:tc>
            </w:tr>
            <w:tr w14:paraId="13CA7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826" w:type="pct"/>
                  <w:tcBorders>
                    <w:tl2br w:val="nil"/>
                    <w:tr2bl w:val="nil"/>
                  </w:tcBorders>
                  <w:noWrap w:val="0"/>
                  <w:vAlign w:val="center"/>
                </w:tcPr>
                <w:p w14:paraId="0FFFA6F1">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706" w:type="pct"/>
                  <w:tcBorders>
                    <w:tl2br w:val="nil"/>
                    <w:tr2bl w:val="nil"/>
                  </w:tcBorders>
                  <w:noWrap w:val="0"/>
                  <w:vAlign w:val="center"/>
                </w:tcPr>
                <w:p w14:paraId="18B39F36">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120</w:t>
                  </w:r>
                </w:p>
              </w:tc>
              <w:tc>
                <w:tcPr>
                  <w:tcW w:w="2002" w:type="pct"/>
                  <w:gridSpan w:val="2"/>
                  <w:tcBorders>
                    <w:tl2br w:val="nil"/>
                    <w:tr2bl w:val="nil"/>
                  </w:tcBorders>
                  <w:noWrap w:val="0"/>
                  <w:vAlign w:val="center"/>
                </w:tcPr>
                <w:p w14:paraId="08400124">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3.5</w:t>
                  </w:r>
                </w:p>
              </w:tc>
              <w:tc>
                <w:tcPr>
                  <w:tcW w:w="1464" w:type="pct"/>
                  <w:tcBorders>
                    <w:tl2br w:val="nil"/>
                    <w:tr2bl w:val="nil"/>
                  </w:tcBorders>
                  <w:noWrap w:val="0"/>
                  <w:vAlign w:val="center"/>
                </w:tcPr>
                <w:p w14:paraId="6D4CC0B9">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r>
            <w:tr w14:paraId="23748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826" w:type="pct"/>
                  <w:tcBorders>
                    <w:tl2br w:val="nil"/>
                    <w:tr2bl w:val="nil"/>
                  </w:tcBorders>
                  <w:noWrap w:val="0"/>
                  <w:vAlign w:val="center"/>
                </w:tcPr>
                <w:p w14:paraId="1F31B2F1">
                  <w:pPr>
                    <w:adjustRightInd w:val="0"/>
                    <w:snapToGrid w:val="0"/>
                    <w:spacing w:line="240" w:lineRule="auto"/>
                    <w:ind w:firstLine="0" w:firstLineChars="0"/>
                    <w:jc w:val="both"/>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非甲烷总烃</w:t>
                  </w:r>
                </w:p>
              </w:tc>
              <w:tc>
                <w:tcPr>
                  <w:tcW w:w="706" w:type="pct"/>
                  <w:tcBorders>
                    <w:tl2br w:val="nil"/>
                    <w:tr2bl w:val="nil"/>
                  </w:tcBorders>
                  <w:noWrap w:val="0"/>
                  <w:vAlign w:val="center"/>
                </w:tcPr>
                <w:p w14:paraId="6E7B0103">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120</w:t>
                  </w:r>
                </w:p>
              </w:tc>
              <w:tc>
                <w:tcPr>
                  <w:tcW w:w="2002" w:type="pct"/>
                  <w:gridSpan w:val="2"/>
                  <w:tcBorders>
                    <w:tl2br w:val="nil"/>
                    <w:tr2bl w:val="nil"/>
                  </w:tcBorders>
                  <w:noWrap w:val="0"/>
                  <w:vAlign w:val="center"/>
                </w:tcPr>
                <w:p w14:paraId="5609114F">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w:t>
                  </w:r>
                </w:p>
              </w:tc>
              <w:tc>
                <w:tcPr>
                  <w:tcW w:w="1464" w:type="pct"/>
                  <w:tcBorders>
                    <w:tl2br w:val="nil"/>
                    <w:tr2bl w:val="nil"/>
                  </w:tcBorders>
                  <w:noWrap w:val="0"/>
                  <w:vAlign w:val="center"/>
                </w:tcPr>
                <w:p w14:paraId="1ED545EE">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4.0</w:t>
                  </w:r>
                </w:p>
              </w:tc>
            </w:tr>
          </w:tbl>
          <w:p w14:paraId="7D92C409">
            <w:pPr>
              <w:keepNext w:val="0"/>
              <w:keepLines w:val="0"/>
              <w:pageBreakBefore w:val="0"/>
              <w:widowControl w:val="0"/>
              <w:kinsoku/>
              <w:wordWrap/>
              <w:overflowPunct/>
              <w:topLinePunct w:val="0"/>
              <w:autoSpaceDE/>
              <w:autoSpaceDN/>
              <w:bidi w:val="0"/>
              <w:adjustRightInd/>
              <w:snapToGrid w:val="0"/>
              <w:spacing w:line="240" w:lineRule="auto"/>
              <w:ind w:firstLine="420"/>
              <w:jc w:val="center"/>
              <w:textAlignment w:val="auto"/>
              <w:rPr>
                <w:rFonts w:hint="default" w:ascii="黑体" w:hAnsi="黑体" w:eastAsia="黑体" w:cs="黑体"/>
                <w:b w:val="0"/>
                <w:bCs/>
                <w:color w:val="000000"/>
                <w:kern w:val="0"/>
                <w:sz w:val="21"/>
                <w:szCs w:val="21"/>
                <w:lang w:val="en-US" w:eastAsia="zh-CN" w:bidi="ar-SA"/>
              </w:rPr>
            </w:pPr>
            <w:r>
              <w:rPr>
                <w:rFonts w:hint="default" w:ascii="黑体" w:hAnsi="黑体" w:eastAsia="黑体" w:cs="黑体"/>
                <w:b w:val="0"/>
                <w:bCs/>
                <w:color w:val="000000"/>
                <w:kern w:val="0"/>
                <w:sz w:val="21"/>
                <w:szCs w:val="21"/>
                <w:lang w:val="en-US" w:eastAsia="zh-CN" w:bidi="ar-SA"/>
              </w:rPr>
              <w:t>表</w:t>
            </w:r>
            <w:r>
              <w:rPr>
                <w:rFonts w:hint="eastAsia" w:ascii="黑体" w:hAnsi="黑体" w:eastAsia="黑体" w:cs="黑体"/>
                <w:b w:val="0"/>
                <w:bCs/>
                <w:color w:val="000000"/>
                <w:kern w:val="0"/>
                <w:sz w:val="21"/>
                <w:szCs w:val="21"/>
                <w:lang w:val="en-US" w:eastAsia="zh-CN" w:bidi="ar-SA"/>
              </w:rPr>
              <w:t>3-6    恶臭污染物</w:t>
            </w:r>
            <w:r>
              <w:rPr>
                <w:rFonts w:hint="default" w:ascii="黑体" w:hAnsi="黑体" w:eastAsia="黑体" w:cs="黑体"/>
                <w:b w:val="0"/>
                <w:bCs/>
                <w:color w:val="000000"/>
                <w:kern w:val="0"/>
                <w:sz w:val="21"/>
                <w:szCs w:val="21"/>
                <w:lang w:val="en-US" w:eastAsia="zh-CN" w:bidi="ar-SA"/>
              </w:rPr>
              <w:t>排放标准（GB</w:t>
            </w:r>
            <w:r>
              <w:rPr>
                <w:rFonts w:hint="eastAsia" w:ascii="黑体" w:hAnsi="黑体" w:eastAsia="黑体" w:cs="黑体"/>
                <w:b w:val="0"/>
                <w:bCs/>
                <w:color w:val="000000"/>
                <w:kern w:val="0"/>
                <w:sz w:val="21"/>
                <w:szCs w:val="21"/>
                <w:lang w:val="en-US" w:eastAsia="zh-CN" w:bidi="ar-SA"/>
              </w:rPr>
              <w:t>14554</w:t>
            </w:r>
            <w:r>
              <w:rPr>
                <w:rFonts w:hint="default" w:ascii="黑体" w:hAnsi="黑体" w:eastAsia="黑体" w:cs="黑体"/>
                <w:b w:val="0"/>
                <w:bCs/>
                <w:color w:val="000000"/>
                <w:kern w:val="0"/>
                <w:sz w:val="21"/>
                <w:szCs w:val="21"/>
                <w:lang w:val="en-US" w:eastAsia="zh-CN" w:bidi="ar-SA"/>
              </w:rPr>
              <w:t>-</w:t>
            </w:r>
            <w:r>
              <w:rPr>
                <w:rFonts w:hint="eastAsia" w:ascii="黑体" w:hAnsi="黑体" w:eastAsia="黑体" w:cs="黑体"/>
                <w:b w:val="0"/>
                <w:bCs/>
                <w:color w:val="000000"/>
                <w:kern w:val="0"/>
                <w:sz w:val="21"/>
                <w:szCs w:val="21"/>
                <w:lang w:val="en-US" w:eastAsia="zh-CN" w:bidi="ar-SA"/>
              </w:rPr>
              <w:t>93</w:t>
            </w:r>
            <w:r>
              <w:rPr>
                <w:rFonts w:hint="default" w:ascii="黑体" w:hAnsi="黑体" w:eastAsia="黑体" w:cs="黑体"/>
                <w:b w:val="0"/>
                <w:bCs/>
                <w:color w:val="000000"/>
                <w:kern w:val="0"/>
                <w:sz w:val="21"/>
                <w:szCs w:val="21"/>
                <w:lang w:val="en-US" w:eastAsia="zh-CN" w:bidi="ar-SA"/>
              </w:rPr>
              <w:t>）</w:t>
            </w:r>
          </w:p>
          <w:tbl>
            <w:tblPr>
              <w:tblStyle w:val="21"/>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2"/>
              <w:gridCol w:w="1816"/>
              <w:gridCol w:w="2861"/>
              <w:gridCol w:w="1648"/>
            </w:tblGrid>
            <w:tr w14:paraId="2517D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025" w:type="pct"/>
                  <w:vMerge w:val="restart"/>
                  <w:tcBorders>
                    <w:tl2br w:val="nil"/>
                    <w:tr2bl w:val="nil"/>
                  </w:tcBorders>
                  <w:noWrap w:val="0"/>
                  <w:vAlign w:val="center"/>
                </w:tcPr>
                <w:p w14:paraId="7AB6D3E2">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1141" w:type="pct"/>
                  <w:vMerge w:val="restart"/>
                  <w:tcBorders>
                    <w:tl2br w:val="nil"/>
                    <w:tr2bl w:val="nil"/>
                  </w:tcBorders>
                  <w:noWrap w:val="0"/>
                  <w:vAlign w:val="center"/>
                </w:tcPr>
                <w:p w14:paraId="15E0E226">
                  <w:pPr>
                    <w:adjustRightInd w:val="0"/>
                    <w:snapToGrid w:val="0"/>
                    <w:spacing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浓度</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无量纲</w:t>
                  </w:r>
                  <w:r>
                    <w:rPr>
                      <w:rFonts w:hint="eastAsia" w:ascii="Times New Roman" w:hAnsi="Times New Roman" w:eastAsia="宋体" w:cs="Times New Roman"/>
                      <w:color w:val="000000"/>
                      <w:sz w:val="21"/>
                      <w:szCs w:val="21"/>
                      <w:lang w:eastAsia="zh-CN"/>
                    </w:rPr>
                    <w:t>）</w:t>
                  </w:r>
                </w:p>
              </w:tc>
              <w:tc>
                <w:tcPr>
                  <w:tcW w:w="2832" w:type="pct"/>
                  <w:gridSpan w:val="2"/>
                  <w:tcBorders>
                    <w:tl2br w:val="nil"/>
                    <w:tr2bl w:val="nil"/>
                  </w:tcBorders>
                  <w:noWrap w:val="0"/>
                  <w:vAlign w:val="center"/>
                </w:tcPr>
                <w:p w14:paraId="7CA63E36">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最高允许排放速率（kg/h）</w:t>
                  </w:r>
                </w:p>
              </w:tc>
            </w:tr>
            <w:tr w14:paraId="0F0C1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025" w:type="pct"/>
                  <w:vMerge w:val="continue"/>
                  <w:tcBorders>
                    <w:tl2br w:val="nil"/>
                    <w:tr2bl w:val="nil"/>
                  </w:tcBorders>
                  <w:noWrap w:val="0"/>
                  <w:vAlign w:val="center"/>
                </w:tcPr>
                <w:p w14:paraId="45B94D2B">
                  <w:pPr>
                    <w:adjustRightInd w:val="0"/>
                    <w:snapToGrid w:val="0"/>
                    <w:spacing w:line="240" w:lineRule="auto"/>
                    <w:ind w:firstLine="420"/>
                    <w:jc w:val="center"/>
                    <w:rPr>
                      <w:rFonts w:hint="default" w:ascii="Times New Roman" w:hAnsi="Times New Roman" w:eastAsia="宋体" w:cs="Times New Roman"/>
                      <w:color w:val="000000"/>
                      <w:sz w:val="21"/>
                      <w:szCs w:val="21"/>
                    </w:rPr>
                  </w:pPr>
                </w:p>
              </w:tc>
              <w:tc>
                <w:tcPr>
                  <w:tcW w:w="1141" w:type="pct"/>
                  <w:vMerge w:val="continue"/>
                  <w:tcBorders>
                    <w:tl2br w:val="nil"/>
                    <w:tr2bl w:val="nil"/>
                  </w:tcBorders>
                  <w:noWrap w:val="0"/>
                  <w:vAlign w:val="center"/>
                </w:tcPr>
                <w:p w14:paraId="41CF6287">
                  <w:pPr>
                    <w:adjustRightInd w:val="0"/>
                    <w:snapToGrid w:val="0"/>
                    <w:spacing w:line="240" w:lineRule="auto"/>
                    <w:ind w:firstLine="420"/>
                    <w:jc w:val="center"/>
                    <w:rPr>
                      <w:rFonts w:hint="default" w:ascii="Times New Roman" w:hAnsi="Times New Roman" w:eastAsia="宋体" w:cs="Times New Roman"/>
                      <w:color w:val="000000"/>
                      <w:sz w:val="21"/>
                      <w:szCs w:val="21"/>
                    </w:rPr>
                  </w:pPr>
                </w:p>
              </w:tc>
              <w:tc>
                <w:tcPr>
                  <w:tcW w:w="1797" w:type="pct"/>
                  <w:tcBorders>
                    <w:tl2br w:val="nil"/>
                    <w:tr2bl w:val="nil"/>
                  </w:tcBorders>
                  <w:noWrap w:val="0"/>
                  <w:vAlign w:val="center"/>
                </w:tcPr>
                <w:p w14:paraId="5788E482">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排气筒高度</w:t>
                  </w:r>
                </w:p>
              </w:tc>
              <w:tc>
                <w:tcPr>
                  <w:tcW w:w="1035" w:type="pct"/>
                  <w:tcBorders>
                    <w:tl2br w:val="nil"/>
                    <w:tr2bl w:val="nil"/>
                  </w:tcBorders>
                  <w:noWrap w:val="0"/>
                  <w:vAlign w:val="center"/>
                </w:tcPr>
                <w:p w14:paraId="00821C10">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15m</w:t>
                  </w:r>
                </w:p>
              </w:tc>
            </w:tr>
            <w:tr w14:paraId="1FEE8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025" w:type="pct"/>
                  <w:tcBorders>
                    <w:tl2br w:val="nil"/>
                    <w:tr2bl w:val="nil"/>
                  </w:tcBorders>
                  <w:noWrap w:val="0"/>
                  <w:vAlign w:val="center"/>
                </w:tcPr>
                <w:p w14:paraId="48F6C627">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臭气浓度</w:t>
                  </w:r>
                </w:p>
              </w:tc>
              <w:tc>
                <w:tcPr>
                  <w:tcW w:w="1141" w:type="pct"/>
                  <w:tcBorders>
                    <w:tl2br w:val="nil"/>
                    <w:tr2bl w:val="nil"/>
                  </w:tcBorders>
                  <w:noWrap w:val="0"/>
                  <w:vAlign w:val="center"/>
                </w:tcPr>
                <w:p w14:paraId="200F23ED">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20</w:t>
                  </w:r>
                </w:p>
              </w:tc>
              <w:tc>
                <w:tcPr>
                  <w:tcW w:w="1797" w:type="pct"/>
                  <w:tcBorders>
                    <w:tl2br w:val="nil"/>
                    <w:tr2bl w:val="nil"/>
                  </w:tcBorders>
                  <w:noWrap w:val="0"/>
                  <w:vAlign w:val="center"/>
                </w:tcPr>
                <w:p w14:paraId="6586D3A2">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周界外浓度最高点</w:t>
                  </w:r>
                </w:p>
              </w:tc>
              <w:tc>
                <w:tcPr>
                  <w:tcW w:w="1035" w:type="pct"/>
                  <w:tcBorders>
                    <w:tl2br w:val="nil"/>
                    <w:tr2bl w:val="nil"/>
                  </w:tcBorders>
                  <w:noWrap w:val="0"/>
                  <w:vAlign w:val="center"/>
                </w:tcPr>
                <w:p w14:paraId="7AE93883">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2000</w:t>
                  </w:r>
                </w:p>
              </w:tc>
            </w:tr>
            <w:tr w14:paraId="6D54E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025" w:type="pct"/>
                  <w:tcBorders>
                    <w:tl2br w:val="nil"/>
                    <w:tr2bl w:val="nil"/>
                  </w:tcBorders>
                  <w:noWrap w:val="0"/>
                  <w:vAlign w:val="center"/>
                </w:tcPr>
                <w:p w14:paraId="4AE8FB8C">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氨</w:t>
                  </w:r>
                </w:p>
              </w:tc>
              <w:tc>
                <w:tcPr>
                  <w:tcW w:w="1141" w:type="pct"/>
                  <w:tcBorders>
                    <w:tl2br w:val="nil"/>
                    <w:tr2bl w:val="nil"/>
                  </w:tcBorders>
                  <w:noWrap w:val="0"/>
                  <w:vAlign w:val="center"/>
                </w:tcPr>
                <w:p w14:paraId="5F14C67B">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1.5</w:t>
                  </w:r>
                </w:p>
              </w:tc>
              <w:tc>
                <w:tcPr>
                  <w:tcW w:w="1797" w:type="pct"/>
                  <w:tcBorders>
                    <w:tl2br w:val="nil"/>
                    <w:tr2bl w:val="nil"/>
                  </w:tcBorders>
                  <w:noWrap w:val="0"/>
                  <w:vAlign w:val="center"/>
                </w:tcPr>
                <w:p w14:paraId="25F2D023">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周界外浓度最高点</w:t>
                  </w:r>
                </w:p>
              </w:tc>
              <w:tc>
                <w:tcPr>
                  <w:tcW w:w="1035" w:type="pct"/>
                  <w:tcBorders>
                    <w:tl2br w:val="nil"/>
                    <w:tr2bl w:val="nil"/>
                  </w:tcBorders>
                  <w:noWrap w:val="0"/>
                  <w:vAlign w:val="center"/>
                </w:tcPr>
                <w:p w14:paraId="17A08A53">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4.9</w:t>
                  </w:r>
                </w:p>
              </w:tc>
            </w:tr>
            <w:tr w14:paraId="59B2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025" w:type="pct"/>
                  <w:tcBorders>
                    <w:tl2br w:val="nil"/>
                    <w:tr2bl w:val="nil"/>
                  </w:tcBorders>
                  <w:noWrap w:val="0"/>
                  <w:vAlign w:val="center"/>
                </w:tcPr>
                <w:p w14:paraId="568A4048">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硫化氢</w:t>
                  </w:r>
                </w:p>
              </w:tc>
              <w:tc>
                <w:tcPr>
                  <w:tcW w:w="1141" w:type="pct"/>
                  <w:tcBorders>
                    <w:tl2br w:val="nil"/>
                    <w:tr2bl w:val="nil"/>
                  </w:tcBorders>
                  <w:noWrap w:val="0"/>
                  <w:vAlign w:val="center"/>
                </w:tcPr>
                <w:p w14:paraId="420DF4A1">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0.06</w:t>
                  </w:r>
                </w:p>
              </w:tc>
              <w:tc>
                <w:tcPr>
                  <w:tcW w:w="1797" w:type="pct"/>
                  <w:tcBorders>
                    <w:tl2br w:val="nil"/>
                    <w:tr2bl w:val="nil"/>
                  </w:tcBorders>
                  <w:noWrap w:val="0"/>
                  <w:vAlign w:val="center"/>
                </w:tcPr>
                <w:p w14:paraId="0575815A">
                  <w:pPr>
                    <w:adjustRightInd w:val="0"/>
                    <w:snapToGrid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周界外浓度最高点</w:t>
                  </w:r>
                </w:p>
              </w:tc>
              <w:tc>
                <w:tcPr>
                  <w:tcW w:w="1035" w:type="pct"/>
                  <w:tcBorders>
                    <w:tl2br w:val="nil"/>
                    <w:tr2bl w:val="nil"/>
                  </w:tcBorders>
                  <w:noWrap w:val="0"/>
                  <w:vAlign w:val="center"/>
                </w:tcPr>
                <w:p w14:paraId="61868139">
                  <w:pPr>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0.33</w:t>
                  </w:r>
                </w:p>
              </w:tc>
            </w:tr>
          </w:tbl>
          <w:p w14:paraId="4C494D9F">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本项目产生的生活污水经处理后达到《污水综合排放标准》（GB8978-1996）中</w:t>
            </w:r>
            <w:r>
              <w:rPr>
                <w:rFonts w:hint="eastAsia" w:cs="Times New Roman"/>
                <w:sz w:val="24"/>
                <w:lang w:val="en-US" w:eastAsia="zh-CN"/>
              </w:rPr>
              <w:t>三</w:t>
            </w:r>
            <w:r>
              <w:rPr>
                <w:rFonts w:hint="eastAsia" w:ascii="Times New Roman" w:hAnsi="Times New Roman" w:eastAsia="宋体" w:cs="Times New Roman"/>
                <w:sz w:val="24"/>
                <w:lang w:val="en-US" w:eastAsia="zh-CN"/>
              </w:rPr>
              <w:t>级排放标准，</w:t>
            </w:r>
            <w:r>
              <w:rPr>
                <w:rFonts w:hint="default" w:ascii="Times New Roman" w:hAnsi="Times New Roman" w:eastAsia="宋体" w:cs="Times New Roman"/>
                <w:sz w:val="24"/>
                <w:szCs w:val="24"/>
                <w:lang w:val="en-US" w:eastAsia="zh-CN"/>
              </w:rPr>
              <w:t>具体见表</w:t>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7</w:t>
            </w:r>
            <w:r>
              <w:rPr>
                <w:rFonts w:hint="eastAsia" w:ascii="Times New Roman" w:hAnsi="Times New Roman" w:eastAsia="宋体" w:cs="Times New Roman"/>
                <w:sz w:val="24"/>
                <w:lang w:val="en-US" w:eastAsia="zh-CN"/>
              </w:rPr>
              <w:t>。</w:t>
            </w:r>
          </w:p>
          <w:p w14:paraId="21832389">
            <w:pPr>
              <w:keepNext w:val="0"/>
              <w:keepLines w:val="0"/>
              <w:pageBreakBefore w:val="0"/>
              <w:widowControl w:val="0"/>
              <w:kinsoku/>
              <w:wordWrap/>
              <w:overflowPunct/>
              <w:topLinePunct w:val="0"/>
              <w:autoSpaceDE/>
              <w:autoSpaceDN/>
              <w:bidi w:val="0"/>
              <w:adjustRightInd/>
              <w:snapToGrid w:val="0"/>
              <w:spacing w:line="240" w:lineRule="auto"/>
              <w:ind w:firstLine="420"/>
              <w:jc w:val="right"/>
              <w:textAlignment w:val="auto"/>
              <w:rPr>
                <w:rFonts w:hint="default" w:ascii="黑体" w:hAnsi="黑体" w:eastAsia="黑体" w:cs="黑体"/>
                <w:b w:val="0"/>
                <w:bCs/>
                <w:color w:val="000000"/>
                <w:kern w:val="0"/>
                <w:sz w:val="21"/>
                <w:szCs w:val="21"/>
                <w:lang w:val="en-US" w:eastAsia="zh-CN" w:bidi="ar-SA"/>
              </w:rPr>
            </w:pPr>
            <w:r>
              <w:rPr>
                <w:rFonts w:hint="eastAsia" w:ascii="黑体" w:hAnsi="黑体" w:eastAsia="黑体" w:cs="黑体"/>
                <w:b w:val="0"/>
                <w:bCs/>
                <w:color w:val="000000"/>
                <w:kern w:val="0"/>
                <w:sz w:val="21"/>
                <w:szCs w:val="21"/>
                <w:lang w:val="en-US" w:eastAsia="zh-CN" w:bidi="ar-SA"/>
              </w:rPr>
              <w:t>表3-7    污水综合排放标准        单位：mg/L （pH除外）</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87"/>
              <w:gridCol w:w="3987"/>
            </w:tblGrid>
            <w:tr w14:paraId="070EA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3987" w:type="dxa"/>
                  <w:tcBorders>
                    <w:tl2br w:val="nil"/>
                    <w:tr2bl w:val="nil"/>
                  </w:tcBorders>
                  <w:noWrap w:val="0"/>
                  <w:vAlign w:val="center"/>
                </w:tcPr>
                <w:p w14:paraId="68456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污染物名称</w:t>
                  </w:r>
                </w:p>
              </w:tc>
              <w:tc>
                <w:tcPr>
                  <w:tcW w:w="3987" w:type="dxa"/>
                  <w:tcBorders>
                    <w:tl2br w:val="nil"/>
                    <w:tr2bl w:val="nil"/>
                  </w:tcBorders>
                  <w:noWrap w:val="0"/>
                  <w:vAlign w:val="center"/>
                </w:tcPr>
                <w:p w14:paraId="47B0C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三</w:t>
                  </w:r>
                  <w:r>
                    <w:rPr>
                      <w:rFonts w:hint="eastAsia" w:ascii="Times New Roman" w:hAnsi="Times New Roman" w:eastAsia="宋体" w:cs="Times New Roman"/>
                      <w:sz w:val="21"/>
                      <w:szCs w:val="21"/>
                      <w:vertAlign w:val="baseline"/>
                      <w:lang w:val="en-US" w:eastAsia="zh-CN"/>
                    </w:rPr>
                    <w:t>级限制</w:t>
                  </w:r>
                </w:p>
              </w:tc>
            </w:tr>
            <w:tr w14:paraId="6F32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7" w:type="dxa"/>
                  <w:tcBorders>
                    <w:tl2br w:val="nil"/>
                    <w:tr2bl w:val="nil"/>
                  </w:tcBorders>
                  <w:noWrap w:val="0"/>
                  <w:vAlign w:val="center"/>
                </w:tcPr>
                <w:p w14:paraId="01799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pH</w:t>
                  </w:r>
                </w:p>
              </w:tc>
              <w:tc>
                <w:tcPr>
                  <w:tcW w:w="3987" w:type="dxa"/>
                  <w:tcBorders>
                    <w:tl2br w:val="nil"/>
                    <w:tr2bl w:val="nil"/>
                  </w:tcBorders>
                  <w:noWrap w:val="0"/>
                  <w:vAlign w:val="center"/>
                </w:tcPr>
                <w:p w14:paraId="771FDE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6~9</w:t>
                  </w:r>
                </w:p>
              </w:tc>
            </w:tr>
            <w:tr w14:paraId="11156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3987" w:type="dxa"/>
                  <w:tcBorders>
                    <w:tl2br w:val="nil"/>
                    <w:tr2bl w:val="nil"/>
                  </w:tcBorders>
                  <w:noWrap w:val="0"/>
                  <w:vAlign w:val="center"/>
                </w:tcPr>
                <w:p w14:paraId="4D2AD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化学需氧量（COD</w:t>
                  </w:r>
                  <w:r>
                    <w:rPr>
                      <w:rFonts w:hint="eastAsia" w:ascii="Times New Roman" w:hAnsi="Times New Roman" w:eastAsia="宋体" w:cs="Times New Roman"/>
                      <w:sz w:val="21"/>
                      <w:szCs w:val="21"/>
                      <w:vertAlign w:val="subscript"/>
                      <w:lang w:val="en-US" w:eastAsia="zh-CN"/>
                    </w:rPr>
                    <w:t>cr</w:t>
                  </w:r>
                  <w:r>
                    <w:rPr>
                      <w:rFonts w:hint="eastAsia" w:ascii="Times New Roman" w:hAnsi="Times New Roman" w:eastAsia="宋体" w:cs="Times New Roman"/>
                      <w:sz w:val="21"/>
                      <w:szCs w:val="21"/>
                      <w:vertAlign w:val="baseline"/>
                      <w:lang w:val="en-US" w:eastAsia="zh-CN"/>
                    </w:rPr>
                    <w:t>）</w:t>
                  </w:r>
                </w:p>
              </w:tc>
              <w:tc>
                <w:tcPr>
                  <w:tcW w:w="3987" w:type="dxa"/>
                  <w:tcBorders>
                    <w:tl2br w:val="nil"/>
                    <w:tr2bl w:val="nil"/>
                  </w:tcBorders>
                  <w:noWrap w:val="0"/>
                  <w:vAlign w:val="center"/>
                </w:tcPr>
                <w:p w14:paraId="2EC01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500</w:t>
                  </w:r>
                </w:p>
              </w:tc>
            </w:tr>
            <w:tr w14:paraId="19803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7" w:type="dxa"/>
                  <w:tcBorders>
                    <w:tl2br w:val="nil"/>
                    <w:tr2bl w:val="nil"/>
                  </w:tcBorders>
                  <w:noWrap w:val="0"/>
                  <w:vAlign w:val="center"/>
                </w:tcPr>
                <w:p w14:paraId="71425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五日生化需氧量（BOD</w:t>
                  </w:r>
                  <w:r>
                    <w:rPr>
                      <w:rFonts w:hint="eastAsia" w:ascii="Times New Roman" w:hAnsi="Times New Roman" w:eastAsia="宋体" w:cs="Times New Roman"/>
                      <w:sz w:val="21"/>
                      <w:szCs w:val="21"/>
                      <w:vertAlign w:val="subscript"/>
                      <w:lang w:val="en-US" w:eastAsia="zh-CN"/>
                    </w:rPr>
                    <w:t>5</w:t>
                  </w:r>
                  <w:r>
                    <w:rPr>
                      <w:rFonts w:hint="eastAsia" w:ascii="Times New Roman" w:hAnsi="Times New Roman" w:eastAsia="宋体" w:cs="Times New Roman"/>
                      <w:sz w:val="21"/>
                      <w:szCs w:val="21"/>
                      <w:vertAlign w:val="baseline"/>
                      <w:lang w:val="en-US" w:eastAsia="zh-CN"/>
                    </w:rPr>
                    <w:t>）</w:t>
                  </w:r>
                </w:p>
              </w:tc>
              <w:tc>
                <w:tcPr>
                  <w:tcW w:w="3987" w:type="dxa"/>
                  <w:tcBorders>
                    <w:tl2br w:val="nil"/>
                    <w:tr2bl w:val="nil"/>
                  </w:tcBorders>
                  <w:noWrap w:val="0"/>
                  <w:vAlign w:val="center"/>
                </w:tcPr>
                <w:p w14:paraId="5A693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300</w:t>
                  </w:r>
                </w:p>
              </w:tc>
            </w:tr>
            <w:tr w14:paraId="17FC8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7" w:type="dxa"/>
                  <w:tcBorders>
                    <w:tl2br w:val="nil"/>
                    <w:tr2bl w:val="nil"/>
                  </w:tcBorders>
                  <w:noWrap w:val="0"/>
                  <w:vAlign w:val="center"/>
                </w:tcPr>
                <w:p w14:paraId="0C63C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悬浮物（SS）</w:t>
                  </w:r>
                </w:p>
              </w:tc>
              <w:tc>
                <w:tcPr>
                  <w:tcW w:w="3987" w:type="dxa"/>
                  <w:tcBorders>
                    <w:tl2br w:val="nil"/>
                    <w:tr2bl w:val="nil"/>
                  </w:tcBorders>
                  <w:noWrap w:val="0"/>
                  <w:vAlign w:val="center"/>
                </w:tcPr>
                <w:p w14:paraId="6E186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400</w:t>
                  </w:r>
                </w:p>
              </w:tc>
            </w:tr>
            <w:tr w14:paraId="2CEF7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7" w:type="dxa"/>
                  <w:tcBorders>
                    <w:tl2br w:val="nil"/>
                    <w:tr2bl w:val="nil"/>
                  </w:tcBorders>
                  <w:noWrap w:val="0"/>
                  <w:vAlign w:val="center"/>
                </w:tcPr>
                <w:p w14:paraId="4ED83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动植物油</w:t>
                  </w:r>
                </w:p>
              </w:tc>
              <w:tc>
                <w:tcPr>
                  <w:tcW w:w="3987" w:type="dxa"/>
                  <w:tcBorders>
                    <w:tl2br w:val="nil"/>
                    <w:tr2bl w:val="nil"/>
                  </w:tcBorders>
                  <w:noWrap w:val="0"/>
                  <w:vAlign w:val="center"/>
                </w:tcPr>
                <w:p w14:paraId="5D803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100</w:t>
                  </w:r>
                </w:p>
              </w:tc>
            </w:tr>
          </w:tbl>
          <w:p w14:paraId="6B03E9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sz w:val="24"/>
                <w:szCs w:val="24"/>
                <w:lang w:val="en-US" w:eastAsia="zh-CN"/>
              </w:rPr>
              <w:t>本项目噪声排放执行《工业企业厂界环境噪声排放标准》（GB12348-2008）</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类功能区标准。具体见表</w:t>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w:t>
            </w:r>
          </w:p>
          <w:p w14:paraId="0E9C2C4A">
            <w:pPr>
              <w:keepNext w:val="0"/>
              <w:keepLines w:val="0"/>
              <w:pageBreakBefore w:val="0"/>
              <w:widowControl w:val="0"/>
              <w:kinsoku/>
              <w:wordWrap/>
              <w:overflowPunct/>
              <w:topLinePunct w:val="0"/>
              <w:autoSpaceDE/>
              <w:autoSpaceDN/>
              <w:bidi w:val="0"/>
              <w:adjustRightInd/>
              <w:snapToGrid w:val="0"/>
              <w:spacing w:line="240" w:lineRule="auto"/>
              <w:ind w:firstLine="420"/>
              <w:jc w:val="center"/>
              <w:textAlignment w:val="auto"/>
              <w:rPr>
                <w:rFonts w:hint="eastAsia" w:ascii="黑体" w:hAnsi="黑体" w:eastAsia="黑体" w:cs="黑体"/>
                <w:b w:val="0"/>
                <w:bCs/>
                <w:color w:val="000000"/>
                <w:kern w:val="0"/>
                <w:sz w:val="21"/>
                <w:szCs w:val="21"/>
                <w:lang w:val="en-US" w:eastAsia="zh-CN" w:bidi="ar-SA"/>
              </w:rPr>
            </w:pPr>
            <w:r>
              <w:rPr>
                <w:rFonts w:hint="default" w:ascii="黑体" w:hAnsi="黑体" w:eastAsia="黑体" w:cs="黑体"/>
                <w:b w:val="0"/>
                <w:bCs/>
                <w:color w:val="000000"/>
                <w:kern w:val="0"/>
                <w:sz w:val="21"/>
                <w:szCs w:val="21"/>
                <w:lang w:val="en-US" w:eastAsia="zh-CN" w:bidi="ar-SA"/>
              </w:rPr>
              <w:t>表</w:t>
            </w:r>
            <w:r>
              <w:rPr>
                <w:rFonts w:hint="eastAsia" w:ascii="黑体" w:hAnsi="黑体" w:eastAsia="黑体" w:cs="黑体"/>
                <w:b w:val="0"/>
                <w:bCs/>
                <w:color w:val="000000"/>
                <w:kern w:val="0"/>
                <w:sz w:val="21"/>
                <w:szCs w:val="21"/>
                <w:lang w:val="en-US" w:eastAsia="zh-CN" w:bidi="ar-SA"/>
              </w:rPr>
              <w:t xml:space="preserve">3-8    </w:t>
            </w:r>
            <w:r>
              <w:rPr>
                <w:rFonts w:hint="default" w:ascii="黑体" w:hAnsi="黑体" w:eastAsia="黑体" w:cs="黑体"/>
                <w:b w:val="0"/>
                <w:bCs/>
                <w:color w:val="000000"/>
                <w:kern w:val="0"/>
                <w:sz w:val="21"/>
                <w:szCs w:val="21"/>
                <w:lang w:val="en-US" w:eastAsia="zh-CN" w:bidi="ar-SA"/>
              </w:rPr>
              <w:t>噪声排放标准</w:t>
            </w:r>
          </w:p>
          <w:tbl>
            <w:tblPr>
              <w:tblStyle w:val="22"/>
              <w:tblW w:w="0" w:type="auto"/>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3"/>
              <w:gridCol w:w="862"/>
              <w:gridCol w:w="755"/>
              <w:gridCol w:w="1268"/>
              <w:gridCol w:w="2846"/>
              <w:gridCol w:w="1095"/>
            </w:tblGrid>
            <w:tr w14:paraId="52B82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l2br w:val="nil"/>
                    <w:tr2bl w:val="nil"/>
                  </w:tcBorders>
                  <w:noWrap w:val="0"/>
                  <w:vAlign w:val="center"/>
                </w:tcPr>
                <w:p w14:paraId="2B8E7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污染源（类型）</w:t>
                  </w:r>
                </w:p>
              </w:tc>
              <w:tc>
                <w:tcPr>
                  <w:tcW w:w="862" w:type="dxa"/>
                  <w:tcBorders>
                    <w:tl2br w:val="nil"/>
                    <w:tr2bl w:val="nil"/>
                  </w:tcBorders>
                  <w:noWrap w:val="0"/>
                  <w:vAlign w:val="center"/>
                </w:tcPr>
                <w:p w14:paraId="74B22F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污染物</w:t>
                  </w:r>
                </w:p>
              </w:tc>
              <w:tc>
                <w:tcPr>
                  <w:tcW w:w="2023" w:type="dxa"/>
                  <w:gridSpan w:val="2"/>
                  <w:tcBorders>
                    <w:tl2br w:val="nil"/>
                    <w:tr2bl w:val="nil"/>
                  </w:tcBorders>
                  <w:noWrap w:val="0"/>
                  <w:vAlign w:val="center"/>
                </w:tcPr>
                <w:p w14:paraId="779EFD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污染物排放限值</w:t>
                  </w:r>
                </w:p>
              </w:tc>
              <w:tc>
                <w:tcPr>
                  <w:tcW w:w="2846" w:type="dxa"/>
                  <w:tcBorders>
                    <w:tl2br w:val="nil"/>
                    <w:tr2bl w:val="nil"/>
                  </w:tcBorders>
                  <w:noWrap w:val="0"/>
                  <w:vAlign w:val="center"/>
                </w:tcPr>
                <w:p w14:paraId="04D73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标准来源</w:t>
                  </w:r>
                </w:p>
              </w:tc>
              <w:tc>
                <w:tcPr>
                  <w:tcW w:w="1095" w:type="dxa"/>
                  <w:tcBorders>
                    <w:tl2br w:val="nil"/>
                    <w:tr2bl w:val="nil"/>
                  </w:tcBorders>
                  <w:noWrap w:val="0"/>
                  <w:vAlign w:val="center"/>
                </w:tcPr>
                <w:p w14:paraId="27E8BC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监控位置</w:t>
                  </w:r>
                </w:p>
              </w:tc>
            </w:tr>
            <w:tr w14:paraId="24401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6" w:hRule="atLeast"/>
              </w:trPr>
              <w:tc>
                <w:tcPr>
                  <w:tcW w:w="1143" w:type="dxa"/>
                  <w:vMerge w:val="restart"/>
                  <w:tcBorders>
                    <w:tl2br w:val="nil"/>
                    <w:tr2bl w:val="nil"/>
                  </w:tcBorders>
                  <w:noWrap w:val="0"/>
                  <w:vAlign w:val="center"/>
                </w:tcPr>
                <w:p w14:paraId="598AD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运营噪声</w:t>
                  </w:r>
                </w:p>
              </w:tc>
              <w:tc>
                <w:tcPr>
                  <w:tcW w:w="862" w:type="dxa"/>
                  <w:vMerge w:val="restart"/>
                  <w:tcBorders>
                    <w:tl2br w:val="nil"/>
                    <w:tr2bl w:val="nil"/>
                  </w:tcBorders>
                  <w:noWrap w:val="0"/>
                  <w:vAlign w:val="center"/>
                </w:tcPr>
                <w:p w14:paraId="279DA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厂界</w:t>
                  </w:r>
                </w:p>
                <w:p w14:paraId="69C6C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噪声</w:t>
                  </w:r>
                </w:p>
              </w:tc>
              <w:tc>
                <w:tcPr>
                  <w:tcW w:w="755" w:type="dxa"/>
                  <w:tcBorders>
                    <w:tl2br w:val="nil"/>
                    <w:tr2bl w:val="nil"/>
                  </w:tcBorders>
                  <w:noWrap w:val="0"/>
                  <w:vAlign w:val="center"/>
                </w:tcPr>
                <w:p w14:paraId="504A1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昼间</w:t>
                  </w:r>
                </w:p>
              </w:tc>
              <w:tc>
                <w:tcPr>
                  <w:tcW w:w="1268" w:type="dxa"/>
                  <w:tcBorders>
                    <w:tl2br w:val="nil"/>
                    <w:tr2bl w:val="nil"/>
                  </w:tcBorders>
                  <w:noWrap w:val="0"/>
                  <w:vAlign w:val="center"/>
                </w:tcPr>
                <w:p w14:paraId="371FB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65dB（A）</w:t>
                  </w:r>
                </w:p>
              </w:tc>
              <w:tc>
                <w:tcPr>
                  <w:tcW w:w="2846" w:type="dxa"/>
                  <w:vMerge w:val="restart"/>
                  <w:tcBorders>
                    <w:tl2br w:val="nil"/>
                    <w:tr2bl w:val="nil"/>
                  </w:tcBorders>
                  <w:noWrap w:val="0"/>
                  <w:vAlign w:val="center"/>
                </w:tcPr>
                <w:p w14:paraId="43BA2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《工业企业厂界环境噪声排放标准》（</w:t>
                  </w:r>
                  <w:r>
                    <w:rPr>
                      <w:rFonts w:hint="default" w:ascii="Times New Roman" w:hAnsi="Times New Roman" w:eastAsia="宋体" w:cs="Times New Roman"/>
                      <w:sz w:val="21"/>
                      <w:szCs w:val="21"/>
                      <w:vertAlign w:val="baseline"/>
                      <w:lang w:val="en-US" w:eastAsia="zh-CN"/>
                    </w:rPr>
                    <w:t>GB12348-2008</w:t>
                  </w:r>
                  <w:r>
                    <w:rPr>
                      <w:rFonts w:hint="default" w:ascii="Times New Roman" w:hAnsi="Times New Roman" w:eastAsia="宋体" w:cs="Times New Roman"/>
                      <w:sz w:val="21"/>
                      <w:szCs w:val="21"/>
                      <w:vertAlign w:val="baseline"/>
                      <w:lang w:eastAsia="zh-CN"/>
                    </w:rPr>
                    <w:t>）</w:t>
                  </w:r>
                  <w:r>
                    <w:rPr>
                      <w:rFonts w:hint="eastAsia" w:cs="Times New Roman"/>
                      <w:sz w:val="21"/>
                      <w:szCs w:val="21"/>
                      <w:vertAlign w:val="baseline"/>
                      <w:lang w:val="en-US" w:eastAsia="zh-CN"/>
                    </w:rPr>
                    <w:t>2</w:t>
                  </w:r>
                  <w:r>
                    <w:rPr>
                      <w:rFonts w:hint="default" w:ascii="Times New Roman" w:hAnsi="Times New Roman" w:eastAsia="宋体" w:cs="Times New Roman"/>
                      <w:sz w:val="21"/>
                      <w:szCs w:val="21"/>
                      <w:vertAlign w:val="baseline"/>
                      <w:lang w:val="en-US" w:eastAsia="zh-CN"/>
                    </w:rPr>
                    <w:t>类功能区</w:t>
                  </w:r>
                </w:p>
              </w:tc>
              <w:tc>
                <w:tcPr>
                  <w:tcW w:w="1095" w:type="dxa"/>
                  <w:vMerge w:val="restart"/>
                  <w:tcBorders>
                    <w:tl2br w:val="nil"/>
                    <w:tr2bl w:val="nil"/>
                  </w:tcBorders>
                  <w:noWrap w:val="0"/>
                  <w:vAlign w:val="center"/>
                </w:tcPr>
                <w:p w14:paraId="6633A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占地厂界外</w:t>
                  </w:r>
                  <w:r>
                    <w:rPr>
                      <w:rFonts w:hint="default" w:ascii="Times New Roman" w:hAnsi="Times New Roman" w:eastAsia="宋体" w:cs="Times New Roman"/>
                      <w:sz w:val="21"/>
                      <w:szCs w:val="21"/>
                      <w:vertAlign w:val="baseline"/>
                      <w:lang w:val="en-US" w:eastAsia="zh-CN"/>
                    </w:rPr>
                    <w:t>1m</w:t>
                  </w:r>
                </w:p>
              </w:tc>
            </w:tr>
            <w:tr w14:paraId="511F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1143" w:type="dxa"/>
                  <w:vMerge w:val="continue"/>
                  <w:tcBorders>
                    <w:tl2br w:val="nil"/>
                    <w:tr2bl w:val="nil"/>
                  </w:tcBorders>
                  <w:noWrap w:val="0"/>
                  <w:vAlign w:val="center"/>
                </w:tcPr>
                <w:p w14:paraId="6E9AD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p>
              </w:tc>
              <w:tc>
                <w:tcPr>
                  <w:tcW w:w="862" w:type="dxa"/>
                  <w:vMerge w:val="continue"/>
                  <w:tcBorders>
                    <w:tl2br w:val="nil"/>
                    <w:tr2bl w:val="nil"/>
                  </w:tcBorders>
                  <w:noWrap w:val="0"/>
                  <w:vAlign w:val="center"/>
                </w:tcPr>
                <w:p w14:paraId="4FD7D6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p>
              </w:tc>
              <w:tc>
                <w:tcPr>
                  <w:tcW w:w="755" w:type="dxa"/>
                  <w:tcBorders>
                    <w:tl2br w:val="nil"/>
                    <w:tr2bl w:val="nil"/>
                  </w:tcBorders>
                  <w:noWrap w:val="0"/>
                  <w:vAlign w:val="center"/>
                </w:tcPr>
                <w:p w14:paraId="0243C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夜间</w:t>
                  </w:r>
                </w:p>
              </w:tc>
              <w:tc>
                <w:tcPr>
                  <w:tcW w:w="1268" w:type="dxa"/>
                  <w:tcBorders>
                    <w:tl2br w:val="nil"/>
                    <w:tr2bl w:val="nil"/>
                  </w:tcBorders>
                  <w:noWrap w:val="0"/>
                  <w:vAlign w:val="center"/>
                </w:tcPr>
                <w:p w14:paraId="37293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55dB（A）</w:t>
                  </w:r>
                </w:p>
              </w:tc>
              <w:tc>
                <w:tcPr>
                  <w:tcW w:w="2846" w:type="dxa"/>
                  <w:vMerge w:val="continue"/>
                  <w:tcBorders>
                    <w:tl2br w:val="nil"/>
                    <w:tr2bl w:val="nil"/>
                  </w:tcBorders>
                  <w:noWrap w:val="0"/>
                  <w:vAlign w:val="center"/>
                </w:tcPr>
                <w:p w14:paraId="166F83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p>
              </w:tc>
              <w:tc>
                <w:tcPr>
                  <w:tcW w:w="1095" w:type="dxa"/>
                  <w:vMerge w:val="continue"/>
                  <w:tcBorders>
                    <w:tl2br w:val="nil"/>
                    <w:tr2bl w:val="nil"/>
                  </w:tcBorders>
                  <w:noWrap w:val="0"/>
                  <w:vAlign w:val="center"/>
                </w:tcPr>
                <w:p w14:paraId="22015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p>
              </w:tc>
            </w:tr>
          </w:tbl>
          <w:p w14:paraId="56F22641">
            <w:pPr>
              <w:keepNext w:val="0"/>
              <w:keepLines w:val="0"/>
              <w:pageBreakBefore w:val="0"/>
              <w:widowControl w:val="0"/>
              <w:tabs>
                <w:tab w:val="left" w:pos="1100"/>
              </w:tabs>
              <w:kinsoku/>
              <w:wordWrap/>
              <w:overflowPunct/>
              <w:topLinePunct w:val="0"/>
              <w:autoSpaceDE/>
              <w:autoSpaceDN/>
              <w:bidi w:val="0"/>
              <w:adjustRightInd/>
              <w:snapToGrid/>
              <w:spacing w:before="157" w:beforeLines="50" w:line="360" w:lineRule="auto"/>
              <w:ind w:left="0" w:leftChars="0" w:firstLine="0" w:firstLineChars="0"/>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 xml:space="preserve">2 </w:t>
            </w:r>
            <w:r>
              <w:rPr>
                <w:rFonts w:hint="default" w:ascii="Times New Roman" w:hAnsi="Times New Roman" w:eastAsia="宋体" w:cs="Times New Roman"/>
                <w:b/>
                <w:bCs/>
                <w:sz w:val="24"/>
                <w:szCs w:val="24"/>
                <w:lang w:val="en-US" w:eastAsia="zh-CN"/>
              </w:rPr>
              <w:t>控制标准</w:t>
            </w:r>
          </w:p>
          <w:p w14:paraId="496D42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①关于发布《固体废物分类与代码目录》的公告（生态环境部公告2024年第4号）；</w:t>
            </w:r>
          </w:p>
          <w:p w14:paraId="677BDC29">
            <w:pPr>
              <w:keepNext w:val="0"/>
              <w:keepLines w:val="0"/>
              <w:pageBreakBefore w:val="0"/>
              <w:widowControl w:val="0"/>
              <w:suppressLineNumbers w:val="0"/>
              <w:kinsoku/>
              <w:wordWrap/>
              <w:overflowPunct/>
              <w:topLinePunct w:val="0"/>
              <w:bidi w:val="0"/>
              <w:adjustRightInd w:val="0"/>
              <w:snapToGrid/>
              <w:spacing w:before="0" w:beforeAutospacing="0" w:after="0" w:afterAutospacing="0" w:line="500" w:lineRule="exact"/>
              <w:ind w:left="0" w:leftChars="0" w:right="0" w:firstLine="480" w:firstLineChars="200"/>
              <w:textAlignment w:val="auto"/>
              <w:rPr>
                <w:rFonts w:ascii="宋体" w:hAnsi="宋体" w:cs="宋体"/>
                <w:kern w:val="0"/>
                <w:szCs w:val="21"/>
              </w:rPr>
            </w:pPr>
            <w:r>
              <w:rPr>
                <w:rFonts w:hint="default" w:ascii="Times New Roman" w:hAnsi="Times New Roman" w:eastAsia="宋体" w:cs="Times New Roman"/>
                <w:sz w:val="24"/>
                <w:szCs w:val="24"/>
                <w:lang w:val="en-US" w:eastAsia="zh-CN"/>
              </w:rPr>
              <w:t>②《危险废物贮存污染控制标准》（GB18597-20</w:t>
            </w:r>
            <w:r>
              <w:rPr>
                <w:rFonts w:hint="eastAsia" w:cs="Times New Roman"/>
                <w:sz w:val="24"/>
                <w:szCs w:val="24"/>
                <w:lang w:val="en-US" w:eastAsia="zh-CN"/>
              </w:rPr>
              <w:t>23</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w:t>
            </w:r>
          </w:p>
        </w:tc>
      </w:tr>
      <w:tr w14:paraId="39AB9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65" w:hRule="atLeast"/>
          <w:jc w:val="center"/>
        </w:trPr>
        <w:tc>
          <w:tcPr>
            <w:tcW w:w="800" w:type="dxa"/>
            <w:tcBorders>
              <w:tl2br w:val="nil"/>
              <w:tr2bl w:val="nil"/>
            </w:tcBorders>
            <w:noWrap w:val="0"/>
            <w:vAlign w:val="center"/>
          </w:tcPr>
          <w:p w14:paraId="17521BA9">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总量</w:t>
            </w:r>
          </w:p>
          <w:p w14:paraId="4717E7E4">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控制</w:t>
            </w:r>
          </w:p>
          <w:p w14:paraId="7930729B">
            <w:pPr>
              <w:adjustRightInd w:val="0"/>
              <w:snapToGrid w:val="0"/>
              <w:jc w:val="center"/>
              <w:rPr>
                <w:rFonts w:ascii="宋体" w:hAnsi="宋体" w:cs="宋体"/>
                <w:kern w:val="0"/>
                <w:szCs w:val="21"/>
              </w:rPr>
            </w:pPr>
            <w:r>
              <w:rPr>
                <w:rFonts w:hint="eastAsia" w:ascii="宋体" w:hAnsi="宋体" w:cs="宋体"/>
                <w:b/>
                <w:bCs/>
                <w:kern w:val="0"/>
                <w:sz w:val="24"/>
                <w:szCs w:val="24"/>
              </w:rPr>
              <w:t>指标</w:t>
            </w:r>
          </w:p>
        </w:tc>
        <w:tc>
          <w:tcPr>
            <w:tcW w:w="8190" w:type="dxa"/>
            <w:tcBorders>
              <w:tl2br w:val="nil"/>
              <w:tr2bl w:val="nil"/>
            </w:tcBorders>
            <w:noWrap w:val="0"/>
            <w:vAlign w:val="center"/>
          </w:tcPr>
          <w:p w14:paraId="41DE1E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240" w:firstLineChars="100"/>
              <w:jc w:val="left"/>
              <w:textAlignment w:val="auto"/>
              <w:rPr>
                <w:rFonts w:hint="default" w:ascii="宋体" w:hAnsi="宋体" w:cs="宋体"/>
                <w:kern w:val="0"/>
                <w:szCs w:val="21"/>
                <w:lang w:val="en-US"/>
              </w:rPr>
            </w:pPr>
            <w:r>
              <w:rPr>
                <w:rFonts w:hint="default" w:ascii="Times New Roman" w:hAnsi="Times New Roman" w:cs="Times New Roman"/>
                <w:color w:val="auto"/>
                <w:sz w:val="24"/>
                <w:szCs w:val="24"/>
                <w:highlight w:val="none"/>
                <w:lang w:val="en-US" w:eastAsia="zh-CN"/>
              </w:rPr>
              <w:t>本项目总量控制为非甲烷总烃</w:t>
            </w:r>
            <w:r>
              <w:rPr>
                <w:rFonts w:hint="eastAsia" w:cs="Times New Roman"/>
                <w:color w:val="auto"/>
                <w:sz w:val="24"/>
                <w:szCs w:val="24"/>
                <w:highlight w:val="none"/>
                <w:lang w:val="en-US" w:eastAsia="zh-CN"/>
              </w:rPr>
              <w:t>（以VOCs记）0.867</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，NOx6.64</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污水总量控制指标纳入</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轮台县</w:t>
            </w:r>
            <w:r>
              <w:rPr>
                <w:rFonts w:hint="default" w:ascii="Times New Roman" w:hAnsi="Times New Roman" w:cs="Times New Roman"/>
                <w:color w:val="auto"/>
                <w:sz w:val="24"/>
                <w:szCs w:val="24"/>
                <w:highlight w:val="none"/>
                <w:lang w:val="en-US" w:eastAsia="zh-CN"/>
              </w:rPr>
              <w:t>城镇</w:t>
            </w:r>
            <w:r>
              <w:rPr>
                <w:rFonts w:hint="default" w:ascii="Times New Roman" w:hAnsi="Times New Roman" w:eastAsia="宋体" w:cs="Times New Roman"/>
                <w:color w:val="auto"/>
                <w:sz w:val="24"/>
                <w:szCs w:val="24"/>
                <w:highlight w:val="none"/>
                <w:lang w:val="en-US" w:eastAsia="zh-CN"/>
              </w:rPr>
              <w:t>污水处理厂</w:t>
            </w:r>
            <w:r>
              <w:rPr>
                <w:rFonts w:hint="default" w:ascii="Times New Roman" w:hAnsi="Times New Roman" w:eastAsia="宋体" w:cs="Times New Roman"/>
                <w:color w:val="auto"/>
                <w:sz w:val="24"/>
                <w:szCs w:val="24"/>
                <w:highlight w:val="none"/>
              </w:rPr>
              <w:t>总量控制指标内进行总量控制</w:t>
            </w:r>
            <w:r>
              <w:rPr>
                <w:rFonts w:hint="eastAsia" w:cs="Times New Roman"/>
                <w:color w:val="auto"/>
                <w:sz w:val="24"/>
                <w:szCs w:val="24"/>
                <w:highlight w:val="none"/>
                <w:lang w:eastAsia="zh-CN"/>
              </w:rPr>
              <w:t>。</w:t>
            </w:r>
          </w:p>
        </w:tc>
      </w:tr>
    </w:tbl>
    <w:p w14:paraId="699AFCD5">
      <w:r>
        <w:br w:type="page"/>
      </w:r>
    </w:p>
    <w:p w14:paraId="183DD417">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21"/>
        <w:tblW w:w="96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846"/>
      </w:tblGrid>
      <w:tr w14:paraId="205B2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841" w:type="dxa"/>
            <w:tcBorders>
              <w:tl2br w:val="nil"/>
              <w:tr2bl w:val="nil"/>
            </w:tcBorders>
            <w:noWrap w:val="0"/>
            <w:tcMar>
              <w:left w:w="28" w:type="dxa"/>
              <w:right w:w="28" w:type="dxa"/>
            </w:tcMar>
            <w:vAlign w:val="center"/>
          </w:tcPr>
          <w:p w14:paraId="5F8E54D7">
            <w:pPr>
              <w:pStyle w:val="19"/>
              <w:adjustRightInd w:val="0"/>
              <w:snapToGrid w:val="0"/>
              <w:spacing w:before="0" w:beforeAutospacing="0" w:after="0" w:afterAutospacing="0"/>
              <w:jc w:val="center"/>
              <w:rPr>
                <w:rFonts w:hint="eastAsia" w:cs="宋体"/>
                <w:b/>
                <w:bCs/>
                <w:kern w:val="2"/>
                <w:sz w:val="24"/>
                <w:szCs w:val="24"/>
              </w:rPr>
            </w:pPr>
            <w:r>
              <w:rPr>
                <w:rFonts w:hint="eastAsia" w:cs="宋体"/>
                <w:b/>
                <w:bCs/>
                <w:kern w:val="2"/>
                <w:sz w:val="24"/>
                <w:szCs w:val="24"/>
              </w:rPr>
              <w:t>施工</w:t>
            </w:r>
          </w:p>
          <w:p w14:paraId="775073B2">
            <w:pPr>
              <w:pStyle w:val="19"/>
              <w:adjustRightInd w:val="0"/>
              <w:snapToGrid w:val="0"/>
              <w:spacing w:before="0" w:beforeAutospacing="0" w:after="0" w:afterAutospacing="0"/>
              <w:jc w:val="center"/>
              <w:rPr>
                <w:rFonts w:hint="eastAsia" w:cs="宋体"/>
                <w:b/>
                <w:bCs/>
                <w:kern w:val="2"/>
                <w:sz w:val="24"/>
                <w:szCs w:val="24"/>
              </w:rPr>
            </w:pPr>
            <w:r>
              <w:rPr>
                <w:rFonts w:hint="eastAsia" w:cs="宋体"/>
                <w:b/>
                <w:bCs/>
                <w:kern w:val="2"/>
                <w:sz w:val="24"/>
                <w:szCs w:val="24"/>
              </w:rPr>
              <w:t>期环</w:t>
            </w:r>
          </w:p>
          <w:p w14:paraId="51184F56">
            <w:pPr>
              <w:pStyle w:val="19"/>
              <w:adjustRightInd w:val="0"/>
              <w:snapToGrid w:val="0"/>
              <w:spacing w:before="0" w:beforeAutospacing="0" w:after="0" w:afterAutospacing="0"/>
              <w:jc w:val="center"/>
              <w:rPr>
                <w:rFonts w:hint="eastAsia" w:cs="宋体"/>
                <w:b/>
                <w:bCs/>
                <w:kern w:val="2"/>
                <w:sz w:val="24"/>
                <w:szCs w:val="24"/>
              </w:rPr>
            </w:pPr>
            <w:r>
              <w:rPr>
                <w:rFonts w:hint="eastAsia" w:cs="宋体"/>
                <w:b/>
                <w:bCs/>
                <w:kern w:val="2"/>
                <w:sz w:val="24"/>
                <w:szCs w:val="24"/>
              </w:rPr>
              <w:t>境保</w:t>
            </w:r>
          </w:p>
          <w:p w14:paraId="3D7968EE">
            <w:pPr>
              <w:pStyle w:val="19"/>
              <w:adjustRightInd w:val="0"/>
              <w:snapToGrid w:val="0"/>
              <w:spacing w:before="0" w:beforeAutospacing="0" w:after="0" w:afterAutospacing="0"/>
              <w:jc w:val="center"/>
              <w:rPr>
                <w:rFonts w:hint="eastAsia" w:cs="宋体"/>
                <w:b/>
                <w:bCs/>
                <w:kern w:val="2"/>
                <w:sz w:val="24"/>
                <w:szCs w:val="24"/>
              </w:rPr>
            </w:pPr>
            <w:r>
              <w:rPr>
                <w:rFonts w:hint="eastAsia" w:cs="宋体"/>
                <w:b/>
                <w:bCs/>
                <w:kern w:val="2"/>
                <w:sz w:val="24"/>
                <w:szCs w:val="24"/>
              </w:rPr>
              <w:t>护措</w:t>
            </w:r>
          </w:p>
          <w:p w14:paraId="5E0C53C6">
            <w:pPr>
              <w:pStyle w:val="19"/>
              <w:adjustRightInd w:val="0"/>
              <w:snapToGrid w:val="0"/>
              <w:spacing w:before="0" w:beforeAutospacing="0" w:after="0" w:afterAutospacing="0"/>
              <w:jc w:val="center"/>
              <w:rPr>
                <w:rFonts w:hint="eastAsia" w:cs="宋体"/>
                <w:b/>
                <w:bCs/>
                <w:kern w:val="2"/>
                <w:sz w:val="24"/>
                <w:szCs w:val="24"/>
              </w:rPr>
            </w:pPr>
            <w:r>
              <w:rPr>
                <w:rFonts w:hint="eastAsia" w:cs="宋体"/>
                <w:b/>
                <w:bCs/>
                <w:kern w:val="2"/>
                <w:sz w:val="24"/>
                <w:szCs w:val="24"/>
              </w:rPr>
              <w:t>施</w:t>
            </w:r>
          </w:p>
        </w:tc>
        <w:tc>
          <w:tcPr>
            <w:tcW w:w="8846" w:type="dxa"/>
            <w:tcBorders>
              <w:tl2br w:val="nil"/>
              <w:tr2bl w:val="nil"/>
            </w:tcBorders>
            <w:noWrap w:val="0"/>
            <w:vAlign w:val="center"/>
          </w:tcPr>
          <w:p w14:paraId="6F84273C">
            <w:pPr>
              <w:pStyle w:val="39"/>
              <w:rPr>
                <w:rFonts w:hint="default" w:eastAsia="宋体"/>
                <w:lang w:val="en-US" w:eastAsia="zh-CN"/>
              </w:rPr>
            </w:pPr>
            <w:r>
              <w:rPr>
                <w:rFonts w:hint="eastAsia"/>
                <w:lang w:val="en-US" w:eastAsia="zh-CN"/>
              </w:rPr>
              <w:t>本项目位于园区内，属于重大变动重新报批项目，施工主体已建设完成，本次评价不在对施工期环境影响进行分析。</w:t>
            </w:r>
          </w:p>
        </w:tc>
      </w:tr>
      <w:tr w14:paraId="31735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61" w:hRule="atLeast"/>
          <w:jc w:val="center"/>
        </w:trPr>
        <w:tc>
          <w:tcPr>
            <w:tcW w:w="841" w:type="dxa"/>
            <w:tcBorders>
              <w:tl2br w:val="nil"/>
              <w:tr2bl w:val="nil"/>
            </w:tcBorders>
            <w:noWrap w:val="0"/>
            <w:tcMar>
              <w:left w:w="28" w:type="dxa"/>
              <w:right w:w="28" w:type="dxa"/>
            </w:tcMar>
            <w:vAlign w:val="center"/>
          </w:tcPr>
          <w:p w14:paraId="5C6FE3F3">
            <w:pPr>
              <w:adjustRightInd w:val="0"/>
              <w:snapToGrid w:val="0"/>
              <w:jc w:val="center"/>
              <w:rPr>
                <w:rFonts w:hint="eastAsia" w:ascii="宋体" w:hAnsi="宋体" w:cs="宋体"/>
                <w:b/>
                <w:bCs/>
                <w:sz w:val="24"/>
                <w:szCs w:val="24"/>
              </w:rPr>
            </w:pPr>
            <w:r>
              <w:rPr>
                <w:rFonts w:hint="eastAsia" w:ascii="宋体" w:hAnsi="宋体" w:cs="宋体"/>
                <w:b/>
                <w:bCs/>
                <w:sz w:val="24"/>
                <w:szCs w:val="24"/>
              </w:rPr>
              <w:t>运营</w:t>
            </w:r>
          </w:p>
          <w:p w14:paraId="66DDEB45">
            <w:pPr>
              <w:adjustRightInd w:val="0"/>
              <w:snapToGrid w:val="0"/>
              <w:jc w:val="center"/>
              <w:rPr>
                <w:rFonts w:hint="eastAsia" w:ascii="宋体" w:hAnsi="宋体" w:cs="宋体"/>
                <w:b/>
                <w:bCs/>
                <w:sz w:val="24"/>
                <w:szCs w:val="24"/>
              </w:rPr>
            </w:pPr>
            <w:r>
              <w:rPr>
                <w:rFonts w:hint="eastAsia" w:ascii="宋体" w:hAnsi="宋体" w:cs="宋体"/>
                <w:b/>
                <w:bCs/>
                <w:sz w:val="24"/>
                <w:szCs w:val="24"/>
              </w:rPr>
              <w:t>期环</w:t>
            </w:r>
          </w:p>
          <w:p w14:paraId="04F3D9F7">
            <w:pPr>
              <w:adjustRightInd w:val="0"/>
              <w:snapToGrid w:val="0"/>
              <w:jc w:val="center"/>
              <w:rPr>
                <w:rFonts w:hint="eastAsia" w:ascii="宋体" w:hAnsi="宋体" w:cs="宋体"/>
                <w:b/>
                <w:bCs/>
                <w:sz w:val="24"/>
                <w:szCs w:val="24"/>
              </w:rPr>
            </w:pPr>
            <w:r>
              <w:rPr>
                <w:rFonts w:hint="eastAsia" w:ascii="宋体" w:hAnsi="宋体" w:cs="宋体"/>
                <w:b/>
                <w:bCs/>
                <w:sz w:val="24"/>
                <w:szCs w:val="24"/>
              </w:rPr>
              <w:t>境影</w:t>
            </w:r>
          </w:p>
          <w:p w14:paraId="0FBB5327">
            <w:pPr>
              <w:adjustRightInd w:val="0"/>
              <w:snapToGrid w:val="0"/>
              <w:jc w:val="center"/>
              <w:rPr>
                <w:rFonts w:hint="eastAsia" w:ascii="宋体" w:hAnsi="宋体" w:cs="宋体"/>
                <w:b/>
                <w:bCs/>
                <w:sz w:val="24"/>
                <w:szCs w:val="24"/>
              </w:rPr>
            </w:pPr>
            <w:r>
              <w:rPr>
                <w:rFonts w:hint="eastAsia" w:ascii="宋体" w:hAnsi="宋体" w:cs="宋体"/>
                <w:b/>
                <w:bCs/>
                <w:sz w:val="24"/>
                <w:szCs w:val="24"/>
              </w:rPr>
              <w:t>响和</w:t>
            </w:r>
          </w:p>
          <w:p w14:paraId="0EC76EC6">
            <w:pPr>
              <w:adjustRightInd w:val="0"/>
              <w:snapToGrid w:val="0"/>
              <w:jc w:val="center"/>
              <w:rPr>
                <w:rFonts w:hint="eastAsia" w:ascii="宋体" w:hAnsi="宋体" w:cs="宋体"/>
                <w:b/>
                <w:bCs/>
                <w:sz w:val="24"/>
                <w:szCs w:val="24"/>
              </w:rPr>
            </w:pPr>
            <w:r>
              <w:rPr>
                <w:rFonts w:hint="eastAsia" w:ascii="宋体" w:hAnsi="宋体" w:cs="宋体"/>
                <w:b/>
                <w:bCs/>
                <w:sz w:val="24"/>
                <w:szCs w:val="24"/>
              </w:rPr>
              <w:t>保护</w:t>
            </w:r>
          </w:p>
          <w:p w14:paraId="5576F95B">
            <w:pPr>
              <w:adjustRightInd w:val="0"/>
              <w:snapToGrid w:val="0"/>
              <w:jc w:val="center"/>
              <w:rPr>
                <w:rFonts w:ascii="宋体" w:hAnsi="宋体" w:cs="宋体"/>
                <w:b/>
                <w:bCs/>
                <w:sz w:val="24"/>
                <w:szCs w:val="24"/>
              </w:rPr>
            </w:pPr>
            <w:r>
              <w:rPr>
                <w:rFonts w:hint="eastAsia" w:ascii="宋体" w:hAnsi="宋体" w:cs="宋体"/>
                <w:b/>
                <w:bCs/>
                <w:sz w:val="24"/>
                <w:szCs w:val="24"/>
              </w:rPr>
              <w:t>措施</w:t>
            </w:r>
          </w:p>
        </w:tc>
        <w:tc>
          <w:tcPr>
            <w:tcW w:w="8846" w:type="dxa"/>
            <w:tcBorders>
              <w:tl2br w:val="nil"/>
              <w:tr2bl w:val="nil"/>
            </w:tcBorders>
            <w:noWrap w:val="0"/>
            <w:vAlign w:val="center"/>
          </w:tcPr>
          <w:p w14:paraId="4D2210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z w:val="24"/>
                <w:szCs w:val="24"/>
                <w:lang w:eastAsia="zh-CN"/>
              </w:rPr>
            </w:pPr>
            <w:r>
              <w:rPr>
                <w:rFonts w:hint="eastAsia" w:cs="Times New Roman"/>
                <w:b/>
                <w:bCs/>
                <w:sz w:val="24"/>
                <w:szCs w:val="24"/>
                <w:lang w:val="en-US" w:eastAsia="zh-CN"/>
              </w:rPr>
              <w:t xml:space="preserve">1 </w:t>
            </w:r>
            <w:r>
              <w:rPr>
                <w:rFonts w:hint="eastAsia" w:ascii="Times New Roman" w:hAnsi="Times New Roman" w:eastAsia="宋体" w:cs="Times New Roman"/>
                <w:b/>
                <w:bCs/>
                <w:sz w:val="24"/>
                <w:szCs w:val="24"/>
                <w:lang w:eastAsia="zh-CN"/>
              </w:rPr>
              <w:t>大气环境影响及保护措施</w:t>
            </w:r>
          </w:p>
          <w:p w14:paraId="27BA7CEF">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right="0"/>
              <w:jc w:val="left"/>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1.1 有组织</w:t>
            </w:r>
            <w:r>
              <w:rPr>
                <w:rFonts w:hint="default" w:ascii="Times New Roman" w:hAnsi="Times New Roman" w:eastAsia="宋体" w:cs="Times New Roman"/>
                <w:b/>
                <w:bCs/>
                <w:color w:val="auto"/>
                <w:sz w:val="24"/>
                <w:szCs w:val="24"/>
                <w:lang w:val="en-US" w:eastAsia="zh-CN"/>
              </w:rPr>
              <w:t>废气</w:t>
            </w:r>
          </w:p>
          <w:p w14:paraId="56E2BEE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本项目大气污染物主要为生产过程中产生的</w:t>
            </w:r>
            <w:r>
              <w:rPr>
                <w:rFonts w:hint="eastAsia" w:cs="Times New Roman"/>
                <w:b w:val="0"/>
                <w:bCs w:val="0"/>
                <w:color w:val="000000"/>
                <w:kern w:val="2"/>
                <w:sz w:val="24"/>
                <w:szCs w:val="24"/>
                <w:lang w:val="en-US" w:eastAsia="zh-CN" w:bidi="ar-SA"/>
              </w:rPr>
              <w:t>非甲烷总烃、颗粒物、</w:t>
            </w:r>
            <w:r>
              <w:rPr>
                <w:rFonts w:hint="default" w:ascii="Times New Roman" w:hAnsi="Times New Roman" w:eastAsia="宋体" w:cs="Times New Roman"/>
                <w:b w:val="0"/>
                <w:bCs w:val="0"/>
                <w:color w:val="000000"/>
                <w:kern w:val="2"/>
                <w:sz w:val="24"/>
                <w:szCs w:val="24"/>
                <w:highlight w:val="none"/>
                <w:lang w:val="en-US" w:eastAsia="zh-CN" w:bidi="ar-SA"/>
              </w:rPr>
              <w:t>臭气</w:t>
            </w:r>
            <w:r>
              <w:rPr>
                <w:rFonts w:hint="eastAsia" w:cs="Times New Roman"/>
                <w:b w:val="0"/>
                <w:bCs w:val="0"/>
                <w:color w:val="000000"/>
                <w:kern w:val="2"/>
                <w:sz w:val="24"/>
                <w:szCs w:val="24"/>
                <w:highlight w:val="none"/>
                <w:lang w:val="en-US" w:eastAsia="zh-CN" w:bidi="ar-SA"/>
              </w:rPr>
              <w:t>浓度</w:t>
            </w:r>
            <w:r>
              <w:rPr>
                <w:rFonts w:hint="eastAsia" w:ascii="Times New Roman" w:hAnsi="Times New Roman" w:eastAsia="宋体" w:cs="Times New Roman"/>
                <w:b w:val="0"/>
                <w:bCs w:val="0"/>
                <w:color w:val="000000"/>
                <w:kern w:val="2"/>
                <w:sz w:val="24"/>
                <w:szCs w:val="24"/>
                <w:highlight w:val="none"/>
                <w:lang w:val="en-US" w:eastAsia="zh-CN" w:bidi="ar-SA"/>
              </w:rPr>
              <w:t>、</w:t>
            </w:r>
            <w:r>
              <w:rPr>
                <w:rFonts w:hint="default" w:ascii="Times New Roman" w:hAnsi="Times New Roman" w:eastAsia="宋体" w:cs="Times New Roman"/>
                <w:b w:val="0"/>
                <w:bCs w:val="0"/>
                <w:color w:val="000000"/>
                <w:kern w:val="2"/>
                <w:sz w:val="24"/>
                <w:szCs w:val="24"/>
                <w:highlight w:val="none"/>
                <w:lang w:val="en-US" w:eastAsia="zh-CN" w:bidi="ar-SA"/>
              </w:rPr>
              <w:t>食堂油烟及车辆尾气。</w:t>
            </w:r>
            <w:r>
              <w:rPr>
                <w:rFonts w:hint="eastAsia" w:ascii="Times New Roman" w:hAnsi="Times New Roman" w:eastAsia="宋体" w:cs="Times New Roman"/>
                <w:b w:val="0"/>
                <w:bCs w:val="0"/>
                <w:color w:val="000000"/>
                <w:kern w:val="2"/>
                <w:sz w:val="24"/>
                <w:szCs w:val="24"/>
                <w:lang w:val="en-US" w:eastAsia="zh-CN" w:bidi="ar-SA"/>
              </w:rPr>
              <w:t>项目生产过程中的粉尘主要来自预处理车间清籽、破碎剥壳产生的粉尘；剥绒车间风力清籽工艺产生的粉尘；第一道、第二道剥绒工序产生的粉尘；以及棒条筛和齿辊清绒机中产生的少量粉尘和粕冷却粉尘</w:t>
            </w:r>
            <w:r>
              <w:rPr>
                <w:rFonts w:hint="eastAsia" w:cs="Times New Roman"/>
                <w:b w:val="0"/>
                <w:bCs w:val="0"/>
                <w:color w:val="000000"/>
                <w:kern w:val="2"/>
                <w:sz w:val="24"/>
                <w:szCs w:val="24"/>
                <w:lang w:val="en-US" w:eastAsia="zh-CN" w:bidi="ar-SA"/>
              </w:rPr>
              <w:t>，浸出车间棉</w:t>
            </w:r>
            <w:r>
              <w:rPr>
                <w:rFonts w:hint="default" w:ascii="Times New Roman" w:hAnsi="Times New Roman" w:eastAsia="宋体" w:cs="Times New Roman"/>
                <w:b w:val="0"/>
                <w:bCs w:val="0"/>
                <w:color w:val="000000"/>
                <w:kern w:val="2"/>
                <w:sz w:val="24"/>
                <w:szCs w:val="24"/>
                <w:lang w:val="en-US" w:eastAsia="zh-CN" w:bidi="ar-SA"/>
              </w:rPr>
              <w:t>粕</w:t>
            </w:r>
            <w:r>
              <w:rPr>
                <w:rFonts w:hint="eastAsia" w:ascii="Times New Roman" w:hAnsi="Times New Roman" w:cs="Times New Roman"/>
                <w:b w:val="0"/>
                <w:bCs w:val="0"/>
                <w:color w:val="000000"/>
                <w:kern w:val="2"/>
                <w:sz w:val="24"/>
                <w:szCs w:val="24"/>
                <w:lang w:val="en-US" w:eastAsia="zh-CN" w:bidi="ar-SA"/>
              </w:rPr>
              <w:t>冷却产生的粉尘</w:t>
            </w:r>
            <w:r>
              <w:rPr>
                <w:rFonts w:hint="eastAsia" w:cs="Times New Roman"/>
                <w:b w:val="0"/>
                <w:bCs w:val="0"/>
                <w:color w:val="000000"/>
                <w:kern w:val="2"/>
                <w:sz w:val="24"/>
                <w:szCs w:val="24"/>
                <w:lang w:val="en-US" w:eastAsia="zh-CN" w:bidi="ar-SA"/>
              </w:rPr>
              <w:t>，浸出车间产生的非甲烷总烃、臭气浓度</w:t>
            </w:r>
            <w:r>
              <w:rPr>
                <w:rFonts w:hint="eastAsia" w:ascii="Times New Roman" w:hAnsi="Times New Roman" w:eastAsia="宋体" w:cs="Times New Roman"/>
                <w:b w:val="0"/>
                <w:bCs w:val="0"/>
                <w:color w:val="000000"/>
                <w:kern w:val="2"/>
                <w:sz w:val="24"/>
                <w:szCs w:val="24"/>
                <w:lang w:val="en-US" w:eastAsia="zh-CN" w:bidi="ar-SA"/>
              </w:rPr>
              <w:t>。</w:t>
            </w:r>
          </w:p>
          <w:p w14:paraId="37EDD2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剥绒车间</w:t>
            </w:r>
          </w:p>
          <w:p w14:paraId="3EC626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风力清籽工艺和第一道、第二道剥绒工序产生的粉尘以及棒条筛和齿辊清绒机中产生的少量粉尘。</w:t>
            </w:r>
          </w:p>
          <w:p w14:paraId="687134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cs="Times New Roman"/>
                <w:sz w:val="24"/>
                <w:szCs w:val="24"/>
                <w:lang w:val="en-US" w:eastAsia="zh-CN"/>
              </w:rPr>
            </w:pPr>
            <w:r>
              <w:rPr>
                <w:rFonts w:hint="eastAsia" w:cs="Times New Roman"/>
                <w:sz w:val="24"/>
                <w:szCs w:val="24"/>
                <w:lang w:val="en-US" w:eastAsia="zh-CN"/>
              </w:rPr>
              <w:t>剥绒</w:t>
            </w:r>
            <w:r>
              <w:rPr>
                <w:rFonts w:hint="eastAsia" w:ascii="Times New Roman" w:hAnsi="Times New Roman" w:eastAsia="宋体" w:cs="Times New Roman"/>
                <w:sz w:val="24"/>
                <w:szCs w:val="24"/>
                <w:lang w:val="en-US" w:eastAsia="zh-CN"/>
              </w:rPr>
              <w:t>车间原料为棉籽（</w:t>
            </w:r>
            <w:r>
              <w:rPr>
                <w:rFonts w:hint="eastAsia" w:ascii="Times New Roman" w:hAnsi="Times New Roman" w:eastAsia="宋体" w:cs="Times New Roman"/>
                <w:sz w:val="24"/>
                <w:szCs w:val="24"/>
                <w:highlight w:val="none"/>
                <w:lang w:val="en-US" w:eastAsia="zh-CN"/>
              </w:rPr>
              <w:t>年消耗棉籽</w:t>
            </w:r>
            <w:r>
              <w:rPr>
                <w:rFonts w:hint="eastAsia" w:cs="Times New Roman"/>
                <w:sz w:val="24"/>
                <w:szCs w:val="24"/>
                <w:highlight w:val="none"/>
                <w:lang w:val="en-US" w:eastAsia="zh-CN"/>
              </w:rPr>
              <w:t>10</w:t>
            </w:r>
            <w:r>
              <w:rPr>
                <w:rFonts w:hint="eastAsia" w:ascii="Times New Roman" w:hAnsi="Times New Roman" w:eastAsia="宋体" w:cs="Times New Roman"/>
                <w:sz w:val="24"/>
                <w:szCs w:val="24"/>
                <w:highlight w:val="none"/>
                <w:lang w:val="en-US" w:eastAsia="zh-CN"/>
              </w:rPr>
              <w:t>0000t/a</w:t>
            </w:r>
            <w:r>
              <w:rPr>
                <w:rFonts w:hint="eastAsia" w:ascii="Times New Roman" w:hAnsi="Times New Roman" w:eastAsia="宋体" w:cs="Times New Roman"/>
                <w:sz w:val="24"/>
                <w:szCs w:val="24"/>
                <w:lang w:val="en-US" w:eastAsia="zh-CN"/>
              </w:rPr>
              <w:t>），颗粒物由风力清籽、两道剥绒工序和棒条筛、齿辊清绒机工序中产生，本项目此工序无产排污系数，采取类比法</w:t>
            </w:r>
            <w:r>
              <w:rPr>
                <w:rFonts w:hint="eastAsia" w:ascii="Times New Roman" w:hAnsi="Times New Roman" w:eastAsia="宋体" w:cs="Times New Roman"/>
                <w:sz w:val="24"/>
                <w:szCs w:val="24"/>
                <w:highlight w:val="none"/>
                <w:lang w:val="en-US" w:eastAsia="zh-CN"/>
              </w:rPr>
              <w:t>，类比</w:t>
            </w:r>
            <w:r>
              <w:rPr>
                <w:rFonts w:hint="eastAsia" w:cs="Times New Roman"/>
                <w:sz w:val="24"/>
                <w:szCs w:val="24"/>
                <w:highlight w:val="none"/>
                <w:lang w:val="en-US" w:eastAsia="zh-CN"/>
              </w:rPr>
              <w:t>《</w:t>
            </w:r>
            <w:r>
              <w:rPr>
                <w:rFonts w:hint="eastAsia" w:ascii="Times New Roman" w:hAnsi="Times New Roman" w:eastAsia="宋体" w:cs="Times New Roman"/>
                <w:b w:val="0"/>
                <w:bCs w:val="0"/>
                <w:color w:val="000000"/>
                <w:kern w:val="2"/>
                <w:sz w:val="24"/>
                <w:szCs w:val="24"/>
                <w:highlight w:val="none"/>
                <w:lang w:val="en-US" w:eastAsia="zh-CN" w:bidi="ar-SA"/>
              </w:rPr>
              <w:t>新疆天泽粮牧植物蛋白科技有限公司年处理30万吨毛棉籽加工项目</w:t>
            </w:r>
            <w:r>
              <w:rPr>
                <w:rFonts w:hint="eastAsia" w:cs="Times New Roman"/>
                <w:b w:val="0"/>
                <w:bCs w:val="0"/>
                <w:color w:val="000000"/>
                <w:kern w:val="2"/>
                <w:sz w:val="24"/>
                <w:szCs w:val="24"/>
                <w:highlight w:val="none"/>
                <w:lang w:val="en-US" w:eastAsia="zh-CN" w:bidi="ar-SA"/>
              </w:rPr>
              <w:t>竣工环境保护验收报告</w:t>
            </w:r>
            <w:r>
              <w:rPr>
                <w:rFonts w:hint="eastAsia" w:cs="Times New Roman"/>
                <w:sz w:val="24"/>
                <w:szCs w:val="24"/>
                <w:highlight w:val="none"/>
                <w:lang w:val="en-US" w:eastAsia="zh-CN"/>
              </w:rPr>
              <w:t>》，该企业为新疆冠农股份有限公司全资子公司，位于铁门关市工业园内，与本项目轮台县环境地理特征较近，该项目建设规范，规模为年处理30万/吨棉籽，本项目年处理12万吨棉籽，小于类比规模，且工艺类型相似，除尘设备相似，符合类比要求，</w:t>
            </w:r>
            <w:r>
              <w:rPr>
                <w:rFonts w:hint="eastAsia" w:ascii="Times New Roman" w:hAnsi="Times New Roman" w:eastAsia="宋体" w:cs="Times New Roman"/>
                <w:b w:val="0"/>
                <w:bCs w:val="0"/>
                <w:color w:val="000000"/>
                <w:kern w:val="2"/>
                <w:sz w:val="24"/>
                <w:szCs w:val="24"/>
                <w:highlight w:val="none"/>
                <w:lang w:val="en-US" w:eastAsia="zh-CN" w:bidi="ar-SA"/>
              </w:rPr>
              <w:t>根据</w:t>
            </w:r>
            <w:r>
              <w:rPr>
                <w:rFonts w:hint="eastAsia" w:cs="Times New Roman"/>
                <w:b w:val="0"/>
                <w:bCs w:val="0"/>
                <w:color w:val="000000"/>
                <w:kern w:val="2"/>
                <w:sz w:val="24"/>
                <w:szCs w:val="24"/>
                <w:highlight w:val="none"/>
                <w:lang w:val="en-US" w:eastAsia="zh-CN" w:bidi="ar-SA"/>
              </w:rPr>
              <w:t>验收监测报告</w:t>
            </w:r>
            <w:r>
              <w:rPr>
                <w:rFonts w:hint="eastAsia" w:ascii="Times New Roman" w:hAnsi="Times New Roman" w:eastAsia="宋体" w:cs="Times New Roman"/>
                <w:b w:val="0"/>
                <w:bCs w:val="0"/>
                <w:color w:val="000000"/>
                <w:kern w:val="2"/>
                <w:sz w:val="24"/>
                <w:szCs w:val="24"/>
                <w:highlight w:val="none"/>
                <w:lang w:val="en-US" w:eastAsia="zh-CN" w:bidi="ar-SA"/>
              </w:rPr>
              <w:t>对比粉尘的产生量约为</w:t>
            </w:r>
            <w:r>
              <w:rPr>
                <w:rFonts w:hint="default" w:ascii="Times New Roman" w:hAnsi="Times New Roman" w:eastAsia="宋体" w:cs="Times New Roman"/>
                <w:b w:val="0"/>
                <w:bCs w:val="0"/>
                <w:color w:val="000000"/>
                <w:kern w:val="2"/>
                <w:sz w:val="24"/>
                <w:szCs w:val="24"/>
                <w:highlight w:val="none"/>
                <w:lang w:val="en-US" w:eastAsia="zh-CN" w:bidi="ar-SA"/>
              </w:rPr>
              <w:t>：</w:t>
            </w:r>
            <w:r>
              <w:rPr>
                <w:rFonts w:hint="eastAsia" w:cs="Times New Roman"/>
                <w:b w:val="0"/>
                <w:bCs w:val="0"/>
                <w:color w:val="000000"/>
                <w:kern w:val="2"/>
                <w:sz w:val="24"/>
                <w:szCs w:val="24"/>
                <w:highlight w:val="none"/>
                <w:lang w:val="en-US" w:eastAsia="zh-CN" w:bidi="ar-SA"/>
              </w:rPr>
              <w:t>2.7</w:t>
            </w:r>
            <w:r>
              <w:rPr>
                <w:rFonts w:hint="default" w:ascii="Times New Roman" w:hAnsi="Times New Roman" w:eastAsia="宋体" w:cs="Times New Roman"/>
                <w:b w:val="0"/>
                <w:bCs w:val="0"/>
                <w:color w:val="000000"/>
                <w:kern w:val="2"/>
                <w:sz w:val="24"/>
                <w:szCs w:val="24"/>
                <w:highlight w:val="none"/>
                <w:lang w:val="en-US" w:eastAsia="zh-CN" w:bidi="ar-SA"/>
              </w:rPr>
              <w:t>kg/t物料</w:t>
            </w:r>
            <w:r>
              <w:rPr>
                <w:rFonts w:hint="eastAsia" w:ascii="Times New Roman" w:hAnsi="Times New Roman" w:eastAsia="宋体" w:cs="Times New Roman"/>
                <w:sz w:val="24"/>
                <w:szCs w:val="24"/>
                <w:highlight w:val="none"/>
                <w:lang w:val="en-US" w:eastAsia="zh-CN"/>
              </w:rPr>
              <w:t>，粉尘收集采用中央集尘系统收集粉尘（风</w:t>
            </w:r>
            <w:r>
              <w:rPr>
                <w:rFonts w:hint="eastAsia" w:ascii="Times New Roman" w:hAnsi="Times New Roman" w:eastAsia="宋体" w:cs="Times New Roman"/>
                <w:sz w:val="24"/>
                <w:szCs w:val="24"/>
                <w:lang w:val="en-US" w:eastAsia="zh-CN"/>
              </w:rPr>
              <w:t>量为</w:t>
            </w:r>
            <w:r>
              <w:rPr>
                <w:rFonts w:hint="eastAsia" w:cs="Times New Roman"/>
                <w:sz w:val="24"/>
                <w:szCs w:val="24"/>
                <w:lang w:val="en-US" w:eastAsia="zh-CN"/>
              </w:rPr>
              <w:t>45000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lang w:val="en-US" w:eastAsia="zh-CN"/>
              </w:rPr>
              <w:t>/h</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，年工作时间300天，每天工作24小时，密闭设备及集尘系统，收集率100%，剥绒车间全密闭</w:t>
            </w:r>
            <w:r>
              <w:rPr>
                <w:rFonts w:hint="eastAsia" w:ascii="Times New Roman" w:hAnsi="Times New Roman" w:eastAsia="宋体" w:cs="Times New Roman"/>
                <w:sz w:val="24"/>
                <w:szCs w:val="24"/>
                <w:lang w:val="en-US" w:eastAsia="zh-CN"/>
              </w:rPr>
              <w:t>，后粉尘通过</w:t>
            </w:r>
            <w:r>
              <w:rPr>
                <w:rFonts w:hint="eastAsia" w:cs="Times New Roman"/>
                <w:sz w:val="24"/>
                <w:szCs w:val="24"/>
                <w:lang w:val="en-US" w:eastAsia="zh-CN"/>
              </w:rPr>
              <w:t>2套</w:t>
            </w:r>
            <w:r>
              <w:rPr>
                <w:rFonts w:hint="eastAsia" w:ascii="Times New Roman" w:hAnsi="Times New Roman" w:eastAsia="宋体" w:cs="Times New Roman"/>
                <w:sz w:val="24"/>
                <w:szCs w:val="24"/>
                <w:lang w:val="en-US" w:eastAsia="zh-CN"/>
              </w:rPr>
              <w:t>除尘组合系统（旋风除尘器除尘+袋式除尘器</w:t>
            </w:r>
            <w:r>
              <w:rPr>
                <w:rFonts w:hint="eastAsia" w:cs="Times New Roman"/>
                <w:sz w:val="24"/>
                <w:szCs w:val="24"/>
                <w:lang w:val="en-US" w:eastAsia="zh-CN"/>
              </w:rPr>
              <w:t>综合</w:t>
            </w:r>
            <w:r>
              <w:rPr>
                <w:rFonts w:hint="eastAsia" w:ascii="Times New Roman" w:hAnsi="Times New Roman" w:eastAsia="宋体" w:cs="Times New Roman"/>
                <w:sz w:val="24"/>
                <w:szCs w:val="24"/>
                <w:lang w:val="en-US" w:eastAsia="zh-CN"/>
              </w:rPr>
              <w:t>99</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%除尘效率）经过处理后的气体，</w:t>
            </w:r>
            <w:r>
              <w:rPr>
                <w:rFonts w:hint="eastAsia" w:ascii="Times New Roman" w:hAnsi="Times New Roman" w:eastAsia="宋体" w:cs="Times New Roman"/>
                <w:b w:val="0"/>
                <w:bCs w:val="0"/>
                <w:color w:val="000000"/>
                <w:kern w:val="2"/>
                <w:sz w:val="24"/>
                <w:szCs w:val="24"/>
                <w:lang w:val="en-US" w:eastAsia="zh-CN" w:bidi="ar-SA"/>
              </w:rPr>
              <w:t>在车间内</w:t>
            </w:r>
            <w:r>
              <w:rPr>
                <w:rFonts w:hint="eastAsia" w:cs="Times New Roman"/>
                <w:b w:val="0"/>
                <w:bCs w:val="0"/>
                <w:color w:val="000000"/>
                <w:kern w:val="2"/>
                <w:sz w:val="24"/>
                <w:szCs w:val="24"/>
                <w:lang w:val="en-US" w:eastAsia="zh-CN" w:bidi="ar-SA"/>
              </w:rPr>
              <w:t>进行通风</w:t>
            </w:r>
            <w:r>
              <w:rPr>
                <w:rFonts w:hint="eastAsia" w:ascii="Times New Roman" w:hAnsi="Times New Roman" w:eastAsia="宋体" w:cs="Times New Roman"/>
                <w:sz w:val="24"/>
                <w:szCs w:val="24"/>
                <w:lang w:val="en-US" w:eastAsia="zh-CN"/>
              </w:rPr>
              <w:t>，后通过15m排气筒外排。排放量见表4-</w:t>
            </w:r>
            <w:r>
              <w:rPr>
                <w:rFonts w:hint="eastAsia" w:cs="Times New Roman"/>
                <w:sz w:val="24"/>
                <w:szCs w:val="24"/>
                <w:lang w:val="en-US" w:eastAsia="zh-CN"/>
              </w:rPr>
              <w:t>2。</w:t>
            </w:r>
          </w:p>
          <w:p w14:paraId="2BDD823D">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黑体" w:hAnsi="黑体" w:eastAsia="黑体" w:cs="黑体"/>
                <w:b w:val="0"/>
                <w:bCs w:val="0"/>
                <w:color w:val="000000"/>
                <w:sz w:val="21"/>
                <w:szCs w:val="21"/>
                <w:lang w:val="en-US" w:eastAsia="zh-CN" w:bidi="ar-SA"/>
              </w:rPr>
            </w:pPr>
            <w:r>
              <w:rPr>
                <w:rFonts w:hint="eastAsia" w:ascii="黑体" w:hAnsi="黑体" w:eastAsia="黑体" w:cs="黑体"/>
                <w:b w:val="0"/>
                <w:bCs w:val="0"/>
                <w:color w:val="000000"/>
                <w:sz w:val="21"/>
                <w:szCs w:val="21"/>
                <w:lang w:val="en-US" w:eastAsia="zh-CN" w:bidi="ar-SA"/>
              </w:rPr>
              <w:t>表4-1   项目剥绒工艺有组织废气排放量一览表</w:t>
            </w:r>
          </w:p>
          <w:tbl>
            <w:tblPr>
              <w:tblStyle w:val="2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7" w:type="dxa"/>
                <w:bottom w:w="0" w:type="dxa"/>
                <w:right w:w="17" w:type="dxa"/>
              </w:tblCellMar>
            </w:tblPr>
            <w:tblGrid>
              <w:gridCol w:w="798"/>
              <w:gridCol w:w="420"/>
              <w:gridCol w:w="555"/>
              <w:gridCol w:w="661"/>
              <w:gridCol w:w="698"/>
              <w:gridCol w:w="860"/>
              <w:gridCol w:w="822"/>
              <w:gridCol w:w="524"/>
              <w:gridCol w:w="432"/>
              <w:gridCol w:w="593"/>
              <w:gridCol w:w="384"/>
              <w:gridCol w:w="343"/>
              <w:gridCol w:w="386"/>
              <w:gridCol w:w="1132"/>
            </w:tblGrid>
            <w:tr w14:paraId="063F5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8" w:hRule="atLeast"/>
                <w:jc w:val="center"/>
              </w:trPr>
              <w:tc>
                <w:tcPr>
                  <w:tcW w:w="464" w:type="pct"/>
                  <w:vMerge w:val="restart"/>
                  <w:tcBorders>
                    <w:tl2br w:val="nil"/>
                    <w:tr2bl w:val="nil"/>
                  </w:tcBorders>
                  <w:noWrap w:val="0"/>
                  <w:vAlign w:val="center"/>
                </w:tcPr>
                <w:p w14:paraId="7F81BB5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w:t>
                  </w:r>
                </w:p>
                <w:p w14:paraId="5E1D76A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环节</w:t>
                  </w:r>
                </w:p>
              </w:tc>
              <w:tc>
                <w:tcPr>
                  <w:tcW w:w="244" w:type="pct"/>
                  <w:vMerge w:val="restart"/>
                  <w:tcBorders>
                    <w:tl2br w:val="nil"/>
                    <w:tr2bl w:val="nil"/>
                  </w:tcBorders>
                  <w:noWrap w:val="0"/>
                  <w:vAlign w:val="center"/>
                </w:tcPr>
                <w:p w14:paraId="0715747F">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污染物名称</w:t>
                  </w:r>
                </w:p>
              </w:tc>
              <w:tc>
                <w:tcPr>
                  <w:tcW w:w="1111" w:type="pct"/>
                  <w:gridSpan w:val="3"/>
                  <w:tcBorders>
                    <w:tl2br w:val="nil"/>
                    <w:tr2bl w:val="nil"/>
                  </w:tcBorders>
                  <w:noWrap w:val="0"/>
                  <w:vAlign w:val="center"/>
                </w:tcPr>
                <w:p w14:paraId="3E4F4A1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产生状况</w:t>
                  </w:r>
                </w:p>
              </w:tc>
              <w:tc>
                <w:tcPr>
                  <w:tcW w:w="499" w:type="pct"/>
                  <w:tcBorders>
                    <w:tl2br w:val="nil"/>
                    <w:tr2bl w:val="nil"/>
                  </w:tcBorders>
                  <w:noWrap w:val="0"/>
                  <w:vAlign w:val="center"/>
                </w:tcPr>
                <w:p w14:paraId="60EA5637">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处理方式</w:t>
                  </w:r>
                </w:p>
              </w:tc>
              <w:tc>
                <w:tcPr>
                  <w:tcW w:w="477" w:type="pct"/>
                  <w:tcBorders>
                    <w:tl2br w:val="nil"/>
                    <w:tr2bl w:val="nil"/>
                  </w:tcBorders>
                  <w:noWrap w:val="0"/>
                  <w:vAlign w:val="center"/>
                </w:tcPr>
                <w:p w14:paraId="4302997E">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去除效率</w:t>
                  </w:r>
                </w:p>
              </w:tc>
              <w:tc>
                <w:tcPr>
                  <w:tcW w:w="899" w:type="pct"/>
                  <w:gridSpan w:val="3"/>
                  <w:tcBorders>
                    <w:tl2br w:val="nil"/>
                    <w:tr2bl w:val="nil"/>
                  </w:tcBorders>
                  <w:noWrap w:val="0"/>
                  <w:vAlign w:val="center"/>
                </w:tcPr>
                <w:p w14:paraId="6410F3F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排放状况</w:t>
                  </w:r>
                </w:p>
              </w:tc>
              <w:tc>
                <w:tcPr>
                  <w:tcW w:w="646" w:type="pct"/>
                  <w:gridSpan w:val="3"/>
                  <w:tcBorders>
                    <w:tl2br w:val="nil"/>
                    <w:tr2bl w:val="nil"/>
                  </w:tcBorders>
                  <w:noWrap w:val="0"/>
                  <w:vAlign w:val="center"/>
                </w:tcPr>
                <w:p w14:paraId="553031A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排放源参数</w:t>
                  </w:r>
                </w:p>
              </w:tc>
              <w:tc>
                <w:tcPr>
                  <w:tcW w:w="657" w:type="pct"/>
                  <w:vMerge w:val="restart"/>
                  <w:tcBorders>
                    <w:tl2br w:val="nil"/>
                    <w:tr2bl w:val="nil"/>
                  </w:tcBorders>
                  <w:noWrap w:val="0"/>
                  <w:vAlign w:val="center"/>
                </w:tcPr>
                <w:p w14:paraId="4904F405">
                  <w:pPr>
                    <w:widowControl/>
                    <w:jc w:val="center"/>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排放编号</w:t>
                  </w:r>
                </w:p>
              </w:tc>
            </w:tr>
            <w:tr w14:paraId="7B4B6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447" w:hRule="atLeast"/>
                <w:jc w:val="center"/>
              </w:trPr>
              <w:tc>
                <w:tcPr>
                  <w:tcW w:w="464" w:type="pct"/>
                  <w:vMerge w:val="continue"/>
                  <w:tcBorders>
                    <w:tl2br w:val="nil"/>
                    <w:tr2bl w:val="nil"/>
                  </w:tcBorders>
                  <w:noWrap w:val="0"/>
                  <w:vAlign w:val="center"/>
                </w:tcPr>
                <w:p w14:paraId="4DC8E960">
                  <w:pPr>
                    <w:widowControl/>
                    <w:jc w:val="center"/>
                    <w:rPr>
                      <w:rFonts w:hint="default" w:ascii="Times New Roman" w:hAnsi="Times New Roman" w:eastAsia="宋体" w:cs="Times New Roman"/>
                      <w:color w:val="000000"/>
                      <w:kern w:val="0"/>
                      <w:sz w:val="21"/>
                      <w:szCs w:val="21"/>
                    </w:rPr>
                  </w:pPr>
                </w:p>
              </w:tc>
              <w:tc>
                <w:tcPr>
                  <w:tcW w:w="244" w:type="pct"/>
                  <w:vMerge w:val="continue"/>
                  <w:tcBorders>
                    <w:tl2br w:val="nil"/>
                    <w:tr2bl w:val="nil"/>
                  </w:tcBorders>
                  <w:noWrap w:val="0"/>
                  <w:vAlign w:val="center"/>
                </w:tcPr>
                <w:p w14:paraId="29C1A127">
                  <w:pPr>
                    <w:widowControl/>
                    <w:jc w:val="center"/>
                    <w:rPr>
                      <w:rFonts w:hint="default" w:ascii="Times New Roman" w:hAnsi="Times New Roman" w:eastAsia="宋体" w:cs="Times New Roman"/>
                      <w:color w:val="000000"/>
                      <w:kern w:val="0"/>
                      <w:sz w:val="21"/>
                      <w:szCs w:val="21"/>
                    </w:rPr>
                  </w:pPr>
                </w:p>
              </w:tc>
              <w:tc>
                <w:tcPr>
                  <w:tcW w:w="322" w:type="pct"/>
                  <w:tcBorders>
                    <w:tl2br w:val="nil"/>
                    <w:tr2bl w:val="nil"/>
                  </w:tcBorders>
                  <w:noWrap w:val="0"/>
                  <w:vAlign w:val="center"/>
                </w:tcPr>
                <w:p w14:paraId="0D61F7BF">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c>
                <w:tcPr>
                  <w:tcW w:w="384" w:type="pct"/>
                  <w:tcBorders>
                    <w:tl2br w:val="nil"/>
                    <w:tr2bl w:val="nil"/>
                  </w:tcBorders>
                  <w:noWrap w:val="0"/>
                  <w:vAlign w:val="center"/>
                </w:tcPr>
                <w:p w14:paraId="628FB98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403" w:type="pct"/>
                  <w:tcBorders>
                    <w:tl2br w:val="nil"/>
                    <w:tr2bl w:val="nil"/>
                  </w:tcBorders>
                  <w:noWrap w:val="0"/>
                  <w:vAlign w:val="center"/>
                </w:tcPr>
                <w:p w14:paraId="1FE050F3">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499" w:type="pct"/>
                  <w:vMerge w:val="restart"/>
                  <w:tcBorders>
                    <w:tl2br w:val="nil"/>
                    <w:tr2bl w:val="nil"/>
                  </w:tcBorders>
                  <w:noWrap w:val="0"/>
                  <w:vAlign w:val="center"/>
                </w:tcPr>
                <w:p w14:paraId="1DEB76EA">
                  <w:pPr>
                    <w:widowControl/>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sz w:val="21"/>
                      <w:szCs w:val="21"/>
                      <w:lang w:val="en-US" w:eastAsia="zh-CN"/>
                    </w:rPr>
                    <w:t>除尘组合系统（旋风除尘器除尘+袋式除尘器）</w:t>
                  </w:r>
                </w:p>
              </w:tc>
              <w:tc>
                <w:tcPr>
                  <w:tcW w:w="477" w:type="pct"/>
                  <w:vMerge w:val="restart"/>
                  <w:tcBorders>
                    <w:tl2br w:val="nil"/>
                    <w:tr2bl w:val="nil"/>
                  </w:tcBorders>
                  <w:noWrap w:val="0"/>
                  <w:vAlign w:val="center"/>
                </w:tcPr>
                <w:p w14:paraId="4C6A980B">
                  <w:pPr>
                    <w:widowControl/>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sz w:val="21"/>
                      <w:szCs w:val="21"/>
                      <w:lang w:val="en-US" w:eastAsia="zh-CN"/>
                    </w:rPr>
                    <w:t>99</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w:t>
                  </w:r>
                </w:p>
              </w:tc>
              <w:tc>
                <w:tcPr>
                  <w:tcW w:w="304" w:type="pct"/>
                  <w:tcBorders>
                    <w:tl2br w:val="nil"/>
                    <w:tr2bl w:val="nil"/>
                  </w:tcBorders>
                  <w:noWrap w:val="0"/>
                  <w:vAlign w:val="center"/>
                </w:tcPr>
                <w:p w14:paraId="0CE5473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排放量</w:t>
                  </w:r>
                </w:p>
              </w:tc>
              <w:tc>
                <w:tcPr>
                  <w:tcW w:w="251" w:type="pct"/>
                  <w:tcBorders>
                    <w:tl2br w:val="nil"/>
                    <w:tr2bl w:val="nil"/>
                  </w:tcBorders>
                  <w:noWrap w:val="0"/>
                  <w:vAlign w:val="center"/>
                </w:tcPr>
                <w:p w14:paraId="0DA8CE3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342" w:type="pct"/>
                  <w:tcBorders>
                    <w:tl2br w:val="nil"/>
                    <w:tr2bl w:val="nil"/>
                  </w:tcBorders>
                  <w:noWrap w:val="0"/>
                  <w:vAlign w:val="center"/>
                </w:tcPr>
                <w:p w14:paraId="019C70B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223" w:type="pct"/>
                  <w:tcBorders>
                    <w:tl2br w:val="nil"/>
                    <w:tr2bl w:val="nil"/>
                  </w:tcBorders>
                  <w:noWrap w:val="0"/>
                  <w:vAlign w:val="center"/>
                </w:tcPr>
                <w:p w14:paraId="2E160687">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高度</w:t>
                  </w:r>
                </w:p>
              </w:tc>
              <w:tc>
                <w:tcPr>
                  <w:tcW w:w="199" w:type="pct"/>
                  <w:tcBorders>
                    <w:tl2br w:val="nil"/>
                    <w:tr2bl w:val="nil"/>
                  </w:tcBorders>
                  <w:noWrap w:val="0"/>
                  <w:vAlign w:val="center"/>
                </w:tcPr>
                <w:p w14:paraId="5D87EB74">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直径</w:t>
                  </w:r>
                </w:p>
              </w:tc>
              <w:tc>
                <w:tcPr>
                  <w:tcW w:w="224" w:type="pct"/>
                  <w:tcBorders>
                    <w:tl2br w:val="nil"/>
                    <w:tr2bl w:val="nil"/>
                  </w:tcBorders>
                  <w:noWrap w:val="0"/>
                  <w:vAlign w:val="center"/>
                </w:tcPr>
                <w:p w14:paraId="34DDAEF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温度</w:t>
                  </w:r>
                </w:p>
              </w:tc>
              <w:tc>
                <w:tcPr>
                  <w:tcW w:w="657" w:type="pct"/>
                  <w:vMerge w:val="continue"/>
                  <w:tcBorders>
                    <w:tl2br w:val="nil"/>
                    <w:tr2bl w:val="nil"/>
                  </w:tcBorders>
                  <w:noWrap w:val="0"/>
                  <w:vAlign w:val="center"/>
                </w:tcPr>
                <w:p w14:paraId="1EBE1DCB">
                  <w:pPr>
                    <w:widowControl/>
                    <w:jc w:val="center"/>
                    <w:rPr>
                      <w:rFonts w:hint="default" w:ascii="Times New Roman" w:hAnsi="Times New Roman" w:eastAsia="宋体" w:cs="Times New Roman"/>
                      <w:color w:val="000000"/>
                      <w:kern w:val="0"/>
                      <w:sz w:val="21"/>
                      <w:szCs w:val="21"/>
                    </w:rPr>
                  </w:pPr>
                </w:p>
              </w:tc>
            </w:tr>
            <w:tr w14:paraId="322FD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64" w:type="pct"/>
                  <w:vMerge w:val="continue"/>
                  <w:tcBorders>
                    <w:tl2br w:val="nil"/>
                    <w:tr2bl w:val="nil"/>
                  </w:tcBorders>
                  <w:noWrap w:val="0"/>
                  <w:vAlign w:val="center"/>
                </w:tcPr>
                <w:p w14:paraId="04D96D28">
                  <w:pPr>
                    <w:widowControl/>
                    <w:jc w:val="center"/>
                    <w:rPr>
                      <w:rFonts w:hint="default" w:ascii="Times New Roman" w:hAnsi="Times New Roman" w:eastAsia="宋体" w:cs="Times New Roman"/>
                      <w:color w:val="000000"/>
                      <w:kern w:val="0"/>
                      <w:sz w:val="21"/>
                      <w:szCs w:val="21"/>
                    </w:rPr>
                  </w:pPr>
                </w:p>
              </w:tc>
              <w:tc>
                <w:tcPr>
                  <w:tcW w:w="244" w:type="pct"/>
                  <w:vMerge w:val="continue"/>
                  <w:tcBorders>
                    <w:tl2br w:val="nil"/>
                    <w:tr2bl w:val="nil"/>
                  </w:tcBorders>
                  <w:noWrap w:val="0"/>
                  <w:vAlign w:val="center"/>
                </w:tcPr>
                <w:p w14:paraId="43C0CFB8">
                  <w:pPr>
                    <w:widowControl/>
                    <w:jc w:val="center"/>
                    <w:rPr>
                      <w:rFonts w:hint="default" w:ascii="Times New Roman" w:hAnsi="Times New Roman" w:eastAsia="宋体" w:cs="Times New Roman"/>
                      <w:color w:val="000000"/>
                      <w:kern w:val="0"/>
                      <w:sz w:val="21"/>
                      <w:szCs w:val="21"/>
                    </w:rPr>
                  </w:pPr>
                </w:p>
              </w:tc>
              <w:tc>
                <w:tcPr>
                  <w:tcW w:w="322" w:type="pct"/>
                  <w:tcBorders>
                    <w:tl2br w:val="nil"/>
                    <w:tr2bl w:val="nil"/>
                  </w:tcBorders>
                  <w:noWrap w:val="0"/>
                  <w:vAlign w:val="center"/>
                </w:tcPr>
                <w:p w14:paraId="3CB45FB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384" w:type="pct"/>
                  <w:tcBorders>
                    <w:tl2br w:val="nil"/>
                    <w:tr2bl w:val="nil"/>
                  </w:tcBorders>
                  <w:noWrap w:val="0"/>
                  <w:vAlign w:val="center"/>
                </w:tcPr>
                <w:p w14:paraId="4816E69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403" w:type="pct"/>
                  <w:tcBorders>
                    <w:tl2br w:val="nil"/>
                    <w:tr2bl w:val="nil"/>
                  </w:tcBorders>
                  <w:noWrap w:val="0"/>
                  <w:vAlign w:val="center"/>
                </w:tcPr>
                <w:p w14:paraId="0F2E98F9">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499" w:type="pct"/>
                  <w:vMerge w:val="continue"/>
                  <w:tcBorders>
                    <w:tl2br w:val="nil"/>
                    <w:tr2bl w:val="nil"/>
                  </w:tcBorders>
                  <w:noWrap w:val="0"/>
                  <w:vAlign w:val="center"/>
                </w:tcPr>
                <w:p w14:paraId="36D0D023">
                  <w:pPr>
                    <w:widowControl/>
                    <w:jc w:val="center"/>
                    <w:rPr>
                      <w:rFonts w:hint="default" w:ascii="Times New Roman" w:hAnsi="Times New Roman" w:eastAsia="宋体" w:cs="Times New Roman"/>
                      <w:color w:val="000000"/>
                      <w:kern w:val="0"/>
                      <w:sz w:val="21"/>
                      <w:szCs w:val="21"/>
                    </w:rPr>
                  </w:pPr>
                </w:p>
              </w:tc>
              <w:tc>
                <w:tcPr>
                  <w:tcW w:w="477" w:type="pct"/>
                  <w:vMerge w:val="continue"/>
                  <w:tcBorders>
                    <w:tl2br w:val="nil"/>
                    <w:tr2bl w:val="nil"/>
                  </w:tcBorders>
                  <w:noWrap w:val="0"/>
                  <w:vAlign w:val="center"/>
                </w:tcPr>
                <w:p w14:paraId="2E7D598E">
                  <w:pPr>
                    <w:widowControl/>
                    <w:jc w:val="center"/>
                    <w:rPr>
                      <w:rFonts w:hint="default" w:ascii="Times New Roman" w:hAnsi="Times New Roman" w:eastAsia="宋体" w:cs="Times New Roman"/>
                      <w:color w:val="000000"/>
                      <w:kern w:val="0"/>
                      <w:sz w:val="21"/>
                      <w:szCs w:val="21"/>
                    </w:rPr>
                  </w:pPr>
                </w:p>
              </w:tc>
              <w:tc>
                <w:tcPr>
                  <w:tcW w:w="304" w:type="pct"/>
                  <w:tcBorders>
                    <w:tl2br w:val="nil"/>
                    <w:tr2bl w:val="nil"/>
                  </w:tcBorders>
                  <w:noWrap w:val="0"/>
                  <w:vAlign w:val="center"/>
                </w:tcPr>
                <w:p w14:paraId="4E3EAD5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251" w:type="pct"/>
                  <w:tcBorders>
                    <w:tl2br w:val="nil"/>
                    <w:tr2bl w:val="nil"/>
                  </w:tcBorders>
                  <w:noWrap w:val="0"/>
                  <w:vAlign w:val="center"/>
                </w:tcPr>
                <w:p w14:paraId="0440A94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342" w:type="pct"/>
                  <w:tcBorders>
                    <w:tl2br w:val="nil"/>
                    <w:tr2bl w:val="nil"/>
                  </w:tcBorders>
                  <w:noWrap w:val="0"/>
                  <w:vAlign w:val="center"/>
                </w:tcPr>
                <w:p w14:paraId="53B4533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223" w:type="pct"/>
                  <w:tcBorders>
                    <w:tl2br w:val="nil"/>
                    <w:tr2bl w:val="nil"/>
                  </w:tcBorders>
                  <w:noWrap w:val="0"/>
                  <w:vAlign w:val="center"/>
                </w:tcPr>
                <w:p w14:paraId="1FB59AB3">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199" w:type="pct"/>
                  <w:tcBorders>
                    <w:tl2br w:val="nil"/>
                    <w:tr2bl w:val="nil"/>
                  </w:tcBorders>
                  <w:noWrap w:val="0"/>
                  <w:vAlign w:val="center"/>
                </w:tcPr>
                <w:p w14:paraId="37E83AAD">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24" w:type="pct"/>
                  <w:tcBorders>
                    <w:tl2br w:val="nil"/>
                    <w:tr2bl w:val="nil"/>
                  </w:tcBorders>
                  <w:noWrap w:val="0"/>
                  <w:vAlign w:val="center"/>
                </w:tcPr>
                <w:p w14:paraId="6621672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657" w:type="pct"/>
                  <w:vMerge w:val="continue"/>
                  <w:tcBorders>
                    <w:tl2br w:val="nil"/>
                    <w:tr2bl w:val="nil"/>
                  </w:tcBorders>
                  <w:noWrap w:val="0"/>
                  <w:vAlign w:val="center"/>
                </w:tcPr>
                <w:p w14:paraId="7A87C3C6">
                  <w:pPr>
                    <w:widowControl/>
                    <w:jc w:val="center"/>
                    <w:rPr>
                      <w:rFonts w:hint="default" w:ascii="Times New Roman" w:hAnsi="Times New Roman" w:eastAsia="宋体" w:cs="Times New Roman"/>
                      <w:color w:val="000000"/>
                      <w:kern w:val="0"/>
                      <w:sz w:val="21"/>
                      <w:szCs w:val="21"/>
                    </w:rPr>
                  </w:pPr>
                </w:p>
              </w:tc>
            </w:tr>
            <w:tr w14:paraId="69E4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90" w:hRule="atLeast"/>
                <w:jc w:val="center"/>
              </w:trPr>
              <w:tc>
                <w:tcPr>
                  <w:tcW w:w="464" w:type="pct"/>
                  <w:tcBorders>
                    <w:tl2br w:val="nil"/>
                    <w:tr2bl w:val="nil"/>
                  </w:tcBorders>
                  <w:noWrap w:val="0"/>
                  <w:vAlign w:val="center"/>
                </w:tcPr>
                <w:p w14:paraId="33A80BD3">
                  <w:pPr>
                    <w:jc w:val="center"/>
                    <w:rPr>
                      <w:rFonts w:hint="eastAsia" w:ascii="Times New Roman" w:hAnsi="Times New Roman" w:eastAsia="宋体" w:cs="Times New Roman"/>
                      <w:kern w:val="44"/>
                      <w:sz w:val="21"/>
                      <w:szCs w:val="21"/>
                      <w:highlight w:val="none"/>
                      <w:lang w:val="en-US" w:eastAsia="zh-CN" w:bidi="ar-SA"/>
                    </w:rPr>
                  </w:pPr>
                  <w:r>
                    <w:rPr>
                      <w:rFonts w:hint="eastAsia" w:cs="Times New Roman"/>
                      <w:kern w:val="44"/>
                      <w:sz w:val="21"/>
                      <w:szCs w:val="21"/>
                      <w:highlight w:val="none"/>
                      <w:lang w:val="en-US" w:eastAsia="zh-CN" w:bidi="ar-SA"/>
                    </w:rPr>
                    <w:t>剥绒</w:t>
                  </w:r>
                </w:p>
                <w:p w14:paraId="6E7489AC">
                  <w:pPr>
                    <w:jc w:val="center"/>
                    <w:rPr>
                      <w:rFonts w:hint="default" w:ascii="Times New Roman" w:hAnsi="Times New Roman" w:eastAsia="宋体" w:cs="Times New Roman"/>
                      <w:color w:val="000000"/>
                      <w:sz w:val="21"/>
                      <w:szCs w:val="21"/>
                      <w:lang w:val="en-US"/>
                    </w:rPr>
                  </w:pPr>
                  <w:r>
                    <w:rPr>
                      <w:rFonts w:hint="eastAsia" w:cs="Times New Roman"/>
                      <w:kern w:val="44"/>
                      <w:sz w:val="21"/>
                      <w:szCs w:val="21"/>
                      <w:highlight w:val="none"/>
                      <w:lang w:val="en-US" w:eastAsia="zh-CN" w:bidi="ar-SA"/>
                    </w:rPr>
                    <w:t>车间</w:t>
                  </w:r>
                </w:p>
              </w:tc>
              <w:tc>
                <w:tcPr>
                  <w:tcW w:w="244" w:type="pct"/>
                  <w:tcBorders>
                    <w:tl2br w:val="nil"/>
                    <w:tr2bl w:val="nil"/>
                  </w:tcBorders>
                  <w:noWrap w:val="0"/>
                  <w:vAlign w:val="center"/>
                </w:tcPr>
                <w:p w14:paraId="737FBAC2">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w:t>
                  </w:r>
                </w:p>
                <w:p w14:paraId="5D3B81B8">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粒</w:t>
                  </w:r>
                </w:p>
                <w:p w14:paraId="0D3D6312">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物</w:t>
                  </w:r>
                </w:p>
              </w:tc>
              <w:tc>
                <w:tcPr>
                  <w:tcW w:w="322" w:type="pct"/>
                  <w:tcBorders>
                    <w:tl2br w:val="nil"/>
                    <w:tr2bl w:val="nil"/>
                  </w:tcBorders>
                  <w:noWrap w:val="0"/>
                  <w:vAlign w:val="center"/>
                </w:tcPr>
                <w:p w14:paraId="690AF52D">
                  <w:pPr>
                    <w:jc w:val="center"/>
                    <w:rPr>
                      <w:rFonts w:hint="default" w:ascii="Times New Roman" w:hAnsi="Times New Roman" w:eastAsia="宋体" w:cs="Times New Roman"/>
                      <w:color w:val="000000"/>
                      <w:sz w:val="21"/>
                      <w:szCs w:val="21"/>
                      <w:highlight w:val="yellow"/>
                      <w:lang w:val="en-US" w:eastAsia="zh-CN"/>
                    </w:rPr>
                  </w:pPr>
                  <w:r>
                    <w:rPr>
                      <w:rFonts w:hint="eastAsia" w:cs="Times New Roman"/>
                      <w:color w:val="000000"/>
                      <w:sz w:val="21"/>
                      <w:szCs w:val="21"/>
                      <w:highlight w:val="none"/>
                      <w:lang w:val="en-US" w:eastAsia="zh-CN"/>
                    </w:rPr>
                    <w:t>324</w:t>
                  </w:r>
                </w:p>
              </w:tc>
              <w:tc>
                <w:tcPr>
                  <w:tcW w:w="384" w:type="pct"/>
                  <w:tcBorders>
                    <w:tl2br w:val="nil"/>
                    <w:tr2bl w:val="nil"/>
                  </w:tcBorders>
                  <w:noWrap w:val="0"/>
                  <w:vAlign w:val="center"/>
                </w:tcPr>
                <w:p w14:paraId="745C481E">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1000</w:t>
                  </w:r>
                </w:p>
              </w:tc>
              <w:tc>
                <w:tcPr>
                  <w:tcW w:w="403" w:type="pct"/>
                  <w:tcBorders>
                    <w:tl2br w:val="nil"/>
                    <w:tr2bl w:val="nil"/>
                  </w:tcBorders>
                  <w:noWrap w:val="0"/>
                  <w:tcMar>
                    <w:left w:w="0" w:type="dxa"/>
                    <w:right w:w="0" w:type="dxa"/>
                  </w:tcMar>
                  <w:vAlign w:val="center"/>
                </w:tcPr>
                <w:p w14:paraId="3671087A">
                  <w:pPr>
                    <w:jc w:val="center"/>
                    <w:rPr>
                      <w:rFonts w:hint="default"/>
                      <w:highlight w:val="none"/>
                      <w:lang w:val="en-US" w:eastAsia="zh-CN"/>
                    </w:rPr>
                  </w:pPr>
                  <w:r>
                    <w:rPr>
                      <w:rFonts w:hint="eastAsia"/>
                      <w:highlight w:val="none"/>
                      <w:lang w:val="en-US" w:eastAsia="zh-CN"/>
                    </w:rPr>
                    <w:t>40</w:t>
                  </w:r>
                </w:p>
              </w:tc>
              <w:tc>
                <w:tcPr>
                  <w:tcW w:w="499" w:type="pct"/>
                  <w:vMerge w:val="continue"/>
                  <w:tcBorders>
                    <w:tl2br w:val="nil"/>
                    <w:tr2bl w:val="nil"/>
                  </w:tcBorders>
                  <w:noWrap w:val="0"/>
                  <w:vAlign w:val="center"/>
                </w:tcPr>
                <w:p w14:paraId="4D8D3DF2">
                  <w:pPr>
                    <w:jc w:val="center"/>
                    <w:rPr>
                      <w:rFonts w:hint="eastAsia"/>
                      <w:lang w:val="en-US" w:eastAsia="zh-CN"/>
                    </w:rPr>
                  </w:pPr>
                </w:p>
              </w:tc>
              <w:tc>
                <w:tcPr>
                  <w:tcW w:w="477" w:type="pct"/>
                  <w:vMerge w:val="continue"/>
                  <w:tcBorders>
                    <w:tl2br w:val="nil"/>
                    <w:tr2bl w:val="nil"/>
                  </w:tcBorders>
                  <w:noWrap w:val="0"/>
                  <w:vAlign w:val="center"/>
                </w:tcPr>
                <w:p w14:paraId="3EF646A5">
                  <w:pPr>
                    <w:jc w:val="center"/>
                    <w:rPr>
                      <w:rFonts w:hint="eastAsia"/>
                      <w:lang w:val="en-US" w:eastAsia="zh-CN"/>
                    </w:rPr>
                  </w:pPr>
                </w:p>
              </w:tc>
              <w:tc>
                <w:tcPr>
                  <w:tcW w:w="304" w:type="pct"/>
                  <w:tcBorders>
                    <w:tl2br w:val="nil"/>
                    <w:tr2bl w:val="nil"/>
                  </w:tcBorders>
                  <w:noWrap w:val="0"/>
                  <w:vAlign w:val="center"/>
                </w:tcPr>
                <w:p w14:paraId="3F3D9EA5">
                  <w:pPr>
                    <w:jc w:val="center"/>
                    <w:rPr>
                      <w:rFonts w:hint="default"/>
                      <w:highlight w:val="none"/>
                      <w:lang w:val="en-US" w:eastAsia="zh-CN"/>
                    </w:rPr>
                  </w:pPr>
                  <w:r>
                    <w:rPr>
                      <w:rFonts w:hint="eastAsia"/>
                      <w:highlight w:val="none"/>
                      <w:lang w:val="en-US" w:eastAsia="zh-CN"/>
                    </w:rPr>
                    <w:t>1.62</w:t>
                  </w:r>
                </w:p>
              </w:tc>
              <w:tc>
                <w:tcPr>
                  <w:tcW w:w="251" w:type="pct"/>
                  <w:tcBorders>
                    <w:tl2br w:val="nil"/>
                    <w:tr2bl w:val="nil"/>
                  </w:tcBorders>
                  <w:noWrap w:val="0"/>
                  <w:tcMar>
                    <w:left w:w="0" w:type="dxa"/>
                    <w:right w:w="0" w:type="dxa"/>
                  </w:tcMar>
                  <w:vAlign w:val="center"/>
                </w:tcPr>
                <w:p w14:paraId="5DC916E9">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4.93</w:t>
                  </w:r>
                </w:p>
              </w:tc>
              <w:tc>
                <w:tcPr>
                  <w:tcW w:w="342" w:type="pct"/>
                  <w:tcBorders>
                    <w:tl2br w:val="nil"/>
                    <w:tr2bl w:val="nil"/>
                  </w:tcBorders>
                  <w:noWrap w:val="0"/>
                  <w:vAlign w:val="center"/>
                </w:tcPr>
                <w:p w14:paraId="57FCB904">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0.222</w:t>
                  </w:r>
                </w:p>
              </w:tc>
              <w:tc>
                <w:tcPr>
                  <w:tcW w:w="223" w:type="pct"/>
                  <w:tcBorders>
                    <w:tl2br w:val="nil"/>
                    <w:tr2bl w:val="nil"/>
                  </w:tcBorders>
                  <w:noWrap w:val="0"/>
                  <w:vAlign w:val="center"/>
                </w:tcPr>
                <w:p w14:paraId="2C7D2528">
                  <w:pPr>
                    <w:widowControl/>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15</w:t>
                  </w:r>
                </w:p>
              </w:tc>
              <w:tc>
                <w:tcPr>
                  <w:tcW w:w="199" w:type="pct"/>
                  <w:tcBorders>
                    <w:tl2br w:val="nil"/>
                    <w:tr2bl w:val="nil"/>
                  </w:tcBorders>
                  <w:noWrap w:val="0"/>
                  <w:vAlign w:val="center"/>
                </w:tcPr>
                <w:p w14:paraId="3610F411">
                  <w:pPr>
                    <w:widowControl/>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0.2</w:t>
                  </w:r>
                </w:p>
              </w:tc>
              <w:tc>
                <w:tcPr>
                  <w:tcW w:w="224" w:type="pct"/>
                  <w:tcBorders>
                    <w:tl2br w:val="nil"/>
                    <w:tr2bl w:val="nil"/>
                  </w:tcBorders>
                  <w:noWrap w:val="0"/>
                  <w:vAlign w:val="center"/>
                </w:tcPr>
                <w:p w14:paraId="55B4FBD7">
                  <w:pPr>
                    <w:widowControl/>
                    <w:jc w:val="center"/>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25</w:t>
                  </w:r>
                </w:p>
              </w:tc>
              <w:tc>
                <w:tcPr>
                  <w:tcW w:w="657" w:type="pct"/>
                  <w:tcBorders>
                    <w:tl2br w:val="nil"/>
                    <w:tr2bl w:val="nil"/>
                  </w:tcBorders>
                  <w:noWrap w:val="0"/>
                  <w:vAlign w:val="center"/>
                </w:tcPr>
                <w:p w14:paraId="04F5FA0A">
                  <w:pPr>
                    <w:widowControl/>
                    <w:jc w:val="center"/>
                    <w:rPr>
                      <w:rFonts w:hint="default" w:eastAsia="宋体" w:cs="Times New Roman"/>
                      <w:color w:val="000000"/>
                      <w:sz w:val="21"/>
                      <w:szCs w:val="21"/>
                      <w:highlight w:val="none"/>
                      <w:lang w:val="en-US" w:eastAsia="zh-CN"/>
                    </w:rPr>
                  </w:pPr>
                  <w:r>
                    <w:rPr>
                      <w:rFonts w:hint="eastAsia" w:ascii="Times New Roman" w:hAnsi="Times New Roman" w:eastAsia="宋体" w:cs="Times New Roman"/>
                      <w:kern w:val="44"/>
                      <w:sz w:val="21"/>
                      <w:szCs w:val="21"/>
                      <w:highlight w:val="none"/>
                      <w:lang w:val="en-US" w:eastAsia="zh-CN" w:bidi="ar-SA"/>
                    </w:rPr>
                    <w:t>DA001</w:t>
                  </w:r>
                  <w:r>
                    <w:rPr>
                      <w:rFonts w:hint="eastAsia" w:cs="Times New Roman"/>
                      <w:kern w:val="44"/>
                      <w:sz w:val="21"/>
                      <w:szCs w:val="21"/>
                      <w:highlight w:val="none"/>
                      <w:lang w:val="en-US" w:eastAsia="zh-CN" w:bidi="ar-SA"/>
                    </w:rPr>
                    <w:t>、DA002</w:t>
                  </w:r>
                </w:p>
              </w:tc>
            </w:tr>
          </w:tbl>
          <w:p w14:paraId="15E376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kern w:val="2"/>
                <w:sz w:val="24"/>
                <w:szCs w:val="24"/>
                <w:vertAlign w:val="baseline"/>
                <w:lang w:val="en-US" w:eastAsia="zh-CN" w:bidi="ar-SA"/>
              </w:rPr>
            </w:pPr>
            <w:r>
              <w:rPr>
                <w:rFonts w:hint="default" w:ascii="Times New Roman" w:hAnsi="Times New Roman" w:eastAsia="宋体" w:cs="Times New Roman"/>
                <w:b w:val="0"/>
                <w:bCs w:val="0"/>
                <w:color w:val="000000"/>
                <w:kern w:val="2"/>
                <w:sz w:val="24"/>
                <w:szCs w:val="24"/>
                <w:vertAlign w:val="baseline"/>
                <w:lang w:val="en-US" w:eastAsia="zh-CN" w:bidi="ar-SA"/>
              </w:rPr>
              <w:t>满足《大气污染物综合排放标准》（GB16297-1996）表2新污染源大气污染物排放限值。</w:t>
            </w:r>
          </w:p>
          <w:p w14:paraId="7043D921">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Lines="0" w:beforeAutospacing="0" w:after="0" w:afterLines="0" w:afterAutospacing="0" w:line="500" w:lineRule="exact"/>
              <w:ind w:right="0"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rPr>
              <w:t>（2）粉碎包装车间</w:t>
            </w:r>
            <w:r>
              <w:rPr>
                <w:rFonts w:hint="default" w:ascii="Times New Roman" w:hAnsi="Times New Roman" w:eastAsia="宋体" w:cs="Times New Roman"/>
                <w:b w:val="0"/>
                <w:bCs w:val="0"/>
                <w:color w:val="000000"/>
                <w:kern w:val="2"/>
                <w:sz w:val="24"/>
                <w:szCs w:val="24"/>
                <w:lang w:val="en-US" w:eastAsia="zh-CN" w:bidi="ar-SA"/>
              </w:rPr>
              <w:t>粉尘</w:t>
            </w:r>
          </w:p>
          <w:p w14:paraId="194757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textAlignment w:val="auto"/>
              <w:rPr>
                <w:rFonts w:hint="eastAsia" w:ascii="Times New Roman" w:hAnsi="Times New Roman" w:eastAsia="宋体" w:cs="Times New Roman"/>
                <w:b/>
                <w:bCs/>
                <w:kern w:val="2"/>
                <w:sz w:val="24"/>
                <w:szCs w:val="24"/>
                <w:highlight w:val="none"/>
                <w:lang w:val="en-US" w:eastAsia="zh-CN"/>
              </w:rPr>
            </w:pPr>
            <w:r>
              <w:rPr>
                <w:rFonts w:hint="default" w:ascii="Times New Roman" w:hAnsi="Times New Roman" w:eastAsia="宋体" w:cs="Times New Roman"/>
                <w:b w:val="0"/>
                <w:bCs w:val="0"/>
                <w:sz w:val="24"/>
                <w:szCs w:val="24"/>
                <w:lang w:val="en-US" w:eastAsia="zh-CN"/>
              </w:rPr>
              <w:t>项目</w:t>
            </w:r>
            <w:r>
              <w:rPr>
                <w:rFonts w:hint="eastAsia" w:ascii="Times New Roman" w:hAnsi="Times New Roman" w:eastAsia="宋体" w:cs="Times New Roman"/>
                <w:b w:val="0"/>
                <w:bCs w:val="0"/>
                <w:kern w:val="2"/>
                <w:sz w:val="24"/>
                <w:szCs w:val="24"/>
                <w:lang w:val="en-US" w:eastAsia="zh-CN"/>
              </w:rPr>
              <w:t>粉碎包装车间</w:t>
            </w:r>
            <w:r>
              <w:rPr>
                <w:rFonts w:hint="eastAsia" w:cs="Times New Roman"/>
                <w:b w:val="0"/>
                <w:bCs w:val="0"/>
                <w:color w:val="000000"/>
                <w:sz w:val="24"/>
                <w:szCs w:val="24"/>
                <w:lang w:val="en-US" w:eastAsia="zh-CN"/>
              </w:rPr>
              <w:t>在破碎、筛分过程中</w:t>
            </w:r>
            <w:r>
              <w:rPr>
                <w:rFonts w:hint="default" w:ascii="Times New Roman" w:hAnsi="Times New Roman" w:eastAsia="宋体" w:cs="Times New Roman"/>
                <w:b w:val="0"/>
                <w:bCs w:val="0"/>
                <w:color w:val="000000"/>
                <w:sz w:val="24"/>
                <w:szCs w:val="24"/>
                <w:lang w:val="en-US" w:eastAsia="zh-CN"/>
              </w:rPr>
              <w:t>会产生一定量的粉尘，</w:t>
            </w:r>
            <w:r>
              <w:rPr>
                <w:rFonts w:hint="default" w:ascii="Times New Roman" w:hAnsi="Times New Roman" w:eastAsia="宋体" w:cs="Times New Roman"/>
                <w:b w:val="0"/>
                <w:bCs w:val="0"/>
                <w:color w:val="000000"/>
                <w:kern w:val="2"/>
                <w:sz w:val="24"/>
                <w:szCs w:val="24"/>
                <w:lang w:val="en-US" w:eastAsia="zh-CN" w:bidi="ar-SA"/>
              </w:rPr>
              <w:t>本项目此工序无产排污系数，采取类比法，</w:t>
            </w:r>
            <w:r>
              <w:rPr>
                <w:rFonts w:hint="eastAsia" w:cs="Times New Roman"/>
                <w:b w:val="0"/>
                <w:bCs w:val="0"/>
                <w:color w:val="000000"/>
                <w:kern w:val="2"/>
                <w:sz w:val="24"/>
                <w:szCs w:val="24"/>
                <w:lang w:val="en-US" w:eastAsia="zh-CN" w:bidi="ar-SA"/>
              </w:rPr>
              <w:t>类比</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b w:val="0"/>
                <w:bCs w:val="0"/>
                <w:color w:val="000000"/>
                <w:kern w:val="2"/>
                <w:sz w:val="24"/>
                <w:szCs w:val="24"/>
                <w:highlight w:val="none"/>
                <w:lang w:val="en-US" w:eastAsia="zh-CN" w:bidi="ar-SA"/>
              </w:rPr>
              <w:t>新疆天泽粮牧植物蛋白科技有限公司年处理30万吨毛棉籽加工项目</w:t>
            </w:r>
            <w:r>
              <w:rPr>
                <w:rFonts w:hint="eastAsia" w:cs="Times New Roman"/>
                <w:b w:val="0"/>
                <w:bCs w:val="0"/>
                <w:color w:val="000000"/>
                <w:kern w:val="2"/>
                <w:sz w:val="24"/>
                <w:szCs w:val="24"/>
                <w:highlight w:val="none"/>
                <w:lang w:val="en-US" w:eastAsia="zh-CN" w:bidi="ar-SA"/>
              </w:rPr>
              <w:t>竣工环境保护验收报告</w:t>
            </w:r>
            <w:r>
              <w:rPr>
                <w:rFonts w:hint="eastAsia" w:ascii="Times New Roman" w:hAnsi="Times New Roman" w:eastAsia="宋体" w:cs="Times New Roman"/>
                <w:sz w:val="24"/>
                <w:szCs w:val="24"/>
                <w:lang w:val="en-US" w:eastAsia="zh-CN"/>
              </w:rPr>
              <w:t>》</w:t>
            </w:r>
            <w:r>
              <w:rPr>
                <w:rFonts w:hint="eastAsia" w:cs="Times New Roman"/>
                <w:sz w:val="24"/>
                <w:szCs w:val="24"/>
                <w:highlight w:val="none"/>
                <w:lang w:val="en-US" w:eastAsia="zh-CN"/>
              </w:rPr>
              <w:t>该企业为新疆冠农股份有限公司全资子公司，位于铁门关市工业园内，与本项目轮台县环境地理特征较近，该项目建设规范，规模为年处理30万/吨棉籽，本项目年处理12万/吨棉籽，小于类比规模，且工艺类型相似，除尘设备相似，符合类比要求</w:t>
            </w:r>
            <w:r>
              <w:rPr>
                <w:rFonts w:hint="eastAsia" w:ascii="Times New Roman" w:hAnsi="Times New Roman" w:eastAsia="宋体" w:cs="Times New Roman"/>
                <w:b w:val="0"/>
                <w:bCs w:val="0"/>
                <w:color w:val="000000"/>
                <w:kern w:val="2"/>
                <w:sz w:val="24"/>
                <w:szCs w:val="24"/>
                <w:lang w:val="en-US" w:eastAsia="zh-CN" w:bidi="ar-SA"/>
              </w:rPr>
              <w:t>，</w:t>
            </w:r>
            <w:r>
              <w:rPr>
                <w:rFonts w:hint="eastAsia" w:cs="Times New Roman"/>
                <w:b w:val="0"/>
                <w:bCs w:val="0"/>
                <w:color w:val="000000"/>
                <w:kern w:val="2"/>
                <w:sz w:val="24"/>
                <w:szCs w:val="24"/>
                <w:lang w:val="en-US" w:eastAsia="zh-CN" w:bidi="ar-SA"/>
              </w:rPr>
              <w:t>根据监测报告</w:t>
            </w:r>
            <w:r>
              <w:rPr>
                <w:rFonts w:hint="default" w:ascii="Times New Roman" w:hAnsi="Times New Roman" w:eastAsia="宋体" w:cs="Times New Roman"/>
                <w:b w:val="0"/>
                <w:bCs w:val="0"/>
                <w:color w:val="000000"/>
                <w:kern w:val="2"/>
                <w:sz w:val="24"/>
                <w:szCs w:val="24"/>
                <w:lang w:val="en-US" w:eastAsia="zh-CN" w:bidi="ar-SA"/>
              </w:rPr>
              <w:t>粉尘产</w:t>
            </w:r>
            <w:r>
              <w:rPr>
                <w:rFonts w:hint="eastAsia" w:cs="Times New Roman"/>
                <w:b w:val="0"/>
                <w:bCs w:val="0"/>
                <w:color w:val="000000"/>
                <w:kern w:val="2"/>
                <w:sz w:val="24"/>
                <w:szCs w:val="24"/>
                <w:lang w:val="en-US" w:eastAsia="zh-CN" w:bidi="ar-SA"/>
              </w:rPr>
              <w:t>排放量</w:t>
            </w:r>
            <w:r>
              <w:rPr>
                <w:rFonts w:hint="default" w:ascii="Times New Roman" w:hAnsi="Times New Roman" w:eastAsia="宋体" w:cs="Times New Roman"/>
                <w:b w:val="0"/>
                <w:bCs w:val="0"/>
                <w:color w:val="000000"/>
                <w:kern w:val="2"/>
                <w:sz w:val="24"/>
                <w:szCs w:val="24"/>
                <w:lang w:val="en-US" w:eastAsia="zh-CN" w:bidi="ar-SA"/>
              </w:rPr>
              <w:t>约0.97</w:t>
            </w:r>
            <w:r>
              <w:rPr>
                <w:rFonts w:hint="eastAsia" w:cs="Times New Roman"/>
                <w:b w:val="0"/>
                <w:bCs w:val="0"/>
                <w:color w:val="000000"/>
                <w:kern w:val="2"/>
                <w:sz w:val="24"/>
                <w:szCs w:val="24"/>
                <w:lang w:val="en-US" w:eastAsia="zh-CN" w:bidi="ar-SA"/>
              </w:rPr>
              <w:t>kg</w:t>
            </w:r>
            <w:r>
              <w:rPr>
                <w:rFonts w:hint="default" w:ascii="Times New Roman" w:hAnsi="Times New Roman" w:eastAsia="宋体" w:cs="Times New Roman"/>
                <w:b w:val="0"/>
                <w:bCs w:val="0"/>
                <w:color w:val="000000"/>
                <w:kern w:val="2"/>
                <w:sz w:val="24"/>
                <w:szCs w:val="24"/>
                <w:lang w:val="en-US" w:eastAsia="zh-CN" w:bidi="ar-SA"/>
              </w:rPr>
              <w:t>/</w:t>
            </w:r>
            <w:r>
              <w:rPr>
                <w:rFonts w:hint="eastAsia" w:cs="Times New Roman"/>
                <w:b w:val="0"/>
                <w:bCs w:val="0"/>
                <w:color w:val="000000"/>
                <w:kern w:val="2"/>
                <w:sz w:val="24"/>
                <w:szCs w:val="24"/>
                <w:lang w:val="en-US" w:eastAsia="zh-CN" w:bidi="ar-SA"/>
              </w:rPr>
              <w:t>t物料</w:t>
            </w:r>
            <w:r>
              <w:rPr>
                <w:rFonts w:hint="default" w:ascii="Times New Roman" w:hAnsi="Times New Roman" w:eastAsia="宋体" w:cs="Times New Roman"/>
                <w:b w:val="0"/>
                <w:bCs w:val="0"/>
                <w:color w:val="000000"/>
                <w:kern w:val="2"/>
                <w:sz w:val="24"/>
                <w:szCs w:val="24"/>
                <w:lang w:val="en-US" w:eastAsia="zh-CN" w:bidi="ar-SA"/>
              </w:rPr>
              <w:t>，</w:t>
            </w:r>
            <w:r>
              <w:rPr>
                <w:rFonts w:hint="eastAsia" w:cs="Times New Roman"/>
                <w:sz w:val="24"/>
                <w:szCs w:val="24"/>
                <w:lang w:val="en-US" w:eastAsia="zh-CN"/>
              </w:rPr>
              <w:t>蛋白车间粉尘收集</w:t>
            </w:r>
            <w:r>
              <w:rPr>
                <w:rFonts w:hint="eastAsia" w:ascii="Times New Roman" w:hAnsi="Times New Roman" w:eastAsia="宋体" w:cs="Times New Roman"/>
                <w:sz w:val="24"/>
                <w:szCs w:val="24"/>
                <w:lang w:val="en-US" w:eastAsia="zh-CN"/>
              </w:rPr>
              <w:t>工艺全密闭，粉尘收集采用</w:t>
            </w:r>
            <w:r>
              <w:rPr>
                <w:rFonts w:hint="eastAsia" w:ascii="Times New Roman" w:hAnsi="Times New Roman" w:eastAsia="宋体" w:cs="Times New Roman"/>
                <w:sz w:val="24"/>
                <w:szCs w:val="24"/>
                <w:highlight w:val="none"/>
                <w:lang w:val="en-US" w:eastAsia="zh-CN"/>
              </w:rPr>
              <w:t>集气风机收集粉尘（风量为</w:t>
            </w:r>
            <w:r>
              <w:rPr>
                <w:rFonts w:hint="eastAsia" w:cs="Times New Roman"/>
                <w:sz w:val="24"/>
                <w:szCs w:val="24"/>
                <w:highlight w:val="none"/>
                <w:lang w:val="en-US" w:eastAsia="zh-CN"/>
              </w:rPr>
              <w:t>30</w:t>
            </w:r>
            <w:r>
              <w:rPr>
                <w:rFonts w:hint="default" w:ascii="Times New Roman" w:hAnsi="Times New Roman" w:eastAsia="宋体" w:cs="Times New Roman"/>
                <w:sz w:val="24"/>
                <w:szCs w:val="24"/>
                <w:highlight w:val="none"/>
                <w:lang w:val="en-US" w:eastAsia="zh-CN"/>
              </w:rPr>
              <w:t>000m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/h</w:t>
            </w:r>
            <w:r>
              <w:rPr>
                <w:rFonts w:hint="eastAsia" w:ascii="Times New Roman" w:hAnsi="Times New Roman" w:eastAsia="宋体" w:cs="Times New Roman"/>
                <w:sz w:val="24"/>
                <w:szCs w:val="24"/>
                <w:highlight w:val="none"/>
                <w:lang w:val="en-US" w:eastAsia="zh-CN"/>
              </w:rPr>
              <w:t>），粉尘通过</w:t>
            </w:r>
            <w:r>
              <w:rPr>
                <w:rFonts w:hint="eastAsia" w:cs="Times New Roman"/>
                <w:sz w:val="24"/>
                <w:szCs w:val="24"/>
                <w:highlight w:val="none"/>
                <w:lang w:val="en-US" w:eastAsia="zh-CN"/>
              </w:rPr>
              <w:t>密闭+脉冲除尘器</w:t>
            </w:r>
            <w:r>
              <w:rPr>
                <w:rFonts w:hint="eastAsia" w:ascii="Times New Roman" w:hAnsi="Times New Roman" w:eastAsia="宋体" w:cs="Times New Roman"/>
                <w:sz w:val="24"/>
                <w:szCs w:val="24"/>
                <w:lang w:val="en-US" w:eastAsia="zh-CN"/>
              </w:rPr>
              <w:t>后通过15m排气筒外排</w:t>
            </w:r>
            <w:r>
              <w:rPr>
                <w:rFonts w:hint="eastAsia" w:cs="Times New Roman"/>
                <w:sz w:val="24"/>
                <w:szCs w:val="24"/>
                <w:lang w:val="en-US" w:eastAsia="zh-CN"/>
              </w:rPr>
              <w:t>，排放量表见表4-7。</w:t>
            </w:r>
          </w:p>
          <w:p w14:paraId="175C06E3">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黑体" w:hAnsi="黑体" w:eastAsia="黑体" w:cs="黑体"/>
                <w:b w:val="0"/>
                <w:bCs w:val="0"/>
                <w:kern w:val="2"/>
                <w:sz w:val="21"/>
                <w:szCs w:val="21"/>
                <w:highlight w:val="none"/>
                <w:lang w:val="en-US" w:eastAsia="zh-CN"/>
              </w:rPr>
            </w:pPr>
            <w:r>
              <w:rPr>
                <w:rFonts w:hint="eastAsia" w:ascii="黑体" w:hAnsi="黑体" w:eastAsia="黑体" w:cs="黑体"/>
                <w:b w:val="0"/>
                <w:bCs w:val="0"/>
                <w:color w:val="000000"/>
                <w:sz w:val="21"/>
                <w:szCs w:val="21"/>
                <w:lang w:val="en-US" w:eastAsia="zh-CN" w:bidi="ar-SA"/>
              </w:rPr>
              <w:t>表</w:t>
            </w:r>
            <w:r>
              <w:rPr>
                <w:rFonts w:hint="eastAsia" w:ascii="黑体" w:hAnsi="黑体" w:eastAsia="黑体" w:cs="黑体"/>
                <w:b w:val="0"/>
                <w:bCs w:val="0"/>
                <w:color w:val="000000"/>
                <w:sz w:val="21"/>
                <w:szCs w:val="21"/>
                <w:highlight w:val="none"/>
                <w:lang w:val="en-US" w:eastAsia="zh-CN" w:bidi="ar-SA"/>
              </w:rPr>
              <w:t>4-4   项目蛋白车间颗粒物废气排放量一览</w:t>
            </w:r>
            <w:r>
              <w:rPr>
                <w:rFonts w:hint="eastAsia" w:ascii="黑体" w:hAnsi="黑体" w:eastAsia="黑体" w:cs="黑体"/>
                <w:b w:val="0"/>
                <w:bCs w:val="0"/>
                <w:color w:val="000000"/>
                <w:sz w:val="21"/>
                <w:szCs w:val="21"/>
                <w:lang w:val="en-US" w:eastAsia="zh-CN" w:bidi="ar-SA"/>
              </w:rPr>
              <w:t>表</w:t>
            </w:r>
          </w:p>
          <w:tbl>
            <w:tblPr>
              <w:tblStyle w:val="21"/>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7" w:type="dxa"/>
                <w:bottom w:w="0" w:type="dxa"/>
                <w:right w:w="17" w:type="dxa"/>
              </w:tblCellMar>
            </w:tblPr>
            <w:tblGrid>
              <w:gridCol w:w="750"/>
              <w:gridCol w:w="611"/>
              <w:gridCol w:w="556"/>
              <w:gridCol w:w="784"/>
              <w:gridCol w:w="453"/>
              <w:gridCol w:w="811"/>
              <w:gridCol w:w="813"/>
              <w:gridCol w:w="530"/>
              <w:gridCol w:w="570"/>
              <w:gridCol w:w="639"/>
              <w:gridCol w:w="384"/>
              <w:gridCol w:w="441"/>
              <w:gridCol w:w="455"/>
              <w:gridCol w:w="806"/>
            </w:tblGrid>
            <w:tr w14:paraId="426DD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36" w:type="pct"/>
                  <w:vMerge w:val="restart"/>
                  <w:tcBorders>
                    <w:tl2br w:val="nil"/>
                    <w:tr2bl w:val="nil"/>
                  </w:tcBorders>
                  <w:noWrap w:val="0"/>
                  <w:vAlign w:val="center"/>
                </w:tcPr>
                <w:p w14:paraId="0D805E6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产生环节</w:t>
                  </w:r>
                </w:p>
              </w:tc>
              <w:tc>
                <w:tcPr>
                  <w:tcW w:w="355" w:type="pct"/>
                  <w:vMerge w:val="restart"/>
                  <w:tcBorders>
                    <w:tl2br w:val="nil"/>
                    <w:tr2bl w:val="nil"/>
                  </w:tcBorders>
                  <w:noWrap w:val="0"/>
                  <w:vAlign w:val="center"/>
                </w:tcPr>
                <w:p w14:paraId="7C8E77E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018F6BC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1041" w:type="pct"/>
                  <w:gridSpan w:val="3"/>
                  <w:tcBorders>
                    <w:tl2br w:val="nil"/>
                    <w:tr2bl w:val="nil"/>
                  </w:tcBorders>
                  <w:noWrap w:val="0"/>
                  <w:vAlign w:val="center"/>
                </w:tcPr>
                <w:p w14:paraId="50C315F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产生状况</w:t>
                  </w:r>
                </w:p>
              </w:tc>
              <w:tc>
                <w:tcPr>
                  <w:tcW w:w="471" w:type="pct"/>
                  <w:tcBorders>
                    <w:tl2br w:val="nil"/>
                    <w:tr2bl w:val="nil"/>
                  </w:tcBorders>
                  <w:noWrap w:val="0"/>
                  <w:vAlign w:val="center"/>
                </w:tcPr>
                <w:p w14:paraId="67272D1B">
                  <w:pPr>
                    <w:widowControl/>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rPr>
                    <w:t>处理方式</w:t>
                  </w:r>
                </w:p>
              </w:tc>
              <w:tc>
                <w:tcPr>
                  <w:tcW w:w="472" w:type="pct"/>
                  <w:tcBorders>
                    <w:tl2br w:val="nil"/>
                    <w:tr2bl w:val="nil"/>
                  </w:tcBorders>
                  <w:noWrap w:val="0"/>
                  <w:vAlign w:val="center"/>
                </w:tcPr>
                <w:p w14:paraId="4E698A24">
                  <w:pPr>
                    <w:widowControl/>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rPr>
                    <w:t>去除效率</w:t>
                  </w:r>
                </w:p>
              </w:tc>
              <w:tc>
                <w:tcPr>
                  <w:tcW w:w="1010" w:type="pct"/>
                  <w:gridSpan w:val="3"/>
                  <w:tcBorders>
                    <w:tl2br w:val="nil"/>
                    <w:tr2bl w:val="nil"/>
                  </w:tcBorders>
                  <w:noWrap w:val="0"/>
                  <w:vAlign w:val="center"/>
                </w:tcPr>
                <w:p w14:paraId="6E16E37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排放状况</w:t>
                  </w:r>
                </w:p>
              </w:tc>
              <w:tc>
                <w:tcPr>
                  <w:tcW w:w="743" w:type="pct"/>
                  <w:gridSpan w:val="3"/>
                  <w:tcBorders>
                    <w:tl2br w:val="nil"/>
                    <w:tr2bl w:val="nil"/>
                  </w:tcBorders>
                  <w:noWrap w:val="0"/>
                  <w:vAlign w:val="center"/>
                </w:tcPr>
                <w:p w14:paraId="5974E7E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排放源参数</w:t>
                  </w:r>
                </w:p>
              </w:tc>
              <w:tc>
                <w:tcPr>
                  <w:tcW w:w="468" w:type="pct"/>
                  <w:vMerge w:val="restart"/>
                  <w:tcBorders>
                    <w:tl2br w:val="nil"/>
                    <w:tr2bl w:val="nil"/>
                  </w:tcBorders>
                  <w:noWrap w:val="0"/>
                  <w:vAlign w:val="center"/>
                </w:tcPr>
                <w:p w14:paraId="464629A3">
                  <w:pPr>
                    <w:widowControl/>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排放</w:t>
                  </w:r>
                </w:p>
                <w:p w14:paraId="06708EF4">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编号</w:t>
                  </w:r>
                </w:p>
              </w:tc>
            </w:tr>
            <w:tr w14:paraId="1650E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36" w:type="pct"/>
                  <w:vMerge w:val="continue"/>
                  <w:tcBorders>
                    <w:tl2br w:val="nil"/>
                    <w:tr2bl w:val="nil"/>
                  </w:tcBorders>
                  <w:noWrap w:val="0"/>
                  <w:vAlign w:val="center"/>
                </w:tcPr>
                <w:p w14:paraId="26D0E382">
                  <w:pPr>
                    <w:widowControl/>
                    <w:jc w:val="center"/>
                    <w:rPr>
                      <w:rFonts w:hint="default" w:ascii="Times New Roman" w:hAnsi="Times New Roman" w:eastAsia="宋体" w:cs="Times New Roman"/>
                      <w:color w:val="000000"/>
                      <w:kern w:val="0"/>
                      <w:sz w:val="21"/>
                      <w:szCs w:val="21"/>
                    </w:rPr>
                  </w:pPr>
                </w:p>
              </w:tc>
              <w:tc>
                <w:tcPr>
                  <w:tcW w:w="355" w:type="pct"/>
                  <w:vMerge w:val="continue"/>
                  <w:tcBorders>
                    <w:tl2br w:val="nil"/>
                    <w:tr2bl w:val="nil"/>
                  </w:tcBorders>
                  <w:noWrap w:val="0"/>
                  <w:vAlign w:val="center"/>
                </w:tcPr>
                <w:p w14:paraId="05E89536">
                  <w:pPr>
                    <w:widowControl/>
                    <w:jc w:val="center"/>
                    <w:rPr>
                      <w:rFonts w:hint="default" w:ascii="Times New Roman" w:hAnsi="Times New Roman" w:eastAsia="宋体" w:cs="Times New Roman"/>
                      <w:color w:val="000000"/>
                      <w:kern w:val="0"/>
                      <w:sz w:val="21"/>
                      <w:szCs w:val="21"/>
                    </w:rPr>
                  </w:pPr>
                </w:p>
              </w:tc>
              <w:tc>
                <w:tcPr>
                  <w:tcW w:w="323" w:type="pct"/>
                  <w:tcBorders>
                    <w:tl2br w:val="nil"/>
                    <w:tr2bl w:val="nil"/>
                  </w:tcBorders>
                  <w:noWrap w:val="0"/>
                  <w:vAlign w:val="center"/>
                </w:tcPr>
                <w:p w14:paraId="5A630849">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c>
                <w:tcPr>
                  <w:tcW w:w="455" w:type="pct"/>
                  <w:tcBorders>
                    <w:tl2br w:val="nil"/>
                    <w:tr2bl w:val="nil"/>
                  </w:tcBorders>
                  <w:noWrap w:val="0"/>
                  <w:vAlign w:val="center"/>
                </w:tcPr>
                <w:p w14:paraId="6770C997">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262" w:type="pct"/>
                  <w:tcBorders>
                    <w:tl2br w:val="nil"/>
                    <w:tr2bl w:val="nil"/>
                  </w:tcBorders>
                  <w:noWrap w:val="0"/>
                  <w:vAlign w:val="center"/>
                </w:tcPr>
                <w:p w14:paraId="31B9D294">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471" w:type="pct"/>
                  <w:vMerge w:val="restart"/>
                  <w:tcBorders>
                    <w:tl2br w:val="nil"/>
                    <w:tr2bl w:val="nil"/>
                  </w:tcBorders>
                  <w:noWrap w:val="0"/>
                  <w:vAlign w:val="center"/>
                </w:tcPr>
                <w:p w14:paraId="08126270">
                  <w:pPr>
                    <w:widowControl/>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脉冲除</w:t>
                  </w:r>
                </w:p>
                <w:p w14:paraId="4531989B">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尘器</w:t>
                  </w:r>
                </w:p>
              </w:tc>
              <w:tc>
                <w:tcPr>
                  <w:tcW w:w="472" w:type="pct"/>
                  <w:vMerge w:val="restart"/>
                  <w:tcBorders>
                    <w:tl2br w:val="nil"/>
                    <w:tr2bl w:val="nil"/>
                  </w:tcBorders>
                  <w:noWrap w:val="0"/>
                  <w:vAlign w:val="center"/>
                </w:tcPr>
                <w:p w14:paraId="764C5C6A">
                  <w:pPr>
                    <w:widowControl/>
                    <w:jc w:val="center"/>
                    <w:rPr>
                      <w:rFonts w:hint="default" w:ascii="Times New Roman" w:hAnsi="Times New Roman" w:eastAsia="宋体" w:cs="Times New Roman"/>
                      <w:color w:val="000000"/>
                      <w:kern w:val="0"/>
                      <w:sz w:val="21"/>
                      <w:szCs w:val="21"/>
                      <w:lang w:val="en-US"/>
                    </w:rPr>
                  </w:pPr>
                  <w:r>
                    <w:rPr>
                      <w:rFonts w:hint="eastAsia" w:cs="Times New Roman"/>
                      <w:sz w:val="21"/>
                      <w:szCs w:val="21"/>
                      <w:lang w:val="en-US" w:eastAsia="zh-CN"/>
                    </w:rPr>
                    <w:t>99.5</w:t>
                  </w:r>
                  <w:r>
                    <w:rPr>
                      <w:rFonts w:hint="eastAsia" w:ascii="Times New Roman" w:hAnsi="Times New Roman" w:cs="Times New Roman"/>
                      <w:sz w:val="21"/>
                      <w:szCs w:val="21"/>
                      <w:lang w:val="en-US" w:eastAsia="zh-CN"/>
                    </w:rPr>
                    <w:t>%</w:t>
                  </w:r>
                </w:p>
              </w:tc>
              <w:tc>
                <w:tcPr>
                  <w:tcW w:w="308" w:type="pct"/>
                  <w:tcBorders>
                    <w:tl2br w:val="nil"/>
                    <w:tr2bl w:val="nil"/>
                  </w:tcBorders>
                  <w:noWrap w:val="0"/>
                  <w:vAlign w:val="center"/>
                </w:tcPr>
                <w:p w14:paraId="4DA4065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排放量</w:t>
                  </w:r>
                </w:p>
              </w:tc>
              <w:tc>
                <w:tcPr>
                  <w:tcW w:w="331" w:type="pct"/>
                  <w:tcBorders>
                    <w:tl2br w:val="nil"/>
                    <w:tr2bl w:val="nil"/>
                  </w:tcBorders>
                  <w:noWrap w:val="0"/>
                  <w:vAlign w:val="center"/>
                </w:tcPr>
                <w:p w14:paraId="7FE183D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369" w:type="pct"/>
                  <w:tcBorders>
                    <w:tl2br w:val="nil"/>
                    <w:tr2bl w:val="nil"/>
                  </w:tcBorders>
                  <w:noWrap w:val="0"/>
                  <w:vAlign w:val="center"/>
                </w:tcPr>
                <w:p w14:paraId="016282D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223" w:type="pct"/>
                  <w:tcBorders>
                    <w:tl2br w:val="nil"/>
                    <w:tr2bl w:val="nil"/>
                  </w:tcBorders>
                  <w:noWrap w:val="0"/>
                  <w:vAlign w:val="center"/>
                </w:tcPr>
                <w:p w14:paraId="110D9403">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高度</w:t>
                  </w:r>
                </w:p>
              </w:tc>
              <w:tc>
                <w:tcPr>
                  <w:tcW w:w="256" w:type="pct"/>
                  <w:tcBorders>
                    <w:tl2br w:val="nil"/>
                    <w:tr2bl w:val="nil"/>
                  </w:tcBorders>
                  <w:noWrap w:val="0"/>
                  <w:vAlign w:val="center"/>
                </w:tcPr>
                <w:p w14:paraId="1C17CE73">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直径</w:t>
                  </w:r>
                </w:p>
              </w:tc>
              <w:tc>
                <w:tcPr>
                  <w:tcW w:w="264" w:type="pct"/>
                  <w:tcBorders>
                    <w:tl2br w:val="nil"/>
                    <w:tr2bl w:val="nil"/>
                  </w:tcBorders>
                  <w:noWrap w:val="0"/>
                  <w:vAlign w:val="center"/>
                </w:tcPr>
                <w:p w14:paraId="7E520BD9">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温度</w:t>
                  </w:r>
                </w:p>
              </w:tc>
              <w:tc>
                <w:tcPr>
                  <w:tcW w:w="468" w:type="pct"/>
                  <w:vMerge w:val="continue"/>
                  <w:tcBorders>
                    <w:tl2br w:val="nil"/>
                    <w:tr2bl w:val="nil"/>
                  </w:tcBorders>
                  <w:noWrap w:val="0"/>
                  <w:vAlign w:val="center"/>
                </w:tcPr>
                <w:p w14:paraId="31E8C09F">
                  <w:pPr>
                    <w:widowControl/>
                    <w:jc w:val="center"/>
                    <w:rPr>
                      <w:rFonts w:hint="default" w:ascii="Times New Roman" w:hAnsi="Times New Roman" w:eastAsia="宋体" w:cs="Times New Roman"/>
                      <w:color w:val="000000"/>
                      <w:kern w:val="0"/>
                      <w:sz w:val="21"/>
                      <w:szCs w:val="21"/>
                    </w:rPr>
                  </w:pPr>
                </w:p>
              </w:tc>
            </w:tr>
            <w:tr w14:paraId="11F84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36" w:type="pct"/>
                  <w:vMerge w:val="continue"/>
                  <w:tcBorders>
                    <w:tl2br w:val="nil"/>
                    <w:tr2bl w:val="nil"/>
                  </w:tcBorders>
                  <w:noWrap w:val="0"/>
                  <w:vAlign w:val="center"/>
                </w:tcPr>
                <w:p w14:paraId="5664C2DD">
                  <w:pPr>
                    <w:widowControl/>
                    <w:jc w:val="center"/>
                    <w:rPr>
                      <w:rFonts w:hint="default" w:ascii="Times New Roman" w:hAnsi="Times New Roman" w:eastAsia="宋体" w:cs="Times New Roman"/>
                      <w:color w:val="000000"/>
                      <w:kern w:val="0"/>
                      <w:sz w:val="21"/>
                      <w:szCs w:val="21"/>
                    </w:rPr>
                  </w:pPr>
                </w:p>
              </w:tc>
              <w:tc>
                <w:tcPr>
                  <w:tcW w:w="355" w:type="pct"/>
                  <w:vMerge w:val="continue"/>
                  <w:tcBorders>
                    <w:tl2br w:val="nil"/>
                    <w:tr2bl w:val="nil"/>
                  </w:tcBorders>
                  <w:noWrap w:val="0"/>
                  <w:vAlign w:val="center"/>
                </w:tcPr>
                <w:p w14:paraId="7852266A">
                  <w:pPr>
                    <w:widowControl/>
                    <w:jc w:val="center"/>
                    <w:rPr>
                      <w:rFonts w:hint="default" w:ascii="Times New Roman" w:hAnsi="Times New Roman" w:eastAsia="宋体" w:cs="Times New Roman"/>
                      <w:color w:val="000000"/>
                      <w:kern w:val="0"/>
                      <w:sz w:val="21"/>
                      <w:szCs w:val="21"/>
                    </w:rPr>
                  </w:pPr>
                </w:p>
              </w:tc>
              <w:tc>
                <w:tcPr>
                  <w:tcW w:w="323" w:type="pct"/>
                  <w:tcBorders>
                    <w:tl2br w:val="nil"/>
                    <w:tr2bl w:val="nil"/>
                  </w:tcBorders>
                  <w:noWrap w:val="0"/>
                  <w:vAlign w:val="center"/>
                </w:tcPr>
                <w:p w14:paraId="65CC2B3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455" w:type="pct"/>
                  <w:tcBorders>
                    <w:tl2br w:val="nil"/>
                    <w:tr2bl w:val="nil"/>
                  </w:tcBorders>
                  <w:noWrap w:val="0"/>
                  <w:vAlign w:val="center"/>
                </w:tcPr>
                <w:p w14:paraId="525B55A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262" w:type="pct"/>
                  <w:tcBorders>
                    <w:tl2br w:val="nil"/>
                    <w:tr2bl w:val="nil"/>
                  </w:tcBorders>
                  <w:noWrap w:val="0"/>
                  <w:vAlign w:val="center"/>
                </w:tcPr>
                <w:p w14:paraId="17E714DB">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471" w:type="pct"/>
                  <w:vMerge w:val="continue"/>
                  <w:tcBorders>
                    <w:tl2br w:val="nil"/>
                    <w:tr2bl w:val="nil"/>
                  </w:tcBorders>
                  <w:noWrap w:val="0"/>
                  <w:vAlign w:val="center"/>
                </w:tcPr>
                <w:p w14:paraId="2CC1E520">
                  <w:pPr>
                    <w:widowControl/>
                    <w:jc w:val="center"/>
                    <w:rPr>
                      <w:rFonts w:hint="default" w:ascii="Times New Roman" w:hAnsi="Times New Roman" w:eastAsia="宋体" w:cs="Times New Roman"/>
                      <w:color w:val="000000"/>
                      <w:kern w:val="0"/>
                      <w:sz w:val="21"/>
                      <w:szCs w:val="21"/>
                    </w:rPr>
                  </w:pPr>
                </w:p>
              </w:tc>
              <w:tc>
                <w:tcPr>
                  <w:tcW w:w="472" w:type="pct"/>
                  <w:vMerge w:val="continue"/>
                  <w:tcBorders>
                    <w:tl2br w:val="nil"/>
                    <w:tr2bl w:val="nil"/>
                  </w:tcBorders>
                  <w:noWrap w:val="0"/>
                  <w:vAlign w:val="center"/>
                </w:tcPr>
                <w:p w14:paraId="6922896E">
                  <w:pPr>
                    <w:widowControl/>
                    <w:jc w:val="center"/>
                    <w:rPr>
                      <w:rFonts w:hint="default" w:ascii="Times New Roman" w:hAnsi="Times New Roman" w:eastAsia="宋体" w:cs="Times New Roman"/>
                      <w:color w:val="000000"/>
                      <w:kern w:val="0"/>
                      <w:sz w:val="21"/>
                      <w:szCs w:val="21"/>
                    </w:rPr>
                  </w:pPr>
                </w:p>
              </w:tc>
              <w:tc>
                <w:tcPr>
                  <w:tcW w:w="308" w:type="pct"/>
                  <w:tcBorders>
                    <w:tl2br w:val="nil"/>
                    <w:tr2bl w:val="nil"/>
                  </w:tcBorders>
                  <w:noWrap w:val="0"/>
                  <w:vAlign w:val="center"/>
                </w:tcPr>
                <w:p w14:paraId="7D82609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331" w:type="pct"/>
                  <w:tcBorders>
                    <w:tl2br w:val="nil"/>
                    <w:tr2bl w:val="nil"/>
                  </w:tcBorders>
                  <w:noWrap w:val="0"/>
                  <w:vAlign w:val="center"/>
                </w:tcPr>
                <w:p w14:paraId="524FFD6F">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369" w:type="pct"/>
                  <w:tcBorders>
                    <w:tl2br w:val="nil"/>
                    <w:tr2bl w:val="nil"/>
                  </w:tcBorders>
                  <w:noWrap w:val="0"/>
                  <w:vAlign w:val="center"/>
                </w:tcPr>
                <w:p w14:paraId="5A6523E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223" w:type="pct"/>
                  <w:tcBorders>
                    <w:tl2br w:val="nil"/>
                    <w:tr2bl w:val="nil"/>
                  </w:tcBorders>
                  <w:noWrap w:val="0"/>
                  <w:vAlign w:val="center"/>
                </w:tcPr>
                <w:p w14:paraId="0FA6591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56" w:type="pct"/>
                  <w:tcBorders>
                    <w:tl2br w:val="nil"/>
                    <w:tr2bl w:val="nil"/>
                  </w:tcBorders>
                  <w:noWrap w:val="0"/>
                  <w:vAlign w:val="center"/>
                </w:tcPr>
                <w:p w14:paraId="12F1B47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64" w:type="pct"/>
                  <w:tcBorders>
                    <w:tl2br w:val="nil"/>
                    <w:tr2bl w:val="nil"/>
                  </w:tcBorders>
                  <w:noWrap w:val="0"/>
                  <w:vAlign w:val="center"/>
                </w:tcPr>
                <w:p w14:paraId="72A89BB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468" w:type="pct"/>
                  <w:vMerge w:val="restart"/>
                  <w:tcBorders>
                    <w:tl2br w:val="nil"/>
                    <w:tr2bl w:val="nil"/>
                  </w:tcBorders>
                  <w:noWrap w:val="0"/>
                  <w:vAlign w:val="center"/>
                </w:tcPr>
                <w:p w14:paraId="460C4878">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DA003</w:t>
                  </w:r>
                </w:p>
              </w:tc>
            </w:tr>
            <w:tr w14:paraId="5D112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747" w:hRule="atLeast"/>
                <w:jc w:val="center"/>
              </w:trPr>
              <w:tc>
                <w:tcPr>
                  <w:tcW w:w="436" w:type="pct"/>
                  <w:tcBorders>
                    <w:tl2br w:val="nil"/>
                    <w:tr2bl w:val="nil"/>
                  </w:tcBorders>
                  <w:noWrap w:val="0"/>
                  <w:vAlign w:val="center"/>
                </w:tcPr>
                <w:p w14:paraId="510B1C17">
                  <w:pPr>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b w:val="0"/>
                      <w:bCs w:val="0"/>
                      <w:kern w:val="2"/>
                      <w:sz w:val="21"/>
                      <w:szCs w:val="21"/>
                      <w:lang w:val="en-US" w:eastAsia="zh-CN"/>
                    </w:rPr>
                    <w:t>粉碎包装车间</w:t>
                  </w:r>
                  <w:r>
                    <w:rPr>
                      <w:rFonts w:hint="eastAsia" w:ascii="Times New Roman" w:hAnsi="Times New Roman" w:eastAsia="宋体" w:cs="Times New Roman"/>
                      <w:kern w:val="44"/>
                      <w:sz w:val="21"/>
                      <w:szCs w:val="21"/>
                      <w:highlight w:val="none"/>
                      <w:lang w:val="en-US" w:eastAsia="zh-CN" w:bidi="ar-SA"/>
                    </w:rPr>
                    <w:t>DA00</w:t>
                  </w:r>
                  <w:r>
                    <w:rPr>
                      <w:rFonts w:hint="eastAsia" w:cs="Times New Roman"/>
                      <w:kern w:val="44"/>
                      <w:sz w:val="21"/>
                      <w:szCs w:val="21"/>
                      <w:highlight w:val="none"/>
                      <w:lang w:val="en-US" w:eastAsia="zh-CN" w:bidi="ar-SA"/>
                    </w:rPr>
                    <w:t>3</w:t>
                  </w:r>
                </w:p>
              </w:tc>
              <w:tc>
                <w:tcPr>
                  <w:tcW w:w="355" w:type="pct"/>
                  <w:tcBorders>
                    <w:tl2br w:val="nil"/>
                    <w:tr2bl w:val="nil"/>
                  </w:tcBorders>
                  <w:noWrap w:val="0"/>
                  <w:vAlign w:val="center"/>
                </w:tcPr>
                <w:p w14:paraId="666230E0">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颗粒物</w:t>
                  </w:r>
                </w:p>
              </w:tc>
              <w:tc>
                <w:tcPr>
                  <w:tcW w:w="323" w:type="pct"/>
                  <w:tcBorders>
                    <w:tl2br w:val="nil"/>
                    <w:tr2bl w:val="nil"/>
                  </w:tcBorders>
                  <w:noWrap w:val="0"/>
                  <w:vAlign w:val="center"/>
                </w:tcPr>
                <w:p w14:paraId="3F505429">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116.4</w:t>
                  </w:r>
                </w:p>
              </w:tc>
              <w:tc>
                <w:tcPr>
                  <w:tcW w:w="455" w:type="pct"/>
                  <w:tcBorders>
                    <w:tl2br w:val="nil"/>
                    <w:tr2bl w:val="nil"/>
                  </w:tcBorders>
                  <w:noWrap w:val="0"/>
                  <w:vAlign w:val="center"/>
                </w:tcPr>
                <w:p w14:paraId="679FBF42">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539</w:t>
                  </w:r>
                </w:p>
              </w:tc>
              <w:tc>
                <w:tcPr>
                  <w:tcW w:w="262" w:type="pct"/>
                  <w:tcBorders>
                    <w:tl2br w:val="nil"/>
                    <w:tr2bl w:val="nil"/>
                  </w:tcBorders>
                  <w:noWrap w:val="0"/>
                  <w:tcMar>
                    <w:left w:w="0" w:type="dxa"/>
                    <w:right w:w="0" w:type="dxa"/>
                  </w:tcMar>
                  <w:vAlign w:val="center"/>
                </w:tcPr>
                <w:p w14:paraId="4ABEA9D6">
                  <w:pPr>
                    <w:jc w:val="center"/>
                    <w:rPr>
                      <w:rFonts w:hint="default"/>
                      <w:lang w:val="en-US" w:eastAsia="zh-CN"/>
                    </w:rPr>
                  </w:pPr>
                  <w:r>
                    <w:rPr>
                      <w:rFonts w:hint="eastAsia"/>
                      <w:lang w:val="en-US" w:eastAsia="zh-CN"/>
                    </w:rPr>
                    <w:t>16.17</w:t>
                  </w:r>
                </w:p>
              </w:tc>
              <w:tc>
                <w:tcPr>
                  <w:tcW w:w="471" w:type="pct"/>
                  <w:vMerge w:val="continue"/>
                  <w:tcBorders>
                    <w:tl2br w:val="nil"/>
                    <w:tr2bl w:val="nil"/>
                  </w:tcBorders>
                  <w:noWrap w:val="0"/>
                  <w:vAlign w:val="center"/>
                </w:tcPr>
                <w:p w14:paraId="5EF3BEBA">
                  <w:pPr>
                    <w:jc w:val="center"/>
                    <w:rPr>
                      <w:rFonts w:hint="eastAsia"/>
                      <w:lang w:val="en-US" w:eastAsia="zh-CN"/>
                    </w:rPr>
                  </w:pPr>
                </w:p>
              </w:tc>
              <w:tc>
                <w:tcPr>
                  <w:tcW w:w="472" w:type="pct"/>
                  <w:vMerge w:val="continue"/>
                  <w:tcBorders>
                    <w:tl2br w:val="nil"/>
                    <w:tr2bl w:val="nil"/>
                  </w:tcBorders>
                  <w:noWrap w:val="0"/>
                  <w:vAlign w:val="center"/>
                </w:tcPr>
                <w:p w14:paraId="0EFA9EF8">
                  <w:pPr>
                    <w:jc w:val="center"/>
                    <w:rPr>
                      <w:rFonts w:hint="eastAsia"/>
                      <w:lang w:val="en-US" w:eastAsia="zh-CN"/>
                    </w:rPr>
                  </w:pPr>
                </w:p>
              </w:tc>
              <w:tc>
                <w:tcPr>
                  <w:tcW w:w="308" w:type="pct"/>
                  <w:tcBorders>
                    <w:tl2br w:val="nil"/>
                    <w:tr2bl w:val="nil"/>
                  </w:tcBorders>
                  <w:shd w:val="clear" w:color="auto" w:fill="auto"/>
                  <w:noWrap w:val="0"/>
                  <w:vAlign w:val="center"/>
                </w:tcPr>
                <w:p w14:paraId="1BC7392D">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0.582</w:t>
                  </w:r>
                </w:p>
              </w:tc>
              <w:tc>
                <w:tcPr>
                  <w:tcW w:w="331" w:type="pct"/>
                  <w:tcBorders>
                    <w:tl2br w:val="nil"/>
                    <w:tr2bl w:val="nil"/>
                  </w:tcBorders>
                  <w:shd w:val="clear" w:color="auto" w:fill="auto"/>
                  <w:noWrap w:val="0"/>
                  <w:tcMar>
                    <w:left w:w="0" w:type="dxa"/>
                    <w:right w:w="0" w:type="dxa"/>
                  </w:tcMar>
                  <w:vAlign w:val="center"/>
                </w:tcPr>
                <w:p w14:paraId="2BEFA27D">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2.67</w:t>
                  </w:r>
                </w:p>
              </w:tc>
              <w:tc>
                <w:tcPr>
                  <w:tcW w:w="369" w:type="pct"/>
                  <w:tcBorders>
                    <w:tl2br w:val="nil"/>
                    <w:tr2bl w:val="nil"/>
                  </w:tcBorders>
                  <w:shd w:val="clear" w:color="auto" w:fill="auto"/>
                  <w:noWrap w:val="0"/>
                  <w:vAlign w:val="center"/>
                </w:tcPr>
                <w:p w14:paraId="28651FC7">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0.08</w:t>
                  </w:r>
                </w:p>
              </w:tc>
              <w:tc>
                <w:tcPr>
                  <w:tcW w:w="223" w:type="pct"/>
                  <w:tcBorders>
                    <w:tl2br w:val="nil"/>
                    <w:tr2bl w:val="nil"/>
                  </w:tcBorders>
                  <w:noWrap w:val="0"/>
                  <w:vAlign w:val="center"/>
                </w:tcPr>
                <w:p w14:paraId="76C8EAE4">
                  <w:pPr>
                    <w:widowControl/>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15</w:t>
                  </w:r>
                </w:p>
              </w:tc>
              <w:tc>
                <w:tcPr>
                  <w:tcW w:w="256" w:type="pct"/>
                  <w:tcBorders>
                    <w:tl2br w:val="nil"/>
                    <w:tr2bl w:val="nil"/>
                  </w:tcBorders>
                  <w:noWrap w:val="0"/>
                  <w:vAlign w:val="center"/>
                </w:tcPr>
                <w:p w14:paraId="3E5E1ED4">
                  <w:pPr>
                    <w:widowControl/>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264" w:type="pct"/>
                  <w:tcBorders>
                    <w:tl2br w:val="nil"/>
                    <w:tr2bl w:val="nil"/>
                  </w:tcBorders>
                  <w:noWrap w:val="0"/>
                  <w:vAlign w:val="center"/>
                </w:tcPr>
                <w:p w14:paraId="107AE4E3">
                  <w:pPr>
                    <w:widowControl/>
                    <w:jc w:val="center"/>
                    <w:rPr>
                      <w:rFonts w:hint="default"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25</w:t>
                  </w:r>
                </w:p>
              </w:tc>
              <w:tc>
                <w:tcPr>
                  <w:tcW w:w="468" w:type="pct"/>
                  <w:vMerge w:val="continue"/>
                  <w:tcBorders>
                    <w:tl2br w:val="nil"/>
                    <w:tr2bl w:val="nil"/>
                  </w:tcBorders>
                  <w:noWrap w:val="0"/>
                  <w:vAlign w:val="center"/>
                </w:tcPr>
                <w:p w14:paraId="12C81841">
                  <w:pPr>
                    <w:widowControl/>
                    <w:jc w:val="center"/>
                    <w:rPr>
                      <w:rFonts w:hint="eastAsia" w:eastAsia="宋体" w:cs="Times New Roman"/>
                      <w:color w:val="000000"/>
                      <w:sz w:val="21"/>
                      <w:szCs w:val="21"/>
                      <w:lang w:val="en-US" w:eastAsia="zh-CN"/>
                    </w:rPr>
                  </w:pPr>
                </w:p>
              </w:tc>
            </w:tr>
          </w:tbl>
          <w:p w14:paraId="50E071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default"/>
                <w:lang w:val="en-US" w:eastAsia="zh-CN"/>
              </w:rPr>
            </w:pPr>
            <w:r>
              <w:rPr>
                <w:rFonts w:hint="eastAsia" w:ascii="Times New Roman" w:hAnsi="Times New Roman" w:cs="Times New Roman"/>
                <w:b w:val="0"/>
                <w:bCs w:val="0"/>
                <w:color w:val="000000"/>
                <w:kern w:val="2"/>
                <w:sz w:val="24"/>
                <w:szCs w:val="24"/>
                <w:vertAlign w:val="baseline"/>
                <w:lang w:val="en-US" w:eastAsia="zh-CN" w:bidi="ar-SA"/>
              </w:rPr>
              <w:t>（</w:t>
            </w:r>
            <w:r>
              <w:rPr>
                <w:rFonts w:hint="eastAsia" w:cs="Times New Roman"/>
                <w:b w:val="0"/>
                <w:bCs w:val="0"/>
                <w:color w:val="000000"/>
                <w:kern w:val="2"/>
                <w:sz w:val="24"/>
                <w:szCs w:val="24"/>
                <w:vertAlign w:val="baseline"/>
                <w:lang w:val="en-US" w:eastAsia="zh-CN" w:bidi="ar-SA"/>
              </w:rPr>
              <w:t>3</w:t>
            </w:r>
            <w:r>
              <w:rPr>
                <w:rFonts w:hint="eastAsia" w:ascii="Times New Roman" w:hAnsi="Times New Roman" w:cs="Times New Roman"/>
                <w:b w:val="0"/>
                <w:bCs w:val="0"/>
                <w:color w:val="000000"/>
                <w:kern w:val="2"/>
                <w:sz w:val="24"/>
                <w:szCs w:val="24"/>
                <w:vertAlign w:val="baseline"/>
                <w:lang w:val="en-US" w:eastAsia="zh-CN" w:bidi="ar-SA"/>
              </w:rPr>
              <w:t>）预处理</w:t>
            </w:r>
            <w:r>
              <w:rPr>
                <w:rFonts w:hint="eastAsia" w:cs="Times New Roman"/>
                <w:b w:val="0"/>
                <w:bCs w:val="0"/>
                <w:color w:val="000000"/>
                <w:kern w:val="2"/>
                <w:sz w:val="24"/>
                <w:szCs w:val="24"/>
                <w:vertAlign w:val="baseline"/>
                <w:lang w:val="en-US" w:eastAsia="zh-CN" w:bidi="ar-SA"/>
              </w:rPr>
              <w:t>车间</w:t>
            </w:r>
          </w:p>
          <w:p w14:paraId="1C913B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000000"/>
                <w:kern w:val="2"/>
                <w:sz w:val="24"/>
                <w:szCs w:val="24"/>
                <w:lang w:val="en-US" w:eastAsia="zh-CN" w:bidi="ar-SA"/>
              </w:rPr>
              <w:t>预处理车间清籽破碎剥壳过程会产生一定量的粉尘，</w:t>
            </w:r>
            <w:r>
              <w:rPr>
                <w:rFonts w:hint="eastAsia" w:ascii="Times New Roman" w:hAnsi="Times New Roman" w:eastAsia="宋体" w:cs="Times New Roman"/>
                <w:sz w:val="24"/>
                <w:szCs w:val="24"/>
                <w:lang w:val="en-US" w:eastAsia="zh-CN"/>
              </w:rPr>
              <w:t>本项目此工序无产排污系数，采取类比法</w:t>
            </w:r>
            <w:r>
              <w:rPr>
                <w:rFonts w:hint="eastAsia" w:ascii="Times New Roman" w:hAnsi="Times New Roman" w:eastAsia="宋体" w:cs="Times New Roman"/>
                <w:sz w:val="24"/>
                <w:szCs w:val="24"/>
                <w:highlight w:val="none"/>
                <w:lang w:val="en-US" w:eastAsia="zh-CN"/>
              </w:rPr>
              <w:t>，类比</w:t>
            </w:r>
            <w:r>
              <w:rPr>
                <w:rFonts w:hint="eastAsia" w:cs="Times New Roman"/>
                <w:sz w:val="24"/>
                <w:szCs w:val="24"/>
                <w:highlight w:val="none"/>
                <w:lang w:val="en-US" w:eastAsia="zh-CN"/>
              </w:rPr>
              <w:t>《</w:t>
            </w:r>
            <w:r>
              <w:rPr>
                <w:rFonts w:hint="eastAsia" w:ascii="Times New Roman" w:hAnsi="Times New Roman" w:eastAsia="宋体" w:cs="Times New Roman"/>
                <w:b w:val="0"/>
                <w:bCs w:val="0"/>
                <w:color w:val="000000"/>
                <w:kern w:val="2"/>
                <w:sz w:val="24"/>
                <w:szCs w:val="24"/>
                <w:highlight w:val="none"/>
                <w:lang w:val="en-US" w:eastAsia="zh-CN" w:bidi="ar-SA"/>
              </w:rPr>
              <w:t>新疆天泽粮牧植物蛋白科技有限公司年处理30万吨毛棉籽加工项目</w:t>
            </w:r>
            <w:r>
              <w:rPr>
                <w:rFonts w:hint="eastAsia" w:cs="Times New Roman"/>
                <w:b w:val="0"/>
                <w:bCs w:val="0"/>
                <w:color w:val="000000"/>
                <w:kern w:val="2"/>
                <w:sz w:val="24"/>
                <w:szCs w:val="24"/>
                <w:highlight w:val="none"/>
                <w:lang w:val="en-US" w:eastAsia="zh-CN" w:bidi="ar-SA"/>
              </w:rPr>
              <w:t>竣工环境保护验收报告</w:t>
            </w:r>
            <w:r>
              <w:rPr>
                <w:rFonts w:hint="eastAsia" w:cs="Times New Roman"/>
                <w:sz w:val="24"/>
                <w:szCs w:val="24"/>
                <w:highlight w:val="none"/>
                <w:lang w:val="en-US" w:eastAsia="zh-CN"/>
              </w:rPr>
              <w:t>》，该企业为新疆冠农股份有限公司全资子公司，位于铁门关市工业园内，与本项目轮台县环境地理特征较近，该项目建设规范，规模为年处理30万/吨棉籽，本项目年处理12万/吨棉籽，小于类比规模，且工艺类型相似，除尘设备相似，符合类比要求</w:t>
            </w:r>
            <w:r>
              <w:rPr>
                <w:rFonts w:hint="eastAsia" w:cs="Times New Roman"/>
                <w:b w:val="0"/>
                <w:bCs w:val="0"/>
                <w:color w:val="000000"/>
                <w:kern w:val="2"/>
                <w:sz w:val="24"/>
                <w:szCs w:val="24"/>
                <w:lang w:val="en-US" w:eastAsia="zh-CN" w:bidi="ar-SA"/>
              </w:rPr>
              <w:t>，</w:t>
            </w:r>
            <w:r>
              <w:rPr>
                <w:rFonts w:hint="default" w:ascii="Times New Roman" w:hAnsi="Times New Roman" w:eastAsia="宋体" w:cs="Times New Roman"/>
                <w:b w:val="0"/>
                <w:bCs w:val="0"/>
                <w:color w:val="000000"/>
                <w:kern w:val="2"/>
                <w:sz w:val="24"/>
                <w:szCs w:val="24"/>
                <w:lang w:val="en-US" w:eastAsia="zh-CN" w:bidi="ar-SA"/>
              </w:rPr>
              <w:t>此工段粉尘产生系数</w:t>
            </w:r>
            <w:r>
              <w:rPr>
                <w:rFonts w:hint="eastAsia" w:ascii="Times New Roman" w:hAnsi="Times New Roman" w:eastAsia="宋体" w:cs="Times New Roman"/>
                <w:b w:val="0"/>
                <w:bCs w:val="0"/>
                <w:color w:val="000000"/>
                <w:kern w:val="2"/>
                <w:sz w:val="24"/>
                <w:szCs w:val="24"/>
                <w:lang w:val="en-US" w:eastAsia="zh-CN" w:bidi="ar-SA"/>
              </w:rPr>
              <w:t>约</w:t>
            </w:r>
            <w:r>
              <w:rPr>
                <w:rFonts w:hint="default" w:ascii="Times New Roman" w:hAnsi="Times New Roman" w:eastAsia="宋体" w:cs="Times New Roman"/>
                <w:b w:val="0"/>
                <w:bCs w:val="0"/>
                <w:color w:val="000000"/>
                <w:kern w:val="2"/>
                <w:sz w:val="24"/>
                <w:szCs w:val="24"/>
                <w:lang w:val="en-US" w:eastAsia="zh-CN" w:bidi="ar-SA"/>
              </w:rPr>
              <w:t>为：0.</w:t>
            </w:r>
            <w:r>
              <w:rPr>
                <w:rFonts w:hint="eastAsia" w:ascii="Times New Roman" w:hAnsi="Times New Roman" w:eastAsia="宋体" w:cs="Times New Roman"/>
                <w:b w:val="0"/>
                <w:bCs w:val="0"/>
                <w:color w:val="000000"/>
                <w:kern w:val="2"/>
                <w:sz w:val="24"/>
                <w:szCs w:val="24"/>
                <w:lang w:val="en-US" w:eastAsia="zh-CN" w:bidi="ar-SA"/>
              </w:rPr>
              <w:t>3</w:t>
            </w:r>
            <w:r>
              <w:rPr>
                <w:rFonts w:hint="default" w:ascii="Times New Roman" w:hAnsi="Times New Roman" w:eastAsia="宋体" w:cs="Times New Roman"/>
                <w:b w:val="0"/>
                <w:bCs w:val="0"/>
                <w:color w:val="000000"/>
                <w:kern w:val="2"/>
                <w:sz w:val="24"/>
                <w:szCs w:val="24"/>
                <w:lang w:val="en-US" w:eastAsia="zh-CN" w:bidi="ar-SA"/>
              </w:rPr>
              <w:t>kg/t物料，</w:t>
            </w:r>
            <w:r>
              <w:rPr>
                <w:rFonts w:hint="eastAsia" w:ascii="Times New Roman" w:hAnsi="Times New Roman" w:eastAsia="宋体" w:cs="Times New Roman"/>
                <w:sz w:val="24"/>
                <w:szCs w:val="24"/>
                <w:lang w:val="en-US" w:eastAsia="zh-CN"/>
              </w:rPr>
              <w:t>粉尘收集采用</w:t>
            </w:r>
            <w:r>
              <w:rPr>
                <w:rFonts w:hint="eastAsia" w:ascii="Times New Roman" w:hAnsi="Times New Roman" w:eastAsia="宋体" w:cs="Times New Roman"/>
                <w:sz w:val="24"/>
                <w:szCs w:val="24"/>
                <w:highlight w:val="none"/>
                <w:lang w:val="en-US" w:eastAsia="zh-CN"/>
              </w:rPr>
              <w:t>集气风机收集粉尘（风量为</w:t>
            </w:r>
            <w:r>
              <w:rPr>
                <w:rFonts w:hint="eastAsia" w:cs="Times New Roman"/>
                <w:sz w:val="24"/>
                <w:szCs w:val="24"/>
                <w:highlight w:val="none"/>
                <w:lang w:val="en-US" w:eastAsia="zh-CN"/>
              </w:rPr>
              <w:t>45</w:t>
            </w:r>
            <w:r>
              <w:rPr>
                <w:rFonts w:hint="default" w:ascii="Times New Roman" w:hAnsi="Times New Roman" w:eastAsia="宋体" w:cs="Times New Roman"/>
                <w:sz w:val="24"/>
                <w:szCs w:val="24"/>
                <w:highlight w:val="none"/>
                <w:lang w:val="en-US" w:eastAsia="zh-CN"/>
              </w:rPr>
              <w:t>000m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/h</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lang w:val="en-US" w:eastAsia="zh-CN"/>
              </w:rPr>
              <w:t>粉尘通过除尘组合系统（旋风除尘器除尘+袋式除尘器</w:t>
            </w:r>
            <w:r>
              <w:rPr>
                <w:rFonts w:hint="eastAsia" w:cs="Times New Roman"/>
                <w:sz w:val="24"/>
                <w:szCs w:val="24"/>
                <w:lang w:val="en-US" w:eastAsia="zh-CN"/>
              </w:rPr>
              <w:t>综合</w:t>
            </w:r>
            <w:r>
              <w:rPr>
                <w:rFonts w:hint="eastAsia" w:ascii="Times New Roman" w:hAnsi="Times New Roman" w:eastAsia="宋体" w:cs="Times New Roman"/>
                <w:sz w:val="24"/>
                <w:szCs w:val="24"/>
                <w:lang w:val="en-US" w:eastAsia="zh-CN"/>
              </w:rPr>
              <w:t>99</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%除尘效率）后通过15m排气筒外排。</w:t>
            </w:r>
          </w:p>
          <w:p w14:paraId="44BA6B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sz w:val="24"/>
                <w:szCs w:val="24"/>
                <w:lang w:val="en-US" w:eastAsia="zh-CN"/>
              </w:rPr>
              <w:t>本项目</w:t>
            </w:r>
            <w:r>
              <w:rPr>
                <w:rFonts w:hint="eastAsia" w:cs="Times New Roman"/>
                <w:sz w:val="24"/>
                <w:szCs w:val="24"/>
                <w:lang w:val="en-US" w:eastAsia="zh-CN"/>
              </w:rPr>
              <w:t>软化工序会产生</w:t>
            </w:r>
            <w:r>
              <w:rPr>
                <w:rFonts w:hint="eastAsia" w:ascii="Times New Roman" w:hAnsi="Times New Roman" w:eastAsia="宋体" w:cs="Times New Roman"/>
                <w:sz w:val="24"/>
                <w:szCs w:val="24"/>
                <w:lang w:val="en-US" w:eastAsia="zh-CN"/>
              </w:rPr>
              <w:t>臭气浓度</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类比《</w:t>
            </w:r>
            <w:r>
              <w:rPr>
                <w:rFonts w:hint="eastAsia" w:ascii="Times New Roman" w:hAnsi="Times New Roman" w:eastAsia="宋体" w:cs="Times New Roman"/>
                <w:b w:val="0"/>
                <w:bCs w:val="0"/>
                <w:color w:val="000000"/>
                <w:kern w:val="2"/>
                <w:sz w:val="24"/>
                <w:szCs w:val="24"/>
                <w:highlight w:val="none"/>
                <w:lang w:val="en-US" w:eastAsia="zh-CN" w:bidi="ar-SA"/>
              </w:rPr>
              <w:t>新疆天泽粮牧植物蛋白科技有限公司年处理30万吨毛棉籽加工项目</w:t>
            </w:r>
            <w:r>
              <w:rPr>
                <w:rFonts w:hint="eastAsia" w:cs="Times New Roman"/>
                <w:b w:val="0"/>
                <w:bCs w:val="0"/>
                <w:color w:val="000000"/>
                <w:kern w:val="2"/>
                <w:sz w:val="24"/>
                <w:szCs w:val="24"/>
                <w:highlight w:val="none"/>
                <w:lang w:val="en-US" w:eastAsia="zh-CN" w:bidi="ar-SA"/>
              </w:rPr>
              <w:t>竣工环境保护验收报告</w:t>
            </w:r>
            <w:r>
              <w:rPr>
                <w:rFonts w:hint="eastAsia" w:ascii="Times New Roman" w:hAnsi="Times New Roman" w:eastAsia="宋体" w:cs="Times New Roman"/>
                <w:sz w:val="24"/>
                <w:szCs w:val="24"/>
                <w:lang w:val="en-US" w:eastAsia="zh-CN"/>
              </w:rPr>
              <w:t>》竣工验收</w:t>
            </w:r>
            <w:r>
              <w:rPr>
                <w:rFonts w:hint="eastAsia" w:cs="Times New Roman"/>
                <w:sz w:val="24"/>
                <w:szCs w:val="24"/>
                <w:lang w:val="en-US" w:eastAsia="zh-CN"/>
              </w:rPr>
              <w:t>环境保护监测</w:t>
            </w:r>
            <w:r>
              <w:rPr>
                <w:rFonts w:hint="eastAsia" w:ascii="Times New Roman" w:hAnsi="Times New Roman" w:eastAsia="宋体" w:cs="Times New Roman"/>
                <w:sz w:val="24"/>
                <w:szCs w:val="24"/>
                <w:lang w:val="en-US" w:eastAsia="zh-CN"/>
              </w:rPr>
              <w:t>报告，</w:t>
            </w:r>
            <w:r>
              <w:rPr>
                <w:rFonts w:hint="eastAsia" w:cs="Times New Roman"/>
                <w:sz w:val="24"/>
                <w:szCs w:val="24"/>
                <w:lang w:val="en-US" w:eastAsia="zh-CN"/>
              </w:rPr>
              <w:t>与本项目工艺相似，</w:t>
            </w:r>
            <w:r>
              <w:rPr>
                <w:rFonts w:hint="eastAsia" w:ascii="Times New Roman" w:hAnsi="Times New Roman" w:eastAsia="宋体" w:cs="Times New Roman"/>
                <w:sz w:val="24"/>
                <w:szCs w:val="24"/>
                <w:lang w:val="en-US" w:eastAsia="zh-CN"/>
              </w:rPr>
              <w:t>其排气筒排放臭气浓度最大值</w:t>
            </w:r>
            <w:r>
              <w:rPr>
                <w:rFonts w:hint="eastAsia" w:cs="Times New Roman"/>
                <w:sz w:val="24"/>
                <w:szCs w:val="24"/>
                <w:lang w:val="en-US" w:eastAsia="zh-CN"/>
              </w:rPr>
              <w:t>733</w:t>
            </w:r>
            <w:r>
              <w:rPr>
                <w:rFonts w:hint="eastAsia" w:ascii="Times New Roman" w:hAnsi="Times New Roman" w:eastAsia="宋体" w:cs="Times New Roman"/>
                <w:sz w:val="24"/>
                <w:szCs w:val="24"/>
                <w:lang w:val="en-US" w:eastAsia="zh-CN"/>
              </w:rPr>
              <w:t>（无量纲）。因此，可以预计本项目排气筒臭气浓度最大值为</w:t>
            </w:r>
            <w:r>
              <w:rPr>
                <w:rFonts w:hint="eastAsia" w:cs="Times New Roman"/>
                <w:sz w:val="24"/>
                <w:szCs w:val="24"/>
                <w:lang w:val="en-US" w:eastAsia="zh-CN"/>
              </w:rPr>
              <w:t>733</w:t>
            </w:r>
            <w:r>
              <w:rPr>
                <w:rFonts w:hint="eastAsia" w:ascii="Times New Roman" w:hAnsi="Times New Roman" w:eastAsia="宋体" w:cs="Times New Roman"/>
                <w:sz w:val="24"/>
                <w:szCs w:val="24"/>
                <w:lang w:val="en-US" w:eastAsia="zh-CN"/>
              </w:rPr>
              <w:t>（无量纲）</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排放量见表4-</w:t>
            </w:r>
            <w:r>
              <w:rPr>
                <w:rFonts w:hint="eastAsia" w:cs="Times New Roman"/>
                <w:sz w:val="24"/>
                <w:szCs w:val="24"/>
                <w:lang w:val="en-US" w:eastAsia="zh-CN"/>
              </w:rPr>
              <w:t>3。</w:t>
            </w:r>
          </w:p>
          <w:p w14:paraId="17DAB4AD">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黑体" w:hAnsi="黑体" w:eastAsia="黑体" w:cs="黑体"/>
                <w:b w:val="0"/>
                <w:bCs w:val="0"/>
                <w:color w:val="000000"/>
                <w:sz w:val="21"/>
                <w:szCs w:val="21"/>
                <w:lang w:val="en-US" w:eastAsia="zh-CN" w:bidi="ar-SA"/>
              </w:rPr>
            </w:pPr>
            <w:r>
              <w:rPr>
                <w:rFonts w:hint="eastAsia" w:ascii="黑体" w:hAnsi="黑体" w:eastAsia="黑体" w:cs="黑体"/>
                <w:b w:val="0"/>
                <w:bCs w:val="0"/>
                <w:color w:val="000000"/>
                <w:sz w:val="21"/>
                <w:szCs w:val="21"/>
                <w:lang w:val="en-US" w:eastAsia="zh-CN" w:bidi="ar-SA"/>
              </w:rPr>
              <w:t>表4-2   项目预处理工艺有组织废气排放量一览表</w:t>
            </w:r>
          </w:p>
          <w:tbl>
            <w:tblPr>
              <w:tblStyle w:val="21"/>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7" w:type="dxa"/>
                <w:bottom w:w="0" w:type="dxa"/>
                <w:right w:w="17" w:type="dxa"/>
              </w:tblCellMar>
            </w:tblPr>
            <w:tblGrid>
              <w:gridCol w:w="740"/>
              <w:gridCol w:w="456"/>
              <w:gridCol w:w="539"/>
              <w:gridCol w:w="675"/>
              <w:gridCol w:w="703"/>
              <w:gridCol w:w="864"/>
              <w:gridCol w:w="796"/>
              <w:gridCol w:w="453"/>
              <w:gridCol w:w="546"/>
              <w:gridCol w:w="541"/>
              <w:gridCol w:w="401"/>
              <w:gridCol w:w="353"/>
              <w:gridCol w:w="391"/>
              <w:gridCol w:w="1145"/>
            </w:tblGrid>
            <w:tr w14:paraId="6146A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287" w:hRule="atLeast"/>
                <w:jc w:val="center"/>
              </w:trPr>
              <w:tc>
                <w:tcPr>
                  <w:tcW w:w="430" w:type="pct"/>
                  <w:vMerge w:val="restart"/>
                  <w:tcBorders>
                    <w:tl2br w:val="nil"/>
                    <w:tr2bl w:val="nil"/>
                  </w:tcBorders>
                  <w:noWrap w:val="0"/>
                  <w:vAlign w:val="center"/>
                </w:tcPr>
                <w:p w14:paraId="68C3B42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产生环节</w:t>
                  </w:r>
                </w:p>
              </w:tc>
              <w:tc>
                <w:tcPr>
                  <w:tcW w:w="265" w:type="pct"/>
                  <w:vMerge w:val="restart"/>
                  <w:tcBorders>
                    <w:tl2br w:val="nil"/>
                    <w:tr2bl w:val="nil"/>
                  </w:tcBorders>
                  <w:noWrap w:val="0"/>
                  <w:vAlign w:val="center"/>
                </w:tcPr>
                <w:p w14:paraId="3E7478E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46442AE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1113" w:type="pct"/>
                  <w:gridSpan w:val="3"/>
                  <w:tcBorders>
                    <w:tl2br w:val="nil"/>
                    <w:tr2bl w:val="nil"/>
                  </w:tcBorders>
                  <w:noWrap w:val="0"/>
                  <w:vAlign w:val="center"/>
                </w:tcPr>
                <w:p w14:paraId="77B3498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产生状况</w:t>
                  </w:r>
                </w:p>
              </w:tc>
              <w:tc>
                <w:tcPr>
                  <w:tcW w:w="502" w:type="pct"/>
                  <w:tcBorders>
                    <w:tl2br w:val="nil"/>
                    <w:tr2bl w:val="nil"/>
                  </w:tcBorders>
                  <w:noWrap w:val="0"/>
                  <w:vAlign w:val="center"/>
                </w:tcPr>
                <w:p w14:paraId="4C327F1B">
                  <w:pPr>
                    <w:widowControl/>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rPr>
                    <w:t>处理方式</w:t>
                  </w:r>
                </w:p>
              </w:tc>
              <w:tc>
                <w:tcPr>
                  <w:tcW w:w="462" w:type="pct"/>
                  <w:tcBorders>
                    <w:tl2br w:val="nil"/>
                    <w:tr2bl w:val="nil"/>
                  </w:tcBorders>
                  <w:noWrap w:val="0"/>
                  <w:vAlign w:val="center"/>
                </w:tcPr>
                <w:p w14:paraId="078809F1">
                  <w:pPr>
                    <w:widowControl/>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rPr>
                    <w:t>去除效率</w:t>
                  </w:r>
                </w:p>
              </w:tc>
              <w:tc>
                <w:tcPr>
                  <w:tcW w:w="894" w:type="pct"/>
                  <w:gridSpan w:val="3"/>
                  <w:tcBorders>
                    <w:tl2br w:val="nil"/>
                    <w:tr2bl w:val="nil"/>
                  </w:tcBorders>
                  <w:noWrap w:val="0"/>
                  <w:vAlign w:val="center"/>
                </w:tcPr>
                <w:p w14:paraId="64D9330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排放状况</w:t>
                  </w:r>
                </w:p>
              </w:tc>
              <w:tc>
                <w:tcPr>
                  <w:tcW w:w="665" w:type="pct"/>
                  <w:gridSpan w:val="3"/>
                  <w:tcBorders>
                    <w:tl2br w:val="nil"/>
                    <w:tr2bl w:val="nil"/>
                  </w:tcBorders>
                  <w:noWrap w:val="0"/>
                  <w:vAlign w:val="center"/>
                </w:tcPr>
                <w:p w14:paraId="0037A72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排放源参数</w:t>
                  </w:r>
                </w:p>
              </w:tc>
              <w:tc>
                <w:tcPr>
                  <w:tcW w:w="665" w:type="pct"/>
                  <w:vMerge w:val="restart"/>
                  <w:tcBorders>
                    <w:tl2br w:val="nil"/>
                    <w:tr2bl w:val="nil"/>
                  </w:tcBorders>
                  <w:noWrap w:val="0"/>
                  <w:vAlign w:val="center"/>
                </w:tcPr>
                <w:p w14:paraId="7FDECB89">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排放编号</w:t>
                  </w:r>
                </w:p>
              </w:tc>
            </w:tr>
            <w:tr w14:paraId="5C643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30" w:type="pct"/>
                  <w:vMerge w:val="continue"/>
                  <w:tcBorders>
                    <w:tl2br w:val="nil"/>
                    <w:tr2bl w:val="nil"/>
                  </w:tcBorders>
                  <w:noWrap w:val="0"/>
                  <w:vAlign w:val="center"/>
                </w:tcPr>
                <w:p w14:paraId="5C6BFBE7">
                  <w:pPr>
                    <w:widowControl/>
                    <w:jc w:val="center"/>
                    <w:rPr>
                      <w:rFonts w:hint="default" w:ascii="Times New Roman" w:hAnsi="Times New Roman" w:eastAsia="宋体" w:cs="Times New Roman"/>
                      <w:color w:val="000000"/>
                      <w:kern w:val="0"/>
                      <w:sz w:val="21"/>
                      <w:szCs w:val="21"/>
                    </w:rPr>
                  </w:pPr>
                </w:p>
              </w:tc>
              <w:tc>
                <w:tcPr>
                  <w:tcW w:w="265" w:type="pct"/>
                  <w:vMerge w:val="continue"/>
                  <w:tcBorders>
                    <w:tl2br w:val="nil"/>
                    <w:tr2bl w:val="nil"/>
                  </w:tcBorders>
                  <w:noWrap w:val="0"/>
                  <w:vAlign w:val="center"/>
                </w:tcPr>
                <w:p w14:paraId="28CD1FA0">
                  <w:pPr>
                    <w:widowControl/>
                    <w:jc w:val="center"/>
                    <w:rPr>
                      <w:rFonts w:hint="default" w:ascii="Times New Roman" w:hAnsi="Times New Roman" w:eastAsia="宋体" w:cs="Times New Roman"/>
                      <w:color w:val="000000"/>
                      <w:kern w:val="0"/>
                      <w:sz w:val="21"/>
                      <w:szCs w:val="21"/>
                    </w:rPr>
                  </w:pPr>
                </w:p>
              </w:tc>
              <w:tc>
                <w:tcPr>
                  <w:tcW w:w="313" w:type="pct"/>
                  <w:tcBorders>
                    <w:tl2br w:val="nil"/>
                    <w:tr2bl w:val="nil"/>
                  </w:tcBorders>
                  <w:noWrap w:val="0"/>
                  <w:vAlign w:val="center"/>
                </w:tcPr>
                <w:p w14:paraId="12D33DCD">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c>
                <w:tcPr>
                  <w:tcW w:w="392" w:type="pct"/>
                  <w:tcBorders>
                    <w:tl2br w:val="nil"/>
                    <w:tr2bl w:val="nil"/>
                  </w:tcBorders>
                  <w:noWrap w:val="0"/>
                  <w:vAlign w:val="center"/>
                </w:tcPr>
                <w:p w14:paraId="365595E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407" w:type="pct"/>
                  <w:tcBorders>
                    <w:tl2br w:val="nil"/>
                    <w:tr2bl w:val="nil"/>
                  </w:tcBorders>
                  <w:noWrap w:val="0"/>
                  <w:vAlign w:val="center"/>
                </w:tcPr>
                <w:p w14:paraId="7F6B42ED">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502" w:type="pct"/>
                  <w:vMerge w:val="restart"/>
                  <w:tcBorders>
                    <w:tl2br w:val="nil"/>
                    <w:tr2bl w:val="nil"/>
                  </w:tcBorders>
                  <w:noWrap w:val="0"/>
                  <w:vAlign w:val="center"/>
                </w:tcPr>
                <w:p w14:paraId="46B51C36">
                  <w:pPr>
                    <w:widowControl/>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sz w:val="21"/>
                      <w:szCs w:val="21"/>
                      <w:lang w:val="en-US" w:eastAsia="zh-CN"/>
                    </w:rPr>
                    <w:t>除尘组合系统（</w:t>
                  </w:r>
                  <w:r>
                    <w:rPr>
                      <w:rFonts w:hint="eastAsia" w:cs="Times New Roman"/>
                      <w:sz w:val="21"/>
                      <w:szCs w:val="21"/>
                      <w:lang w:val="en-US" w:eastAsia="zh-CN"/>
                    </w:rPr>
                    <w:t>多管旋风除尘器</w:t>
                  </w:r>
                  <w:r>
                    <w:rPr>
                      <w:rFonts w:hint="eastAsia" w:ascii="Times New Roman" w:hAnsi="Times New Roman" w:eastAsia="宋体" w:cs="Times New Roman"/>
                      <w:sz w:val="21"/>
                      <w:szCs w:val="21"/>
                      <w:lang w:val="en-US" w:eastAsia="zh-CN"/>
                    </w:rPr>
                    <w:t>）</w:t>
                  </w:r>
                </w:p>
              </w:tc>
              <w:tc>
                <w:tcPr>
                  <w:tcW w:w="462" w:type="pct"/>
                  <w:vMerge w:val="restart"/>
                  <w:tcBorders>
                    <w:tl2br w:val="nil"/>
                    <w:tr2bl w:val="nil"/>
                  </w:tcBorders>
                  <w:noWrap w:val="0"/>
                  <w:vAlign w:val="center"/>
                </w:tcPr>
                <w:p w14:paraId="7CEADB63">
                  <w:pPr>
                    <w:widowControl/>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sz w:val="21"/>
                      <w:szCs w:val="21"/>
                      <w:lang w:val="en-US" w:eastAsia="zh-CN"/>
                    </w:rPr>
                    <w:t>9</w:t>
                  </w:r>
                  <w:r>
                    <w:rPr>
                      <w:rFonts w:hint="eastAsia" w:cs="Times New Roman"/>
                      <w:sz w:val="21"/>
                      <w:szCs w:val="21"/>
                      <w:lang w:val="en-US" w:eastAsia="zh-CN"/>
                    </w:rPr>
                    <w:t>6</w:t>
                  </w:r>
                  <w:r>
                    <w:rPr>
                      <w:rFonts w:hint="eastAsia" w:ascii="Times New Roman" w:hAnsi="Times New Roman" w:eastAsia="宋体" w:cs="Times New Roman"/>
                      <w:sz w:val="21"/>
                      <w:szCs w:val="21"/>
                      <w:lang w:val="en-US" w:eastAsia="zh-CN"/>
                    </w:rPr>
                    <w:t>%</w:t>
                  </w:r>
                </w:p>
              </w:tc>
              <w:tc>
                <w:tcPr>
                  <w:tcW w:w="263" w:type="pct"/>
                  <w:tcBorders>
                    <w:tl2br w:val="nil"/>
                    <w:tr2bl w:val="nil"/>
                  </w:tcBorders>
                  <w:noWrap w:val="0"/>
                  <w:vAlign w:val="center"/>
                </w:tcPr>
                <w:p w14:paraId="1ED30759">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排放量</w:t>
                  </w:r>
                </w:p>
              </w:tc>
              <w:tc>
                <w:tcPr>
                  <w:tcW w:w="317" w:type="pct"/>
                  <w:tcBorders>
                    <w:tl2br w:val="nil"/>
                    <w:tr2bl w:val="nil"/>
                  </w:tcBorders>
                  <w:noWrap w:val="0"/>
                  <w:vAlign w:val="center"/>
                </w:tcPr>
                <w:p w14:paraId="326AF33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313" w:type="pct"/>
                  <w:tcBorders>
                    <w:tl2br w:val="nil"/>
                    <w:tr2bl w:val="nil"/>
                  </w:tcBorders>
                  <w:noWrap w:val="0"/>
                  <w:vAlign w:val="center"/>
                </w:tcPr>
                <w:p w14:paraId="2CE0023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233" w:type="pct"/>
                  <w:tcBorders>
                    <w:tl2br w:val="nil"/>
                    <w:tr2bl w:val="nil"/>
                  </w:tcBorders>
                  <w:noWrap w:val="0"/>
                  <w:vAlign w:val="center"/>
                </w:tcPr>
                <w:p w14:paraId="2172E3D2">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高度</w:t>
                  </w:r>
                </w:p>
              </w:tc>
              <w:tc>
                <w:tcPr>
                  <w:tcW w:w="205" w:type="pct"/>
                  <w:tcBorders>
                    <w:tl2br w:val="nil"/>
                    <w:tr2bl w:val="nil"/>
                  </w:tcBorders>
                  <w:noWrap w:val="0"/>
                  <w:vAlign w:val="center"/>
                </w:tcPr>
                <w:p w14:paraId="564D2C3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直径</w:t>
                  </w:r>
                </w:p>
              </w:tc>
              <w:tc>
                <w:tcPr>
                  <w:tcW w:w="226" w:type="pct"/>
                  <w:tcBorders>
                    <w:tl2br w:val="nil"/>
                    <w:tr2bl w:val="nil"/>
                  </w:tcBorders>
                  <w:noWrap w:val="0"/>
                  <w:vAlign w:val="center"/>
                </w:tcPr>
                <w:p w14:paraId="58AFF47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温度</w:t>
                  </w:r>
                </w:p>
              </w:tc>
              <w:tc>
                <w:tcPr>
                  <w:tcW w:w="665" w:type="pct"/>
                  <w:vMerge w:val="continue"/>
                  <w:tcBorders>
                    <w:tl2br w:val="nil"/>
                    <w:tr2bl w:val="nil"/>
                  </w:tcBorders>
                  <w:noWrap w:val="0"/>
                  <w:vAlign w:val="center"/>
                </w:tcPr>
                <w:p w14:paraId="46526A1C">
                  <w:pPr>
                    <w:widowControl/>
                    <w:jc w:val="center"/>
                    <w:rPr>
                      <w:rFonts w:hint="default" w:ascii="Times New Roman" w:hAnsi="Times New Roman" w:eastAsia="宋体" w:cs="Times New Roman"/>
                      <w:color w:val="000000"/>
                      <w:kern w:val="0"/>
                      <w:sz w:val="21"/>
                      <w:szCs w:val="21"/>
                    </w:rPr>
                  </w:pPr>
                </w:p>
              </w:tc>
            </w:tr>
            <w:tr w14:paraId="7E6BA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30" w:type="pct"/>
                  <w:vMerge w:val="continue"/>
                  <w:tcBorders>
                    <w:tl2br w:val="nil"/>
                    <w:tr2bl w:val="nil"/>
                  </w:tcBorders>
                  <w:noWrap w:val="0"/>
                  <w:vAlign w:val="center"/>
                </w:tcPr>
                <w:p w14:paraId="028AE963">
                  <w:pPr>
                    <w:widowControl/>
                    <w:jc w:val="center"/>
                    <w:rPr>
                      <w:rFonts w:hint="default" w:ascii="Times New Roman" w:hAnsi="Times New Roman" w:eastAsia="宋体" w:cs="Times New Roman"/>
                      <w:color w:val="000000"/>
                      <w:kern w:val="0"/>
                      <w:sz w:val="21"/>
                      <w:szCs w:val="21"/>
                    </w:rPr>
                  </w:pPr>
                </w:p>
              </w:tc>
              <w:tc>
                <w:tcPr>
                  <w:tcW w:w="265" w:type="pct"/>
                  <w:vMerge w:val="continue"/>
                  <w:tcBorders>
                    <w:tl2br w:val="nil"/>
                    <w:tr2bl w:val="nil"/>
                  </w:tcBorders>
                  <w:noWrap w:val="0"/>
                  <w:vAlign w:val="center"/>
                </w:tcPr>
                <w:p w14:paraId="2641DF5D">
                  <w:pPr>
                    <w:widowControl/>
                    <w:jc w:val="center"/>
                    <w:rPr>
                      <w:rFonts w:hint="default" w:ascii="Times New Roman" w:hAnsi="Times New Roman" w:eastAsia="宋体" w:cs="Times New Roman"/>
                      <w:color w:val="000000"/>
                      <w:kern w:val="0"/>
                      <w:sz w:val="21"/>
                      <w:szCs w:val="21"/>
                    </w:rPr>
                  </w:pPr>
                </w:p>
              </w:tc>
              <w:tc>
                <w:tcPr>
                  <w:tcW w:w="313" w:type="pct"/>
                  <w:tcBorders>
                    <w:tl2br w:val="nil"/>
                    <w:tr2bl w:val="nil"/>
                  </w:tcBorders>
                  <w:noWrap w:val="0"/>
                  <w:vAlign w:val="center"/>
                </w:tcPr>
                <w:p w14:paraId="73F64A6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392" w:type="pct"/>
                  <w:tcBorders>
                    <w:tl2br w:val="nil"/>
                    <w:tr2bl w:val="nil"/>
                  </w:tcBorders>
                  <w:noWrap w:val="0"/>
                  <w:vAlign w:val="center"/>
                </w:tcPr>
                <w:p w14:paraId="5696E7B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407" w:type="pct"/>
                  <w:tcBorders>
                    <w:tl2br w:val="nil"/>
                    <w:tr2bl w:val="nil"/>
                  </w:tcBorders>
                  <w:noWrap w:val="0"/>
                  <w:vAlign w:val="center"/>
                </w:tcPr>
                <w:p w14:paraId="6582B33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502" w:type="pct"/>
                  <w:vMerge w:val="continue"/>
                  <w:tcBorders>
                    <w:tl2br w:val="nil"/>
                    <w:tr2bl w:val="nil"/>
                  </w:tcBorders>
                  <w:noWrap w:val="0"/>
                  <w:vAlign w:val="center"/>
                </w:tcPr>
                <w:p w14:paraId="54E28465">
                  <w:pPr>
                    <w:widowControl/>
                    <w:jc w:val="center"/>
                    <w:rPr>
                      <w:rFonts w:hint="default" w:ascii="Times New Roman" w:hAnsi="Times New Roman" w:eastAsia="宋体" w:cs="Times New Roman"/>
                      <w:color w:val="000000"/>
                      <w:kern w:val="0"/>
                      <w:sz w:val="21"/>
                      <w:szCs w:val="21"/>
                    </w:rPr>
                  </w:pPr>
                </w:p>
              </w:tc>
              <w:tc>
                <w:tcPr>
                  <w:tcW w:w="462" w:type="pct"/>
                  <w:vMerge w:val="continue"/>
                  <w:tcBorders>
                    <w:tl2br w:val="nil"/>
                    <w:tr2bl w:val="nil"/>
                  </w:tcBorders>
                  <w:noWrap w:val="0"/>
                  <w:vAlign w:val="center"/>
                </w:tcPr>
                <w:p w14:paraId="059D4CAB">
                  <w:pPr>
                    <w:widowControl/>
                    <w:jc w:val="center"/>
                    <w:rPr>
                      <w:rFonts w:hint="default" w:ascii="Times New Roman" w:hAnsi="Times New Roman" w:eastAsia="宋体" w:cs="Times New Roman"/>
                      <w:color w:val="000000"/>
                      <w:kern w:val="0"/>
                      <w:sz w:val="21"/>
                      <w:szCs w:val="21"/>
                    </w:rPr>
                  </w:pPr>
                </w:p>
              </w:tc>
              <w:tc>
                <w:tcPr>
                  <w:tcW w:w="263" w:type="pct"/>
                  <w:tcBorders>
                    <w:tl2br w:val="nil"/>
                    <w:tr2bl w:val="nil"/>
                  </w:tcBorders>
                  <w:noWrap w:val="0"/>
                  <w:vAlign w:val="center"/>
                </w:tcPr>
                <w:p w14:paraId="0F84495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317" w:type="pct"/>
                  <w:tcBorders>
                    <w:tl2br w:val="nil"/>
                    <w:tr2bl w:val="nil"/>
                  </w:tcBorders>
                  <w:noWrap w:val="0"/>
                  <w:vAlign w:val="center"/>
                </w:tcPr>
                <w:p w14:paraId="149B4599">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313" w:type="pct"/>
                  <w:tcBorders>
                    <w:tl2br w:val="nil"/>
                    <w:tr2bl w:val="nil"/>
                  </w:tcBorders>
                  <w:noWrap w:val="0"/>
                  <w:vAlign w:val="center"/>
                </w:tcPr>
                <w:p w14:paraId="2A67F7C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233" w:type="pct"/>
                  <w:tcBorders>
                    <w:tl2br w:val="nil"/>
                    <w:tr2bl w:val="nil"/>
                  </w:tcBorders>
                  <w:noWrap w:val="0"/>
                  <w:vAlign w:val="center"/>
                </w:tcPr>
                <w:p w14:paraId="2E87EC7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05" w:type="pct"/>
                  <w:tcBorders>
                    <w:tl2br w:val="nil"/>
                    <w:tr2bl w:val="nil"/>
                  </w:tcBorders>
                  <w:noWrap w:val="0"/>
                  <w:vAlign w:val="center"/>
                </w:tcPr>
                <w:p w14:paraId="6198F05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26" w:type="pct"/>
                  <w:tcBorders>
                    <w:tl2br w:val="nil"/>
                    <w:tr2bl w:val="nil"/>
                  </w:tcBorders>
                  <w:noWrap w:val="0"/>
                  <w:vAlign w:val="center"/>
                </w:tcPr>
                <w:p w14:paraId="4B0B7337">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665" w:type="pct"/>
                  <w:vMerge w:val="continue"/>
                  <w:tcBorders>
                    <w:tl2br w:val="nil"/>
                    <w:tr2bl w:val="nil"/>
                  </w:tcBorders>
                  <w:noWrap w:val="0"/>
                  <w:vAlign w:val="center"/>
                </w:tcPr>
                <w:p w14:paraId="4E3A9CFB">
                  <w:pPr>
                    <w:widowControl/>
                    <w:jc w:val="center"/>
                    <w:rPr>
                      <w:rFonts w:hint="default" w:ascii="Times New Roman" w:hAnsi="Times New Roman" w:eastAsia="宋体" w:cs="Times New Roman"/>
                      <w:color w:val="000000"/>
                      <w:kern w:val="0"/>
                      <w:sz w:val="21"/>
                      <w:szCs w:val="21"/>
                    </w:rPr>
                  </w:pPr>
                </w:p>
              </w:tc>
            </w:tr>
            <w:tr w14:paraId="54712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717" w:hRule="atLeast"/>
                <w:jc w:val="center"/>
              </w:trPr>
              <w:tc>
                <w:tcPr>
                  <w:tcW w:w="430" w:type="pct"/>
                  <w:vMerge w:val="restart"/>
                  <w:tcBorders>
                    <w:tl2br w:val="nil"/>
                    <w:tr2bl w:val="nil"/>
                  </w:tcBorders>
                  <w:noWrap w:val="0"/>
                  <w:vAlign w:val="center"/>
                </w:tcPr>
                <w:p w14:paraId="0AF32EC4">
                  <w:pPr>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kern w:val="44"/>
                      <w:sz w:val="21"/>
                      <w:szCs w:val="21"/>
                      <w:highlight w:val="none"/>
                      <w:lang w:val="en-US" w:eastAsia="zh-CN" w:bidi="ar-SA"/>
                    </w:rPr>
                    <w:t>预处理工艺</w:t>
                  </w:r>
                </w:p>
              </w:tc>
              <w:tc>
                <w:tcPr>
                  <w:tcW w:w="265" w:type="pct"/>
                  <w:tcBorders>
                    <w:tl2br w:val="nil"/>
                    <w:tr2bl w:val="nil"/>
                  </w:tcBorders>
                  <w:noWrap w:val="0"/>
                  <w:vAlign w:val="center"/>
                </w:tcPr>
                <w:p w14:paraId="6FB7C645">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13" w:type="pct"/>
                  <w:tcBorders>
                    <w:tl2br w:val="nil"/>
                    <w:tr2bl w:val="nil"/>
                  </w:tcBorders>
                  <w:noWrap w:val="0"/>
                  <w:vAlign w:val="center"/>
                </w:tcPr>
                <w:p w14:paraId="24FDD31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392" w:type="pct"/>
                  <w:tcBorders>
                    <w:tl2br w:val="nil"/>
                    <w:tr2bl w:val="nil"/>
                  </w:tcBorders>
                  <w:noWrap w:val="0"/>
                  <w:vAlign w:val="center"/>
                </w:tcPr>
                <w:p w14:paraId="332B97B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111.12</w:t>
                  </w:r>
                </w:p>
              </w:tc>
              <w:tc>
                <w:tcPr>
                  <w:tcW w:w="407" w:type="pct"/>
                  <w:tcBorders>
                    <w:tl2br w:val="nil"/>
                    <w:tr2bl w:val="nil"/>
                  </w:tcBorders>
                  <w:noWrap w:val="0"/>
                  <w:tcMar>
                    <w:left w:w="0" w:type="dxa"/>
                    <w:right w:w="0" w:type="dxa"/>
                  </w:tcMar>
                  <w:vAlign w:val="center"/>
                </w:tcPr>
                <w:p w14:paraId="2AFBC2AC">
                  <w:pPr>
                    <w:jc w:val="center"/>
                    <w:rPr>
                      <w:rFonts w:hint="default"/>
                      <w:color w:val="auto"/>
                      <w:highlight w:val="none"/>
                      <w:lang w:val="en-US" w:eastAsia="zh-CN"/>
                    </w:rPr>
                  </w:pPr>
                  <w:r>
                    <w:rPr>
                      <w:rFonts w:hint="eastAsia"/>
                      <w:color w:val="auto"/>
                      <w:highlight w:val="none"/>
                      <w:lang w:val="en-US" w:eastAsia="zh-CN"/>
                    </w:rPr>
                    <w:t>5</w:t>
                  </w:r>
                </w:p>
              </w:tc>
              <w:tc>
                <w:tcPr>
                  <w:tcW w:w="502" w:type="pct"/>
                  <w:vMerge w:val="continue"/>
                  <w:tcBorders>
                    <w:tl2br w:val="nil"/>
                    <w:tr2bl w:val="nil"/>
                  </w:tcBorders>
                  <w:noWrap w:val="0"/>
                  <w:vAlign w:val="center"/>
                </w:tcPr>
                <w:p w14:paraId="775F351C">
                  <w:pPr>
                    <w:jc w:val="center"/>
                    <w:rPr>
                      <w:rFonts w:hint="eastAsia"/>
                      <w:color w:val="auto"/>
                      <w:highlight w:val="yellow"/>
                      <w:lang w:val="en-US" w:eastAsia="zh-CN"/>
                    </w:rPr>
                  </w:pPr>
                </w:p>
              </w:tc>
              <w:tc>
                <w:tcPr>
                  <w:tcW w:w="462" w:type="pct"/>
                  <w:vMerge w:val="continue"/>
                  <w:tcBorders>
                    <w:tl2br w:val="nil"/>
                    <w:tr2bl w:val="nil"/>
                  </w:tcBorders>
                  <w:noWrap w:val="0"/>
                  <w:vAlign w:val="center"/>
                </w:tcPr>
                <w:p w14:paraId="260B8202">
                  <w:pPr>
                    <w:jc w:val="center"/>
                    <w:rPr>
                      <w:rFonts w:hint="eastAsia"/>
                      <w:color w:val="auto"/>
                      <w:highlight w:val="yellow"/>
                      <w:lang w:val="en-US" w:eastAsia="zh-CN"/>
                    </w:rPr>
                  </w:pPr>
                </w:p>
              </w:tc>
              <w:tc>
                <w:tcPr>
                  <w:tcW w:w="263" w:type="pct"/>
                  <w:tcBorders>
                    <w:tl2br w:val="nil"/>
                    <w:tr2bl w:val="nil"/>
                  </w:tcBorders>
                  <w:noWrap w:val="0"/>
                  <w:vAlign w:val="center"/>
                </w:tcPr>
                <w:p w14:paraId="700186FB">
                  <w:pPr>
                    <w:jc w:val="center"/>
                    <w:rPr>
                      <w:rFonts w:hint="default"/>
                      <w:color w:val="auto"/>
                      <w:highlight w:val="yellow"/>
                      <w:lang w:val="en-US" w:eastAsia="zh-CN"/>
                    </w:rPr>
                  </w:pPr>
                  <w:r>
                    <w:rPr>
                      <w:rFonts w:hint="eastAsia"/>
                      <w:color w:val="auto"/>
                      <w:highlight w:val="none"/>
                      <w:lang w:val="en-US" w:eastAsia="zh-CN"/>
                    </w:rPr>
                    <w:t>1.44</w:t>
                  </w:r>
                </w:p>
              </w:tc>
              <w:tc>
                <w:tcPr>
                  <w:tcW w:w="317" w:type="pct"/>
                  <w:tcBorders>
                    <w:tl2br w:val="nil"/>
                    <w:tr2bl w:val="nil"/>
                  </w:tcBorders>
                  <w:noWrap w:val="0"/>
                  <w:tcMar>
                    <w:left w:w="0" w:type="dxa"/>
                    <w:right w:w="0" w:type="dxa"/>
                  </w:tcMar>
                  <w:vAlign w:val="center"/>
                </w:tcPr>
                <w:p w14:paraId="37B0E1E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4.44</w:t>
                  </w:r>
                </w:p>
              </w:tc>
              <w:tc>
                <w:tcPr>
                  <w:tcW w:w="313" w:type="pct"/>
                  <w:tcBorders>
                    <w:tl2br w:val="nil"/>
                    <w:tr2bl w:val="nil"/>
                  </w:tcBorders>
                  <w:noWrap w:val="0"/>
                  <w:vAlign w:val="center"/>
                </w:tcPr>
                <w:p w14:paraId="2B8A8CA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233" w:type="pct"/>
                  <w:tcBorders>
                    <w:tl2br w:val="nil"/>
                    <w:tr2bl w:val="nil"/>
                  </w:tcBorders>
                  <w:noWrap w:val="0"/>
                  <w:vAlign w:val="center"/>
                </w:tcPr>
                <w:p w14:paraId="4AEEC050">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205" w:type="pct"/>
                  <w:tcBorders>
                    <w:tl2br w:val="nil"/>
                    <w:tr2bl w:val="nil"/>
                  </w:tcBorders>
                  <w:noWrap w:val="0"/>
                  <w:vAlign w:val="center"/>
                </w:tcPr>
                <w:p w14:paraId="17359C84">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c>
                <w:tcPr>
                  <w:tcW w:w="226" w:type="pct"/>
                  <w:tcBorders>
                    <w:tl2br w:val="nil"/>
                    <w:tr2bl w:val="nil"/>
                  </w:tcBorders>
                  <w:noWrap w:val="0"/>
                  <w:vAlign w:val="center"/>
                </w:tcPr>
                <w:p w14:paraId="5F5428E9">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25</w:t>
                  </w:r>
                </w:p>
              </w:tc>
              <w:tc>
                <w:tcPr>
                  <w:tcW w:w="665" w:type="pct"/>
                  <w:tcBorders>
                    <w:tl2br w:val="nil"/>
                    <w:tr2bl w:val="nil"/>
                  </w:tcBorders>
                  <w:noWrap w:val="0"/>
                  <w:vAlign w:val="center"/>
                </w:tcPr>
                <w:p w14:paraId="02A5B810">
                  <w:pPr>
                    <w:widowControl/>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DA004</w:t>
                  </w:r>
                </w:p>
              </w:tc>
            </w:tr>
            <w:tr w14:paraId="3B513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944" w:hRule="atLeast"/>
                <w:jc w:val="center"/>
              </w:trPr>
              <w:tc>
                <w:tcPr>
                  <w:tcW w:w="430" w:type="pct"/>
                  <w:vMerge w:val="continue"/>
                  <w:tcBorders>
                    <w:tl2br w:val="nil"/>
                    <w:tr2bl w:val="nil"/>
                  </w:tcBorders>
                  <w:noWrap w:val="0"/>
                  <w:vAlign w:val="center"/>
                </w:tcPr>
                <w:p w14:paraId="18D46A01">
                  <w:pPr>
                    <w:jc w:val="center"/>
                    <w:rPr>
                      <w:rFonts w:hint="eastAsia" w:ascii="Times New Roman" w:hAnsi="Times New Roman" w:eastAsia="宋体" w:cs="Times New Roman"/>
                      <w:kern w:val="44"/>
                      <w:sz w:val="21"/>
                      <w:szCs w:val="21"/>
                      <w:highlight w:val="none"/>
                      <w:lang w:val="en-US" w:eastAsia="zh-CN" w:bidi="ar-SA"/>
                    </w:rPr>
                  </w:pPr>
                </w:p>
              </w:tc>
              <w:tc>
                <w:tcPr>
                  <w:tcW w:w="265" w:type="pct"/>
                  <w:tcBorders>
                    <w:tl2br w:val="nil"/>
                    <w:tr2bl w:val="nil"/>
                  </w:tcBorders>
                  <w:noWrap w:val="0"/>
                  <w:vAlign w:val="center"/>
                </w:tcPr>
                <w:p w14:paraId="4BF1FE4D">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臭气浓度</w:t>
                  </w:r>
                </w:p>
              </w:tc>
              <w:tc>
                <w:tcPr>
                  <w:tcW w:w="313" w:type="pct"/>
                  <w:tcBorders>
                    <w:tl2br w:val="nil"/>
                    <w:tr2bl w:val="nil"/>
                  </w:tcBorders>
                  <w:noWrap w:val="0"/>
                  <w:vAlign w:val="center"/>
                </w:tcPr>
                <w:p w14:paraId="7DDC73C6">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392" w:type="pct"/>
                  <w:tcBorders>
                    <w:tl2br w:val="nil"/>
                    <w:tr2bl w:val="nil"/>
                  </w:tcBorders>
                  <w:noWrap w:val="0"/>
                  <w:vAlign w:val="center"/>
                </w:tcPr>
                <w:p w14:paraId="73629A2F">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407" w:type="pct"/>
                  <w:tcBorders>
                    <w:tl2br w:val="nil"/>
                    <w:tr2bl w:val="nil"/>
                  </w:tcBorders>
                  <w:noWrap w:val="0"/>
                  <w:tcMar>
                    <w:left w:w="0" w:type="dxa"/>
                    <w:right w:w="0" w:type="dxa"/>
                  </w:tcMar>
                  <w:vAlign w:val="center"/>
                </w:tcPr>
                <w:p w14:paraId="5C12C7CF">
                  <w:pPr>
                    <w:jc w:val="center"/>
                    <w:rPr>
                      <w:rFonts w:hint="default"/>
                      <w:lang w:val="en-US" w:eastAsia="zh-CN"/>
                    </w:rPr>
                  </w:pPr>
                  <w:r>
                    <w:rPr>
                      <w:rFonts w:hint="eastAsia"/>
                      <w:lang w:val="en-US" w:eastAsia="zh-CN"/>
                    </w:rPr>
                    <w:t>733（无量纲）</w:t>
                  </w:r>
                </w:p>
              </w:tc>
              <w:tc>
                <w:tcPr>
                  <w:tcW w:w="502" w:type="pct"/>
                  <w:tcBorders>
                    <w:tl2br w:val="nil"/>
                    <w:tr2bl w:val="nil"/>
                  </w:tcBorders>
                  <w:noWrap w:val="0"/>
                  <w:vAlign w:val="center"/>
                </w:tcPr>
                <w:p w14:paraId="05DDE8D8">
                  <w:pPr>
                    <w:jc w:val="center"/>
                    <w:rPr>
                      <w:rFonts w:hint="default"/>
                      <w:lang w:val="en-US" w:eastAsia="zh-CN"/>
                    </w:rPr>
                  </w:pPr>
                  <w:r>
                    <w:rPr>
                      <w:rFonts w:hint="eastAsia"/>
                      <w:lang w:val="en-US" w:eastAsia="zh-CN"/>
                    </w:rPr>
                    <w:t>/</w:t>
                  </w:r>
                </w:p>
              </w:tc>
              <w:tc>
                <w:tcPr>
                  <w:tcW w:w="462" w:type="pct"/>
                  <w:tcBorders>
                    <w:tl2br w:val="nil"/>
                    <w:tr2bl w:val="nil"/>
                  </w:tcBorders>
                  <w:noWrap w:val="0"/>
                  <w:vAlign w:val="center"/>
                </w:tcPr>
                <w:p w14:paraId="04EE547C">
                  <w:pPr>
                    <w:jc w:val="center"/>
                    <w:rPr>
                      <w:rFonts w:hint="default"/>
                      <w:lang w:val="en-US" w:eastAsia="zh-CN"/>
                    </w:rPr>
                  </w:pPr>
                  <w:r>
                    <w:rPr>
                      <w:rFonts w:hint="eastAsia"/>
                      <w:lang w:val="en-US" w:eastAsia="zh-CN"/>
                    </w:rPr>
                    <w:t>/</w:t>
                  </w:r>
                </w:p>
              </w:tc>
              <w:tc>
                <w:tcPr>
                  <w:tcW w:w="263" w:type="pct"/>
                  <w:tcBorders>
                    <w:tl2br w:val="nil"/>
                    <w:tr2bl w:val="nil"/>
                  </w:tcBorders>
                  <w:noWrap w:val="0"/>
                  <w:vAlign w:val="center"/>
                </w:tcPr>
                <w:p w14:paraId="03CE9A49">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w:t>
                  </w:r>
                </w:p>
              </w:tc>
              <w:tc>
                <w:tcPr>
                  <w:tcW w:w="317" w:type="pct"/>
                  <w:tcBorders>
                    <w:tl2br w:val="nil"/>
                    <w:tr2bl w:val="nil"/>
                  </w:tcBorders>
                  <w:noWrap w:val="0"/>
                  <w:tcMar>
                    <w:left w:w="0" w:type="dxa"/>
                    <w:right w:w="0" w:type="dxa"/>
                  </w:tcMar>
                  <w:vAlign w:val="center"/>
                </w:tcPr>
                <w:p w14:paraId="5787E83E">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w:t>
                  </w:r>
                </w:p>
              </w:tc>
              <w:tc>
                <w:tcPr>
                  <w:tcW w:w="313" w:type="pct"/>
                  <w:tcBorders>
                    <w:tl2br w:val="nil"/>
                    <w:tr2bl w:val="nil"/>
                  </w:tcBorders>
                  <w:noWrap w:val="0"/>
                  <w:vAlign w:val="center"/>
                </w:tcPr>
                <w:p w14:paraId="087EBC5C">
                  <w:pPr>
                    <w:jc w:val="center"/>
                    <w:rPr>
                      <w:rFonts w:hint="eastAsia" w:ascii="Times New Roman" w:hAnsi="Times New Roman" w:eastAsia="宋体" w:cs="Times New Roman"/>
                      <w:kern w:val="2"/>
                      <w:sz w:val="21"/>
                      <w:szCs w:val="24"/>
                      <w:lang w:val="en-US" w:eastAsia="zh-CN" w:bidi="ar-SA"/>
                    </w:rPr>
                  </w:pPr>
                  <w:r>
                    <w:rPr>
                      <w:rFonts w:hint="eastAsia"/>
                      <w:lang w:val="en-US" w:eastAsia="zh-CN"/>
                    </w:rPr>
                    <w:t>733（无量纲）</w:t>
                  </w:r>
                </w:p>
              </w:tc>
              <w:tc>
                <w:tcPr>
                  <w:tcW w:w="233" w:type="pct"/>
                  <w:tcBorders>
                    <w:tl2br w:val="nil"/>
                    <w:tr2bl w:val="nil"/>
                  </w:tcBorders>
                  <w:noWrap w:val="0"/>
                  <w:vAlign w:val="center"/>
                </w:tcPr>
                <w:p w14:paraId="12A34C23">
                  <w:pPr>
                    <w:widowControl/>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w:t>
                  </w:r>
                </w:p>
              </w:tc>
              <w:tc>
                <w:tcPr>
                  <w:tcW w:w="205" w:type="pct"/>
                  <w:tcBorders>
                    <w:tl2br w:val="nil"/>
                    <w:tr2bl w:val="nil"/>
                  </w:tcBorders>
                  <w:noWrap w:val="0"/>
                  <w:vAlign w:val="center"/>
                </w:tcPr>
                <w:p w14:paraId="5014E237">
                  <w:pPr>
                    <w:widowControl/>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226" w:type="pct"/>
                  <w:tcBorders>
                    <w:tl2br w:val="nil"/>
                    <w:tr2bl w:val="nil"/>
                  </w:tcBorders>
                  <w:noWrap w:val="0"/>
                  <w:vAlign w:val="center"/>
                </w:tcPr>
                <w:p w14:paraId="1438F393">
                  <w:pPr>
                    <w:widowControl/>
                    <w:jc w:val="center"/>
                    <w:rPr>
                      <w:rFonts w:hint="eastAsia" w:eastAsia="宋体" w:cs="Times New Roman"/>
                      <w:color w:val="000000"/>
                      <w:sz w:val="21"/>
                      <w:szCs w:val="21"/>
                      <w:lang w:val="en-US" w:eastAsia="zh-CN"/>
                    </w:rPr>
                  </w:pPr>
                  <w:r>
                    <w:rPr>
                      <w:rFonts w:hint="eastAsia" w:eastAsia="宋体" w:cs="Times New Roman"/>
                      <w:color w:val="000000"/>
                      <w:sz w:val="21"/>
                      <w:szCs w:val="21"/>
                      <w:lang w:val="en-US" w:eastAsia="zh-CN"/>
                    </w:rPr>
                    <w:t>25</w:t>
                  </w:r>
                </w:p>
              </w:tc>
              <w:tc>
                <w:tcPr>
                  <w:tcW w:w="665" w:type="pct"/>
                  <w:tcBorders>
                    <w:tl2br w:val="nil"/>
                    <w:tr2bl w:val="nil"/>
                  </w:tcBorders>
                  <w:noWrap w:val="0"/>
                  <w:vAlign w:val="center"/>
                </w:tcPr>
                <w:p w14:paraId="7668E84A">
                  <w:pPr>
                    <w:widowControl/>
                    <w:jc w:val="center"/>
                    <w:rPr>
                      <w:rFonts w:hint="eastAsia" w:eastAsia="宋体" w:cs="Times New Roman"/>
                      <w:color w:val="000000"/>
                      <w:sz w:val="21"/>
                      <w:szCs w:val="21"/>
                      <w:lang w:val="en-US" w:eastAsia="zh-CN"/>
                    </w:rPr>
                  </w:pPr>
                  <w:r>
                    <w:rPr>
                      <w:rFonts w:hint="eastAsia" w:ascii="Times New Roman" w:hAnsi="Times New Roman" w:eastAsia="宋体" w:cs="Times New Roman"/>
                      <w:kern w:val="44"/>
                      <w:sz w:val="21"/>
                      <w:szCs w:val="21"/>
                      <w:highlight w:val="none"/>
                      <w:lang w:val="en-US" w:eastAsia="zh-CN" w:bidi="ar-SA"/>
                    </w:rPr>
                    <w:t>DA00</w:t>
                  </w:r>
                  <w:r>
                    <w:rPr>
                      <w:rFonts w:hint="eastAsia" w:cs="Times New Roman"/>
                      <w:kern w:val="44"/>
                      <w:sz w:val="21"/>
                      <w:szCs w:val="21"/>
                      <w:highlight w:val="none"/>
                      <w:lang w:val="en-US" w:eastAsia="zh-CN" w:bidi="ar-SA"/>
                    </w:rPr>
                    <w:t>5、DA006</w:t>
                  </w:r>
                </w:p>
              </w:tc>
            </w:tr>
          </w:tbl>
          <w:p w14:paraId="7F958B1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textAlignment w:val="auto"/>
              <w:rPr>
                <w:rFonts w:hint="eastAsia"/>
                <w:lang w:val="en-US" w:eastAsia="zh-CN"/>
              </w:rPr>
            </w:pPr>
            <w:r>
              <w:rPr>
                <w:rFonts w:hint="eastAsia" w:ascii="Times New Roman" w:hAnsi="Times New Roman" w:eastAsia="宋体" w:cs="Times New Roman"/>
                <w:b w:val="0"/>
                <w:bCs w:val="0"/>
                <w:color w:val="000000"/>
                <w:kern w:val="2"/>
                <w:sz w:val="24"/>
                <w:szCs w:val="24"/>
                <w:highlight w:val="none"/>
                <w:lang w:val="en-US" w:eastAsia="zh-CN" w:bidi="ar-SA"/>
              </w:rPr>
              <w:t>颗粒物污染物排放满足《大气污染物综合排放标准》（GB16297-1996）表2新污染源大气污染物排放限值，臭气浓度</w:t>
            </w:r>
            <w:r>
              <w:rPr>
                <w:rFonts w:hint="eastAsia" w:cs="Times New Roman"/>
                <w:b w:val="0"/>
                <w:bCs w:val="0"/>
                <w:color w:val="000000"/>
                <w:kern w:val="2"/>
                <w:sz w:val="24"/>
                <w:szCs w:val="24"/>
                <w:highlight w:val="none"/>
                <w:lang w:val="en-US" w:eastAsia="zh-CN" w:bidi="ar-SA"/>
              </w:rPr>
              <w:t>污</w:t>
            </w:r>
            <w:r>
              <w:rPr>
                <w:rFonts w:hint="eastAsia" w:ascii="Times New Roman" w:hAnsi="Times New Roman" w:eastAsia="宋体" w:cs="Times New Roman"/>
                <w:b w:val="0"/>
                <w:bCs w:val="0"/>
                <w:color w:val="000000"/>
                <w:kern w:val="2"/>
                <w:sz w:val="24"/>
                <w:szCs w:val="24"/>
                <w:highlight w:val="none"/>
                <w:lang w:val="en-US" w:eastAsia="zh-CN" w:bidi="ar-SA"/>
              </w:rPr>
              <w:t>染物排放满足《恶臭污染物排放标准》（GB14554-93）表2恶臭污染物排放限值。</w:t>
            </w:r>
          </w:p>
          <w:p w14:paraId="6FE6C27C">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b w:val="0"/>
                <w:bCs w:val="0"/>
                <w:kern w:val="2"/>
                <w:sz w:val="24"/>
                <w:szCs w:val="24"/>
                <w:highlight w:val="none"/>
                <w:lang w:val="en-US" w:eastAsia="zh-CN"/>
              </w:rPr>
            </w:pPr>
            <w:r>
              <w:rPr>
                <w:rFonts w:hint="eastAsia" w:ascii="Times New Roman" w:hAnsi="Times New Roman" w:eastAsia="宋体" w:cs="Times New Roman"/>
                <w:b w:val="0"/>
                <w:bCs w:val="0"/>
                <w:kern w:val="2"/>
                <w:sz w:val="24"/>
                <w:szCs w:val="24"/>
                <w:highlight w:val="none"/>
                <w:lang w:val="en-US" w:eastAsia="zh-CN"/>
              </w:rPr>
              <w:t>（4）浸出车间产生的有机废气</w:t>
            </w:r>
          </w:p>
          <w:p w14:paraId="5EA631B2">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left="0" w:leftChars="0" w:right="0" w:firstLine="480" w:firstLineChars="200"/>
              <w:textAlignment w:val="auto"/>
              <w:rPr>
                <w:rFonts w:hint="eastAsia" w:ascii="Times New Roman" w:hAnsi="Times New Roman" w:eastAsia="宋体" w:cs="Times New Roman"/>
                <w:b w:val="0"/>
                <w:bCs w:val="0"/>
                <w:kern w:val="2"/>
                <w:sz w:val="24"/>
                <w:szCs w:val="24"/>
                <w:highlight w:val="none"/>
                <w:lang w:val="en-US" w:eastAsia="zh-CN"/>
              </w:rPr>
            </w:pPr>
            <w:r>
              <w:rPr>
                <w:rFonts w:hint="eastAsia" w:ascii="Times New Roman" w:hAnsi="Times New Roman" w:eastAsia="宋体" w:cs="Times New Roman"/>
                <w:b w:val="0"/>
                <w:bCs w:val="0"/>
                <w:kern w:val="2"/>
                <w:sz w:val="24"/>
                <w:szCs w:val="24"/>
                <w:highlight w:val="none"/>
                <w:lang w:val="en-US" w:eastAsia="zh-CN"/>
              </w:rPr>
              <w:t>本项目年溶剂油消耗量289t/a，浸出、蒸脱工序产生的有机溶剂蒸汽（非甲烷总烃）经过冷凝回收二级冷冻系统回收，根据《植物油浸出溶剂回收工艺优化研究》（中国油脂，2023），冷冻回收溶剂油率为99.7%，（风量为30000m</w:t>
            </w:r>
            <w:r>
              <w:rPr>
                <w:rFonts w:hint="eastAsia" w:ascii="Times New Roman" w:hAnsi="Times New Roman" w:eastAsia="宋体" w:cs="Times New Roman"/>
                <w:b w:val="0"/>
                <w:bCs w:val="0"/>
                <w:kern w:val="2"/>
                <w:sz w:val="24"/>
                <w:szCs w:val="24"/>
                <w:highlight w:val="none"/>
                <w:vertAlign w:val="superscript"/>
                <w:lang w:val="en-US" w:eastAsia="zh-CN"/>
              </w:rPr>
              <w:t>3</w:t>
            </w:r>
            <w:r>
              <w:rPr>
                <w:rFonts w:hint="eastAsia" w:ascii="Times New Roman" w:hAnsi="Times New Roman" w:eastAsia="宋体" w:cs="Times New Roman"/>
                <w:b w:val="0"/>
                <w:bCs w:val="0"/>
                <w:kern w:val="2"/>
                <w:sz w:val="24"/>
                <w:szCs w:val="24"/>
                <w:highlight w:val="none"/>
                <w:lang w:val="en-US" w:eastAsia="zh-CN"/>
              </w:rPr>
              <w:t>/h），后回用于浸出生产工艺（274.55t/a），0.3%为不凝气产生量为0.867t/a。</w:t>
            </w:r>
          </w:p>
          <w:p w14:paraId="4F2300C2">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黑体" w:hAnsi="黑体" w:eastAsia="黑体" w:cs="黑体"/>
                <w:b w:val="0"/>
                <w:bCs w:val="0"/>
                <w:kern w:val="2"/>
                <w:sz w:val="21"/>
                <w:szCs w:val="21"/>
                <w:highlight w:val="none"/>
                <w:lang w:val="en-US" w:eastAsia="zh-CN"/>
              </w:rPr>
            </w:pPr>
            <w:r>
              <w:rPr>
                <w:rFonts w:hint="eastAsia" w:ascii="黑体" w:hAnsi="黑体" w:eastAsia="黑体" w:cs="黑体"/>
                <w:b w:val="0"/>
                <w:bCs w:val="0"/>
                <w:color w:val="000000"/>
                <w:sz w:val="21"/>
                <w:szCs w:val="21"/>
                <w:lang w:val="en-US" w:eastAsia="zh-CN" w:bidi="ar-SA"/>
              </w:rPr>
              <w:t xml:space="preserve">   表4-3   项目浸出工艺废气排放量一览表</w:t>
            </w:r>
          </w:p>
          <w:tbl>
            <w:tblPr>
              <w:tblStyle w:val="21"/>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7" w:type="dxa"/>
                <w:bottom w:w="0" w:type="dxa"/>
                <w:right w:w="17" w:type="dxa"/>
              </w:tblCellMar>
            </w:tblPr>
            <w:tblGrid>
              <w:gridCol w:w="853"/>
              <w:gridCol w:w="698"/>
              <w:gridCol w:w="686"/>
              <w:gridCol w:w="625"/>
              <w:gridCol w:w="730"/>
              <w:gridCol w:w="925"/>
              <w:gridCol w:w="925"/>
              <w:gridCol w:w="596"/>
              <w:gridCol w:w="568"/>
              <w:gridCol w:w="689"/>
              <w:gridCol w:w="455"/>
              <w:gridCol w:w="412"/>
              <w:gridCol w:w="443"/>
            </w:tblGrid>
            <w:tr w14:paraId="5AE1A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96" w:type="pct"/>
                  <w:vMerge w:val="restart"/>
                  <w:tcBorders>
                    <w:tl2br w:val="nil"/>
                    <w:tr2bl w:val="nil"/>
                  </w:tcBorders>
                  <w:noWrap w:val="0"/>
                  <w:vAlign w:val="center"/>
                </w:tcPr>
                <w:p w14:paraId="0113BFC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产生环节</w:t>
                  </w:r>
                </w:p>
              </w:tc>
              <w:tc>
                <w:tcPr>
                  <w:tcW w:w="405" w:type="pct"/>
                  <w:vMerge w:val="restart"/>
                  <w:tcBorders>
                    <w:tl2br w:val="nil"/>
                    <w:tr2bl w:val="nil"/>
                  </w:tcBorders>
                  <w:noWrap w:val="0"/>
                  <w:vAlign w:val="center"/>
                </w:tcPr>
                <w:p w14:paraId="2A84D12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13D6768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1185" w:type="pct"/>
                  <w:gridSpan w:val="3"/>
                  <w:tcBorders>
                    <w:tl2br w:val="nil"/>
                    <w:tr2bl w:val="nil"/>
                  </w:tcBorders>
                  <w:noWrap w:val="0"/>
                  <w:vAlign w:val="center"/>
                </w:tcPr>
                <w:p w14:paraId="680B0D2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产生状况</w:t>
                  </w:r>
                </w:p>
              </w:tc>
              <w:tc>
                <w:tcPr>
                  <w:tcW w:w="537" w:type="pct"/>
                  <w:tcBorders>
                    <w:tl2br w:val="nil"/>
                    <w:tr2bl w:val="nil"/>
                  </w:tcBorders>
                  <w:noWrap w:val="0"/>
                  <w:vAlign w:val="center"/>
                </w:tcPr>
                <w:p w14:paraId="3DB70464">
                  <w:pPr>
                    <w:widowControl/>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rPr>
                    <w:t>处理方式</w:t>
                  </w:r>
                </w:p>
              </w:tc>
              <w:tc>
                <w:tcPr>
                  <w:tcW w:w="537" w:type="pct"/>
                  <w:tcBorders>
                    <w:tl2br w:val="nil"/>
                    <w:tr2bl w:val="nil"/>
                  </w:tcBorders>
                  <w:noWrap w:val="0"/>
                  <w:vAlign w:val="center"/>
                </w:tcPr>
                <w:p w14:paraId="47492848">
                  <w:pPr>
                    <w:widowControl/>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rPr>
                    <w:t>去除效率</w:t>
                  </w:r>
                </w:p>
              </w:tc>
              <w:tc>
                <w:tcPr>
                  <w:tcW w:w="1076" w:type="pct"/>
                  <w:gridSpan w:val="3"/>
                  <w:tcBorders>
                    <w:tl2br w:val="nil"/>
                    <w:tr2bl w:val="nil"/>
                  </w:tcBorders>
                  <w:noWrap w:val="0"/>
                  <w:vAlign w:val="center"/>
                </w:tcPr>
                <w:p w14:paraId="1CE0DA3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排放状况</w:t>
                  </w:r>
                </w:p>
              </w:tc>
              <w:tc>
                <w:tcPr>
                  <w:tcW w:w="760" w:type="pct"/>
                  <w:gridSpan w:val="3"/>
                  <w:tcBorders>
                    <w:tl2br w:val="nil"/>
                    <w:tr2bl w:val="nil"/>
                  </w:tcBorders>
                  <w:noWrap w:val="0"/>
                  <w:vAlign w:val="center"/>
                </w:tcPr>
                <w:p w14:paraId="69674580">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排放源参数</w:t>
                  </w:r>
                </w:p>
              </w:tc>
            </w:tr>
            <w:tr w14:paraId="070CE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96" w:type="pct"/>
                  <w:vMerge w:val="continue"/>
                  <w:tcBorders>
                    <w:tl2br w:val="nil"/>
                    <w:tr2bl w:val="nil"/>
                  </w:tcBorders>
                  <w:noWrap w:val="0"/>
                  <w:vAlign w:val="center"/>
                </w:tcPr>
                <w:p w14:paraId="1C8A5748">
                  <w:pPr>
                    <w:widowControl/>
                    <w:jc w:val="center"/>
                    <w:rPr>
                      <w:rFonts w:hint="default" w:ascii="Times New Roman" w:hAnsi="Times New Roman" w:eastAsia="宋体" w:cs="Times New Roman"/>
                      <w:color w:val="000000"/>
                      <w:kern w:val="0"/>
                      <w:sz w:val="21"/>
                      <w:szCs w:val="21"/>
                    </w:rPr>
                  </w:pPr>
                </w:p>
              </w:tc>
              <w:tc>
                <w:tcPr>
                  <w:tcW w:w="405" w:type="pct"/>
                  <w:vMerge w:val="continue"/>
                  <w:tcBorders>
                    <w:tl2br w:val="nil"/>
                    <w:tr2bl w:val="nil"/>
                  </w:tcBorders>
                  <w:noWrap w:val="0"/>
                  <w:vAlign w:val="center"/>
                </w:tcPr>
                <w:p w14:paraId="2D192702">
                  <w:pPr>
                    <w:widowControl/>
                    <w:jc w:val="center"/>
                    <w:rPr>
                      <w:rFonts w:hint="default" w:ascii="Times New Roman" w:hAnsi="Times New Roman" w:eastAsia="宋体" w:cs="Times New Roman"/>
                      <w:color w:val="000000"/>
                      <w:kern w:val="0"/>
                      <w:sz w:val="21"/>
                      <w:szCs w:val="21"/>
                    </w:rPr>
                  </w:pPr>
                </w:p>
              </w:tc>
              <w:tc>
                <w:tcPr>
                  <w:tcW w:w="398" w:type="pct"/>
                  <w:tcBorders>
                    <w:tl2br w:val="nil"/>
                    <w:tr2bl w:val="nil"/>
                  </w:tcBorders>
                  <w:noWrap w:val="0"/>
                  <w:vAlign w:val="center"/>
                </w:tcPr>
                <w:p w14:paraId="7EA9D13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c>
                <w:tcPr>
                  <w:tcW w:w="363" w:type="pct"/>
                  <w:tcBorders>
                    <w:tl2br w:val="nil"/>
                    <w:tr2bl w:val="nil"/>
                  </w:tcBorders>
                  <w:noWrap w:val="0"/>
                  <w:vAlign w:val="center"/>
                </w:tcPr>
                <w:p w14:paraId="4572D9A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424" w:type="pct"/>
                  <w:tcBorders>
                    <w:tl2br w:val="nil"/>
                    <w:tr2bl w:val="nil"/>
                  </w:tcBorders>
                  <w:noWrap w:val="0"/>
                  <w:vAlign w:val="center"/>
                </w:tcPr>
                <w:p w14:paraId="734D531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537" w:type="pct"/>
                  <w:vMerge w:val="restart"/>
                  <w:tcBorders>
                    <w:tl2br w:val="nil"/>
                    <w:tr2bl w:val="nil"/>
                  </w:tcBorders>
                  <w:noWrap w:val="0"/>
                  <w:vAlign w:val="center"/>
                </w:tcPr>
                <w:p w14:paraId="02F780B6">
                  <w:pPr>
                    <w:widowControl/>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冷冻回收</w:t>
                  </w:r>
                </w:p>
              </w:tc>
              <w:tc>
                <w:tcPr>
                  <w:tcW w:w="537" w:type="pct"/>
                  <w:vMerge w:val="restart"/>
                  <w:tcBorders>
                    <w:tl2br w:val="nil"/>
                    <w:tr2bl w:val="nil"/>
                  </w:tcBorders>
                  <w:noWrap w:val="0"/>
                  <w:vAlign w:val="center"/>
                </w:tcPr>
                <w:p w14:paraId="1EDAE96F">
                  <w:pPr>
                    <w:widowControl/>
                    <w:jc w:val="center"/>
                    <w:rPr>
                      <w:rFonts w:hint="default" w:ascii="Times New Roman" w:hAnsi="Times New Roman" w:eastAsia="宋体" w:cs="Times New Roman"/>
                      <w:color w:val="000000"/>
                      <w:kern w:val="0"/>
                      <w:sz w:val="21"/>
                      <w:szCs w:val="21"/>
                      <w:lang w:val="en-US"/>
                    </w:rPr>
                  </w:pPr>
                  <w:r>
                    <w:rPr>
                      <w:rFonts w:hint="eastAsia" w:cs="Times New Roman"/>
                      <w:sz w:val="21"/>
                      <w:szCs w:val="21"/>
                      <w:lang w:val="en-US" w:eastAsia="zh-CN"/>
                    </w:rPr>
                    <w:t>99.7</w:t>
                  </w:r>
                  <w:r>
                    <w:rPr>
                      <w:rFonts w:hint="eastAsia" w:ascii="Times New Roman" w:hAnsi="Times New Roman" w:cs="Times New Roman"/>
                      <w:sz w:val="21"/>
                      <w:szCs w:val="21"/>
                      <w:lang w:val="en-US" w:eastAsia="zh-CN"/>
                    </w:rPr>
                    <w:t>%</w:t>
                  </w:r>
                </w:p>
              </w:tc>
              <w:tc>
                <w:tcPr>
                  <w:tcW w:w="346" w:type="pct"/>
                  <w:tcBorders>
                    <w:tl2br w:val="nil"/>
                    <w:tr2bl w:val="nil"/>
                  </w:tcBorders>
                  <w:noWrap w:val="0"/>
                  <w:vAlign w:val="center"/>
                </w:tcPr>
                <w:p w14:paraId="2D4D8775">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排放量</w:t>
                  </w:r>
                </w:p>
              </w:tc>
              <w:tc>
                <w:tcPr>
                  <w:tcW w:w="330" w:type="pct"/>
                  <w:tcBorders>
                    <w:tl2br w:val="nil"/>
                    <w:tr2bl w:val="nil"/>
                  </w:tcBorders>
                  <w:noWrap w:val="0"/>
                  <w:vAlign w:val="center"/>
                </w:tcPr>
                <w:p w14:paraId="454E962A">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399" w:type="pct"/>
                  <w:tcBorders>
                    <w:tl2br w:val="nil"/>
                    <w:tr2bl w:val="nil"/>
                  </w:tcBorders>
                  <w:noWrap w:val="0"/>
                  <w:vAlign w:val="center"/>
                </w:tcPr>
                <w:p w14:paraId="27291AC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264" w:type="pct"/>
                  <w:tcBorders>
                    <w:tl2br w:val="nil"/>
                    <w:tr2bl w:val="nil"/>
                  </w:tcBorders>
                  <w:noWrap w:val="0"/>
                  <w:vAlign w:val="center"/>
                </w:tcPr>
                <w:p w14:paraId="4D93A047">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高度</w:t>
                  </w:r>
                </w:p>
              </w:tc>
              <w:tc>
                <w:tcPr>
                  <w:tcW w:w="239" w:type="pct"/>
                  <w:tcBorders>
                    <w:tl2br w:val="nil"/>
                    <w:tr2bl w:val="nil"/>
                  </w:tcBorders>
                  <w:noWrap w:val="0"/>
                  <w:vAlign w:val="center"/>
                </w:tcPr>
                <w:p w14:paraId="17A848C9">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直径</w:t>
                  </w:r>
                </w:p>
              </w:tc>
              <w:tc>
                <w:tcPr>
                  <w:tcW w:w="257" w:type="pct"/>
                  <w:tcBorders>
                    <w:tl2br w:val="nil"/>
                    <w:tr2bl w:val="nil"/>
                  </w:tcBorders>
                  <w:noWrap w:val="0"/>
                  <w:vAlign w:val="center"/>
                </w:tcPr>
                <w:p w14:paraId="55BC7B4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温度</w:t>
                  </w:r>
                </w:p>
              </w:tc>
            </w:tr>
            <w:tr w14:paraId="73A77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496" w:type="pct"/>
                  <w:vMerge w:val="continue"/>
                  <w:tcBorders>
                    <w:tl2br w:val="nil"/>
                    <w:tr2bl w:val="nil"/>
                  </w:tcBorders>
                  <w:noWrap w:val="0"/>
                  <w:vAlign w:val="center"/>
                </w:tcPr>
                <w:p w14:paraId="27549CEE">
                  <w:pPr>
                    <w:widowControl/>
                    <w:jc w:val="center"/>
                    <w:rPr>
                      <w:rFonts w:hint="default" w:ascii="Times New Roman" w:hAnsi="Times New Roman" w:eastAsia="宋体" w:cs="Times New Roman"/>
                      <w:color w:val="000000"/>
                      <w:kern w:val="0"/>
                      <w:sz w:val="21"/>
                      <w:szCs w:val="21"/>
                    </w:rPr>
                  </w:pPr>
                </w:p>
              </w:tc>
              <w:tc>
                <w:tcPr>
                  <w:tcW w:w="405" w:type="pct"/>
                  <w:vMerge w:val="continue"/>
                  <w:tcBorders>
                    <w:tl2br w:val="nil"/>
                    <w:tr2bl w:val="nil"/>
                  </w:tcBorders>
                  <w:noWrap w:val="0"/>
                  <w:vAlign w:val="center"/>
                </w:tcPr>
                <w:p w14:paraId="5E565300">
                  <w:pPr>
                    <w:widowControl/>
                    <w:jc w:val="center"/>
                    <w:rPr>
                      <w:rFonts w:hint="default" w:ascii="Times New Roman" w:hAnsi="Times New Roman" w:eastAsia="宋体" w:cs="Times New Roman"/>
                      <w:color w:val="000000"/>
                      <w:kern w:val="0"/>
                      <w:sz w:val="21"/>
                      <w:szCs w:val="21"/>
                    </w:rPr>
                  </w:pPr>
                </w:p>
              </w:tc>
              <w:tc>
                <w:tcPr>
                  <w:tcW w:w="398" w:type="pct"/>
                  <w:tcBorders>
                    <w:tl2br w:val="nil"/>
                    <w:tr2bl w:val="nil"/>
                  </w:tcBorders>
                  <w:noWrap w:val="0"/>
                  <w:vAlign w:val="center"/>
                </w:tcPr>
                <w:p w14:paraId="3F3DBB1F">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363" w:type="pct"/>
                  <w:tcBorders>
                    <w:tl2br w:val="nil"/>
                    <w:tr2bl w:val="nil"/>
                  </w:tcBorders>
                  <w:noWrap w:val="0"/>
                  <w:vAlign w:val="center"/>
                </w:tcPr>
                <w:p w14:paraId="2E29841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424" w:type="pct"/>
                  <w:tcBorders>
                    <w:tl2br w:val="nil"/>
                    <w:tr2bl w:val="nil"/>
                  </w:tcBorders>
                  <w:noWrap w:val="0"/>
                  <w:vAlign w:val="center"/>
                </w:tcPr>
                <w:p w14:paraId="3D4ACFEF">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537" w:type="pct"/>
                  <w:vMerge w:val="continue"/>
                  <w:tcBorders>
                    <w:tl2br w:val="nil"/>
                    <w:tr2bl w:val="nil"/>
                  </w:tcBorders>
                  <w:noWrap w:val="0"/>
                  <w:vAlign w:val="center"/>
                </w:tcPr>
                <w:p w14:paraId="3DFC4ADB">
                  <w:pPr>
                    <w:widowControl/>
                    <w:jc w:val="center"/>
                    <w:rPr>
                      <w:rFonts w:hint="default" w:ascii="Times New Roman" w:hAnsi="Times New Roman" w:eastAsia="宋体" w:cs="Times New Roman"/>
                      <w:color w:val="000000"/>
                      <w:kern w:val="0"/>
                      <w:sz w:val="21"/>
                      <w:szCs w:val="21"/>
                    </w:rPr>
                  </w:pPr>
                </w:p>
              </w:tc>
              <w:tc>
                <w:tcPr>
                  <w:tcW w:w="537" w:type="pct"/>
                  <w:vMerge w:val="continue"/>
                  <w:tcBorders>
                    <w:tl2br w:val="nil"/>
                    <w:tr2bl w:val="nil"/>
                  </w:tcBorders>
                  <w:noWrap w:val="0"/>
                  <w:vAlign w:val="center"/>
                </w:tcPr>
                <w:p w14:paraId="046C6473">
                  <w:pPr>
                    <w:widowControl/>
                    <w:jc w:val="center"/>
                    <w:rPr>
                      <w:rFonts w:hint="default" w:ascii="Times New Roman" w:hAnsi="Times New Roman" w:eastAsia="宋体" w:cs="Times New Roman"/>
                      <w:color w:val="000000"/>
                      <w:kern w:val="0"/>
                      <w:sz w:val="21"/>
                      <w:szCs w:val="21"/>
                    </w:rPr>
                  </w:pPr>
                </w:p>
              </w:tc>
              <w:tc>
                <w:tcPr>
                  <w:tcW w:w="346" w:type="pct"/>
                  <w:tcBorders>
                    <w:tl2br w:val="nil"/>
                    <w:tr2bl w:val="nil"/>
                  </w:tcBorders>
                  <w:noWrap w:val="0"/>
                  <w:vAlign w:val="center"/>
                </w:tcPr>
                <w:p w14:paraId="2DAC7DFE">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330" w:type="pct"/>
                  <w:tcBorders>
                    <w:tl2br w:val="nil"/>
                    <w:tr2bl w:val="nil"/>
                  </w:tcBorders>
                  <w:noWrap w:val="0"/>
                  <w:vAlign w:val="center"/>
                </w:tcPr>
                <w:p w14:paraId="47F683AC">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399" w:type="pct"/>
                  <w:tcBorders>
                    <w:tl2br w:val="nil"/>
                    <w:tr2bl w:val="nil"/>
                  </w:tcBorders>
                  <w:noWrap w:val="0"/>
                  <w:vAlign w:val="center"/>
                </w:tcPr>
                <w:p w14:paraId="07BA1C24">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264" w:type="pct"/>
                  <w:tcBorders>
                    <w:tl2br w:val="nil"/>
                    <w:tr2bl w:val="nil"/>
                  </w:tcBorders>
                  <w:noWrap w:val="0"/>
                  <w:vAlign w:val="center"/>
                </w:tcPr>
                <w:p w14:paraId="4D1C3718">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39" w:type="pct"/>
                  <w:tcBorders>
                    <w:tl2br w:val="nil"/>
                    <w:tr2bl w:val="nil"/>
                  </w:tcBorders>
                  <w:noWrap w:val="0"/>
                  <w:vAlign w:val="center"/>
                </w:tcPr>
                <w:p w14:paraId="4E31CF91">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257" w:type="pct"/>
                  <w:tcBorders>
                    <w:tl2br w:val="nil"/>
                    <w:tr2bl w:val="nil"/>
                  </w:tcBorders>
                  <w:noWrap w:val="0"/>
                  <w:vAlign w:val="center"/>
                </w:tcPr>
                <w:p w14:paraId="6D2F7226">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r>
            <w:tr w14:paraId="37EB7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553" w:hRule="atLeast"/>
                <w:jc w:val="center"/>
              </w:trPr>
              <w:tc>
                <w:tcPr>
                  <w:tcW w:w="496" w:type="pct"/>
                  <w:tcBorders>
                    <w:tl2br w:val="nil"/>
                    <w:tr2bl w:val="nil"/>
                  </w:tcBorders>
                  <w:noWrap w:val="0"/>
                  <w:vAlign w:val="center"/>
                </w:tcPr>
                <w:p w14:paraId="033A3E75">
                  <w:pPr>
                    <w:jc w:val="center"/>
                    <w:rPr>
                      <w:rFonts w:hint="eastAsia" w:ascii="Times New Roman" w:hAnsi="Times New Roman" w:eastAsia="宋体" w:cs="Times New Roman"/>
                      <w:kern w:val="44"/>
                      <w:sz w:val="21"/>
                      <w:szCs w:val="21"/>
                      <w:highlight w:val="none"/>
                      <w:lang w:val="en-US" w:eastAsia="zh-CN" w:bidi="ar-SA"/>
                    </w:rPr>
                  </w:pPr>
                  <w:r>
                    <w:rPr>
                      <w:rFonts w:hint="eastAsia" w:ascii="Times New Roman" w:hAnsi="Times New Roman" w:eastAsia="宋体" w:cs="Times New Roman"/>
                      <w:kern w:val="44"/>
                      <w:sz w:val="21"/>
                      <w:szCs w:val="21"/>
                      <w:highlight w:val="none"/>
                      <w:lang w:val="en-US" w:eastAsia="zh-CN" w:bidi="ar-SA"/>
                    </w:rPr>
                    <w:t>浸出</w:t>
                  </w:r>
                </w:p>
                <w:p w14:paraId="1EC759C2">
                  <w:pPr>
                    <w:jc w:val="center"/>
                    <w:rPr>
                      <w:rFonts w:hint="default" w:ascii="Times New Roman" w:hAnsi="Times New Roman" w:eastAsia="宋体" w:cs="Times New Roman"/>
                      <w:color w:val="000000"/>
                      <w:sz w:val="21"/>
                      <w:szCs w:val="21"/>
                      <w:lang w:val="en-US"/>
                    </w:rPr>
                  </w:pPr>
                  <w:r>
                    <w:rPr>
                      <w:rFonts w:hint="eastAsia" w:cs="Times New Roman"/>
                      <w:kern w:val="44"/>
                      <w:sz w:val="21"/>
                      <w:szCs w:val="21"/>
                      <w:highlight w:val="none"/>
                      <w:lang w:val="en-US" w:eastAsia="zh-CN" w:bidi="ar-SA"/>
                    </w:rPr>
                    <w:t>车间</w:t>
                  </w:r>
                  <w:r>
                    <w:rPr>
                      <w:rFonts w:hint="eastAsia" w:ascii="Times New Roman" w:hAnsi="Times New Roman" w:eastAsia="宋体" w:cs="Times New Roman"/>
                      <w:kern w:val="44"/>
                      <w:sz w:val="21"/>
                      <w:szCs w:val="21"/>
                      <w:highlight w:val="none"/>
                      <w:lang w:val="en-US" w:eastAsia="zh-CN" w:bidi="ar-SA"/>
                    </w:rPr>
                    <w:t>DA00</w:t>
                  </w:r>
                  <w:r>
                    <w:rPr>
                      <w:rFonts w:hint="eastAsia" w:cs="Times New Roman"/>
                      <w:kern w:val="44"/>
                      <w:sz w:val="21"/>
                      <w:szCs w:val="21"/>
                      <w:highlight w:val="none"/>
                      <w:lang w:val="en-US" w:eastAsia="zh-CN" w:bidi="ar-SA"/>
                    </w:rPr>
                    <w:t>7</w:t>
                  </w:r>
                </w:p>
              </w:tc>
              <w:tc>
                <w:tcPr>
                  <w:tcW w:w="405" w:type="pct"/>
                  <w:tcBorders>
                    <w:tl2br w:val="nil"/>
                    <w:tr2bl w:val="nil"/>
                  </w:tcBorders>
                  <w:noWrap w:val="0"/>
                  <w:vAlign w:val="center"/>
                </w:tcPr>
                <w:p w14:paraId="7B0E5373">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非甲烷总烃</w:t>
                  </w:r>
                </w:p>
              </w:tc>
              <w:tc>
                <w:tcPr>
                  <w:tcW w:w="398" w:type="pct"/>
                  <w:tcBorders>
                    <w:tl2br w:val="nil"/>
                    <w:tr2bl w:val="nil"/>
                  </w:tcBorders>
                  <w:noWrap w:val="0"/>
                  <w:vAlign w:val="center"/>
                </w:tcPr>
                <w:p w14:paraId="195CD5F1">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289</w:t>
                  </w:r>
                </w:p>
              </w:tc>
              <w:tc>
                <w:tcPr>
                  <w:tcW w:w="363" w:type="pct"/>
                  <w:tcBorders>
                    <w:tl2br w:val="nil"/>
                    <w:tr2bl w:val="nil"/>
                  </w:tcBorders>
                  <w:noWrap w:val="0"/>
                  <w:vAlign w:val="center"/>
                </w:tcPr>
                <w:p w14:paraId="043FB837">
                  <w:pPr>
                    <w:jc w:val="center"/>
                    <w:rPr>
                      <w:rFonts w:hint="default" w:ascii="Times New Roman" w:hAnsi="Times New Roman" w:eastAsia="宋体" w:cs="Times New Roman"/>
                      <w:color w:val="000000"/>
                      <w:sz w:val="21"/>
                      <w:szCs w:val="21"/>
                      <w:lang w:val="en-US" w:eastAsia="zh-CN"/>
                    </w:rPr>
                  </w:pPr>
                  <w:r>
                    <w:rPr>
                      <w:rFonts w:hint="eastAsia"/>
                      <w:lang w:val="en-US" w:eastAsia="zh-CN"/>
                    </w:rPr>
                    <w:t>1338</w:t>
                  </w:r>
                </w:p>
              </w:tc>
              <w:tc>
                <w:tcPr>
                  <w:tcW w:w="424" w:type="pct"/>
                  <w:tcBorders>
                    <w:tl2br w:val="nil"/>
                    <w:tr2bl w:val="nil"/>
                  </w:tcBorders>
                  <w:noWrap w:val="0"/>
                  <w:tcMar>
                    <w:left w:w="0" w:type="dxa"/>
                    <w:right w:w="0" w:type="dxa"/>
                  </w:tcMar>
                  <w:vAlign w:val="center"/>
                </w:tcPr>
                <w:p w14:paraId="7D8CAB4D">
                  <w:pPr>
                    <w:jc w:val="center"/>
                    <w:rPr>
                      <w:rFonts w:hint="default"/>
                      <w:lang w:val="en-US" w:eastAsia="zh-CN"/>
                    </w:rPr>
                  </w:pPr>
                  <w:r>
                    <w:rPr>
                      <w:rFonts w:hint="eastAsia"/>
                      <w:lang w:val="en-US" w:eastAsia="zh-CN"/>
                    </w:rPr>
                    <w:t>40.18</w:t>
                  </w:r>
                </w:p>
              </w:tc>
              <w:tc>
                <w:tcPr>
                  <w:tcW w:w="537" w:type="pct"/>
                  <w:vMerge w:val="continue"/>
                  <w:tcBorders>
                    <w:tl2br w:val="nil"/>
                    <w:tr2bl w:val="nil"/>
                  </w:tcBorders>
                  <w:noWrap w:val="0"/>
                  <w:vAlign w:val="center"/>
                </w:tcPr>
                <w:p w14:paraId="2C7C071D">
                  <w:pPr>
                    <w:jc w:val="center"/>
                    <w:rPr>
                      <w:rFonts w:hint="eastAsia"/>
                      <w:lang w:val="en-US" w:eastAsia="zh-CN"/>
                    </w:rPr>
                  </w:pPr>
                </w:p>
              </w:tc>
              <w:tc>
                <w:tcPr>
                  <w:tcW w:w="537" w:type="pct"/>
                  <w:vMerge w:val="continue"/>
                  <w:tcBorders>
                    <w:tl2br w:val="nil"/>
                    <w:tr2bl w:val="nil"/>
                  </w:tcBorders>
                  <w:noWrap w:val="0"/>
                  <w:vAlign w:val="center"/>
                </w:tcPr>
                <w:p w14:paraId="4CC4C5E8">
                  <w:pPr>
                    <w:jc w:val="center"/>
                    <w:rPr>
                      <w:rFonts w:hint="eastAsia"/>
                      <w:lang w:val="en-US" w:eastAsia="zh-CN"/>
                    </w:rPr>
                  </w:pPr>
                </w:p>
              </w:tc>
              <w:tc>
                <w:tcPr>
                  <w:tcW w:w="346" w:type="pct"/>
                  <w:tcBorders>
                    <w:tl2br w:val="nil"/>
                    <w:tr2bl w:val="nil"/>
                  </w:tcBorders>
                  <w:noWrap w:val="0"/>
                  <w:vAlign w:val="center"/>
                </w:tcPr>
                <w:p w14:paraId="6597431A">
                  <w:pPr>
                    <w:jc w:val="center"/>
                    <w:rPr>
                      <w:rFonts w:hint="default"/>
                      <w:lang w:val="en-US" w:eastAsia="zh-CN"/>
                    </w:rPr>
                  </w:pPr>
                  <w:r>
                    <w:rPr>
                      <w:rFonts w:hint="eastAsia"/>
                      <w:lang w:val="en-US" w:eastAsia="zh-CN"/>
                    </w:rPr>
                    <w:t>0.867</w:t>
                  </w:r>
                </w:p>
              </w:tc>
              <w:tc>
                <w:tcPr>
                  <w:tcW w:w="330" w:type="pct"/>
                  <w:tcBorders>
                    <w:tl2br w:val="nil"/>
                    <w:tr2bl w:val="nil"/>
                  </w:tcBorders>
                  <w:noWrap w:val="0"/>
                  <w:tcMar>
                    <w:left w:w="0" w:type="dxa"/>
                    <w:right w:w="0" w:type="dxa"/>
                  </w:tcMar>
                  <w:vAlign w:val="center"/>
                </w:tcPr>
                <w:p w14:paraId="2EEED7A3">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w:t>
                  </w:r>
                </w:p>
              </w:tc>
              <w:tc>
                <w:tcPr>
                  <w:tcW w:w="399" w:type="pct"/>
                  <w:tcBorders>
                    <w:tl2br w:val="nil"/>
                    <w:tr2bl w:val="nil"/>
                  </w:tcBorders>
                  <w:noWrap w:val="0"/>
                  <w:vAlign w:val="center"/>
                </w:tcPr>
                <w:p w14:paraId="020DB4E1">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0.12</w:t>
                  </w:r>
                </w:p>
              </w:tc>
              <w:tc>
                <w:tcPr>
                  <w:tcW w:w="264" w:type="pct"/>
                  <w:tcBorders>
                    <w:tl2br w:val="nil"/>
                    <w:tr2bl w:val="nil"/>
                  </w:tcBorders>
                  <w:noWrap w:val="0"/>
                  <w:vAlign w:val="center"/>
                </w:tcPr>
                <w:p w14:paraId="137A6F17">
                  <w:pPr>
                    <w:widowControl/>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15</w:t>
                  </w:r>
                </w:p>
              </w:tc>
              <w:tc>
                <w:tcPr>
                  <w:tcW w:w="239" w:type="pct"/>
                  <w:tcBorders>
                    <w:tl2br w:val="nil"/>
                    <w:tr2bl w:val="nil"/>
                  </w:tcBorders>
                  <w:noWrap w:val="0"/>
                  <w:vAlign w:val="center"/>
                </w:tcPr>
                <w:p w14:paraId="5C151C33">
                  <w:pPr>
                    <w:widowControl/>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257" w:type="pct"/>
                  <w:tcBorders>
                    <w:tl2br w:val="nil"/>
                    <w:tr2bl w:val="nil"/>
                  </w:tcBorders>
                  <w:noWrap w:val="0"/>
                  <w:vAlign w:val="center"/>
                </w:tcPr>
                <w:p w14:paraId="7F54779C">
                  <w:pPr>
                    <w:widowControl/>
                    <w:jc w:val="center"/>
                    <w:rPr>
                      <w:rFonts w:hint="default"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25</w:t>
                  </w:r>
                </w:p>
              </w:tc>
            </w:tr>
          </w:tbl>
          <w:p w14:paraId="05FC1525">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eastAsia" w:ascii="Times New Roman" w:hAnsi="Times New Roman" w:eastAsia="宋体" w:cs="Times New Roman"/>
                <w:b w:val="0"/>
                <w:bCs w:val="0"/>
                <w:kern w:val="2"/>
                <w:sz w:val="24"/>
                <w:szCs w:val="24"/>
                <w:lang w:val="en-US" w:eastAsia="zh-CN"/>
              </w:rPr>
            </w:pPr>
            <w:r>
              <w:rPr>
                <w:rFonts w:hint="eastAsia" w:ascii="Times New Roman" w:hAnsi="Times New Roman" w:eastAsia="宋体" w:cs="Times New Roman"/>
                <w:b w:val="0"/>
                <w:bCs w:val="0"/>
                <w:color w:val="000000"/>
                <w:kern w:val="2"/>
                <w:sz w:val="24"/>
                <w:szCs w:val="24"/>
                <w:highlight w:val="none"/>
                <w:lang w:val="en-US" w:eastAsia="zh-CN" w:bidi="ar-SA"/>
              </w:rPr>
              <w:t>非甲烷总烃污染物排放满足《大气污染物综合排放标准》（GB16297-1996）表2新污染源大气污染物排放限值</w:t>
            </w:r>
          </w:p>
          <w:p w14:paraId="1BB8C6A8">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ascii="Times New Roman" w:hAnsi="Times New Roman" w:eastAsia="宋体" w:cs="Times New Roman"/>
                <w:b w:val="0"/>
                <w:bCs w:val="0"/>
                <w:kern w:val="2"/>
                <w:sz w:val="24"/>
                <w:szCs w:val="24"/>
                <w:lang w:val="en-US" w:eastAsia="zh-CN"/>
              </w:rPr>
              <w:t>（5）</w:t>
            </w:r>
            <w:r>
              <w:rPr>
                <w:rFonts w:hint="default" w:ascii="Times New Roman" w:hAnsi="Times New Roman" w:eastAsia="宋体" w:cs="Times New Roman"/>
                <w:b w:val="0"/>
                <w:bCs w:val="0"/>
                <w:kern w:val="2"/>
                <w:sz w:val="24"/>
                <w:szCs w:val="24"/>
                <w:lang w:val="en-US" w:eastAsia="zh-CN"/>
              </w:rPr>
              <w:t>食堂油烟</w:t>
            </w:r>
          </w:p>
          <w:p w14:paraId="0FB8DBDD">
            <w:pPr>
              <w:pStyle w:val="6"/>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sz w:val="24"/>
                <w:szCs w:val="24"/>
                <w:highlight w:val="none"/>
              </w:rPr>
              <w:t>本项目食物在烹饪、加工过程中将挥发出油脂、有机质及热分解或裂解产物，从而产生油烟废气。根据对居民用油情况的类比调查，目前居民人均食用油日用量约30g/人·d，本项目</w:t>
            </w:r>
            <w:r>
              <w:rPr>
                <w:rFonts w:hint="default" w:ascii="Times New Roman" w:hAnsi="Times New Roman" w:eastAsia="宋体" w:cs="Times New Roman"/>
                <w:color w:val="000000"/>
                <w:sz w:val="24"/>
                <w:szCs w:val="24"/>
                <w:highlight w:val="none"/>
              </w:rPr>
              <w:t>职工为</w:t>
            </w:r>
            <w:r>
              <w:rPr>
                <w:rFonts w:hint="eastAsia" w:ascii="Times New Roman" w:hAnsi="Times New Roman" w:cs="Times New Roman"/>
                <w:color w:val="000000"/>
                <w:sz w:val="24"/>
                <w:szCs w:val="24"/>
                <w:highlight w:val="none"/>
                <w:lang w:val="en-US" w:eastAsia="zh-CN"/>
              </w:rPr>
              <w:t>65</w:t>
            </w:r>
            <w:r>
              <w:rPr>
                <w:rFonts w:hint="default" w:ascii="Times New Roman" w:hAnsi="Times New Roman" w:eastAsia="宋体" w:cs="Times New Roman"/>
                <w:color w:val="000000"/>
                <w:sz w:val="24"/>
                <w:szCs w:val="24"/>
                <w:highlight w:val="none"/>
              </w:rPr>
              <w:t>人，</w:t>
            </w:r>
            <w:r>
              <w:rPr>
                <w:rFonts w:hint="default" w:ascii="Times New Roman" w:hAnsi="Times New Roman" w:cs="Times New Roman"/>
                <w:sz w:val="24"/>
                <w:szCs w:val="24"/>
                <w:highlight w:val="none"/>
                <w:lang w:val="en-US" w:eastAsia="zh-CN"/>
              </w:rPr>
              <w:t>本项目灶台数2台，规模为“小型”，</w:t>
            </w:r>
            <w:r>
              <w:rPr>
                <w:rFonts w:hint="default" w:ascii="Times New Roman" w:hAnsi="Times New Roman" w:eastAsia="宋体" w:cs="Times New Roman"/>
                <w:color w:val="000000"/>
                <w:sz w:val="24"/>
                <w:szCs w:val="24"/>
                <w:highlight w:val="none"/>
              </w:rPr>
              <w:t>则本项目食用油消耗量为</w:t>
            </w:r>
            <w:r>
              <w:rPr>
                <w:rFonts w:hint="eastAsia" w:ascii="Times New Roman" w:hAnsi="Times New Roman" w:cs="Times New Roman"/>
                <w:color w:val="000000"/>
                <w:sz w:val="24"/>
                <w:szCs w:val="24"/>
                <w:highlight w:val="none"/>
                <w:lang w:val="en-US" w:eastAsia="zh-CN"/>
              </w:rPr>
              <w:t>1.95</w:t>
            </w:r>
            <w:r>
              <w:rPr>
                <w:rFonts w:hint="default" w:ascii="Times New Roman" w:hAnsi="Times New Roman" w:eastAsia="宋体" w:cs="Times New Roman"/>
                <w:color w:val="000000"/>
                <w:sz w:val="24"/>
                <w:szCs w:val="24"/>
                <w:highlight w:val="none"/>
              </w:rPr>
              <w:t>kg/d，本项目年工作</w:t>
            </w:r>
            <w:r>
              <w:rPr>
                <w:rFonts w:hint="eastAsia" w:ascii="Times New Roman" w:hAnsi="Times New Roman" w:cs="Times New Roman"/>
                <w:color w:val="000000"/>
                <w:sz w:val="24"/>
                <w:szCs w:val="24"/>
                <w:highlight w:val="none"/>
                <w:lang w:val="en-US" w:eastAsia="zh-CN"/>
              </w:rPr>
              <w:t>300</w:t>
            </w:r>
            <w:r>
              <w:rPr>
                <w:rFonts w:hint="default" w:ascii="Times New Roman" w:hAnsi="Times New Roman" w:eastAsia="宋体" w:cs="Times New Roman"/>
                <w:color w:val="000000"/>
                <w:sz w:val="24"/>
                <w:szCs w:val="24"/>
                <w:highlight w:val="none"/>
              </w:rPr>
              <w:t>天，则食用油年消耗量为</w:t>
            </w:r>
            <w:r>
              <w:rPr>
                <w:rFonts w:hint="eastAsia" w:ascii="Times New Roman" w:hAnsi="Times New Roman" w:cs="Times New Roman"/>
                <w:color w:val="000000"/>
                <w:sz w:val="24"/>
                <w:szCs w:val="24"/>
                <w:highlight w:val="none"/>
                <w:lang w:val="en-US" w:eastAsia="zh-CN"/>
              </w:rPr>
              <w:t>585</w:t>
            </w:r>
            <w:r>
              <w:rPr>
                <w:rFonts w:hint="default" w:ascii="Times New Roman" w:hAnsi="Times New Roman" w:eastAsia="宋体" w:cs="Times New Roman"/>
                <w:color w:val="000000"/>
                <w:sz w:val="24"/>
                <w:szCs w:val="24"/>
                <w:highlight w:val="none"/>
              </w:rPr>
              <w:t>kg/a（</w:t>
            </w:r>
            <w:r>
              <w:rPr>
                <w:rFonts w:hint="eastAsia" w:ascii="Times New Roman" w:hAnsi="Times New Roman" w:cs="Times New Roman"/>
                <w:color w:val="000000"/>
                <w:sz w:val="24"/>
                <w:szCs w:val="24"/>
                <w:highlight w:val="none"/>
                <w:lang w:val="en-US" w:eastAsia="zh-CN"/>
              </w:rPr>
              <w:t>0.584</w:t>
            </w:r>
            <w:r>
              <w:rPr>
                <w:rFonts w:hint="default" w:ascii="Times New Roman" w:hAnsi="Times New Roman" w:eastAsia="宋体" w:cs="Times New Roman"/>
                <w:color w:val="000000"/>
                <w:sz w:val="24"/>
                <w:szCs w:val="24"/>
                <w:highlight w:val="none"/>
              </w:rPr>
              <w:t>t/a）。一般油烟挥发量占总耗油量的2-4%，平均为3%，则本项目油烟产生量为</w:t>
            </w:r>
            <w:r>
              <w:rPr>
                <w:rFonts w:hint="eastAsia" w:ascii="Times New Roman" w:hAnsi="Times New Roman" w:cs="Times New Roman"/>
                <w:color w:val="000000"/>
                <w:sz w:val="24"/>
                <w:szCs w:val="24"/>
                <w:highlight w:val="none"/>
                <w:lang w:val="en-US" w:eastAsia="zh-CN"/>
              </w:rPr>
              <w:t>17.55</w:t>
            </w:r>
            <w:r>
              <w:rPr>
                <w:rFonts w:hint="default" w:ascii="Times New Roman" w:hAnsi="Times New Roman" w:eastAsia="宋体" w:cs="Times New Roman"/>
                <w:color w:val="000000"/>
                <w:sz w:val="24"/>
                <w:szCs w:val="24"/>
                <w:highlight w:val="none"/>
              </w:rPr>
              <w:t>kg/</w:t>
            </w:r>
            <w:r>
              <w:rPr>
                <w:rFonts w:hint="default" w:ascii="Times New Roman" w:hAnsi="Times New Roman" w:eastAsia="宋体" w:cs="Times New Roman"/>
                <w:color w:val="000000"/>
                <w:sz w:val="24"/>
                <w:szCs w:val="24"/>
                <w:highlight w:val="none"/>
                <w:lang w:val="en-US" w:eastAsia="zh-CN"/>
              </w:rPr>
              <w:t>a，食堂油烟经油烟净化器处理，去除效率为8</w:t>
            </w:r>
            <w:r>
              <w:rPr>
                <w:rFonts w:hint="eastAsia" w:ascii="Times New Roman" w:hAnsi="Times New Roman"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%，由屋顶高空排放，油烟排放量</w:t>
            </w:r>
            <w:r>
              <w:rPr>
                <w:rFonts w:hint="eastAsia" w:ascii="Times New Roman" w:hAnsi="Times New Roman" w:cs="Times New Roman"/>
                <w:color w:val="000000"/>
                <w:sz w:val="24"/>
                <w:szCs w:val="24"/>
                <w:highlight w:val="none"/>
                <w:lang w:val="en-US" w:eastAsia="zh-CN"/>
              </w:rPr>
              <w:t>2.63</w:t>
            </w:r>
            <w:r>
              <w:rPr>
                <w:rFonts w:hint="default" w:ascii="Times New Roman" w:hAnsi="Times New Roman" w:eastAsia="宋体" w:cs="Times New Roman"/>
                <w:color w:val="000000"/>
                <w:sz w:val="24"/>
                <w:szCs w:val="24"/>
                <w:highlight w:val="none"/>
                <w:lang w:val="en-US" w:eastAsia="zh-CN"/>
              </w:rPr>
              <w:t>kg/a</w:t>
            </w:r>
            <w:r>
              <w:rPr>
                <w:rFonts w:hint="eastAsia" w:ascii="Times New Roman" w:hAnsi="Times New Roman" w:cs="Times New Roman"/>
                <w:color w:val="000000"/>
                <w:sz w:val="24"/>
                <w:szCs w:val="24"/>
                <w:highlight w:val="none"/>
                <w:lang w:val="en-US" w:eastAsia="zh-CN"/>
              </w:rPr>
              <w:t>，油烟机风量为20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/h</w:t>
            </w:r>
            <w:r>
              <w:rPr>
                <w:rFonts w:hint="eastAsia" w:ascii="Times New Roman" w:hAnsi="Times New Roman" w:eastAsia="宋体" w:cs="Times New Roman"/>
                <w:sz w:val="24"/>
                <w:szCs w:val="24"/>
                <w:highlight w:val="none"/>
                <w:lang w:val="en-US" w:eastAsia="zh-CN"/>
              </w:rPr>
              <w:t>，</w:t>
            </w:r>
            <w:r>
              <w:rPr>
                <w:rFonts w:hint="eastAsia" w:ascii="Times New Roman" w:hAnsi="Times New Roman" w:cs="Times New Roman"/>
                <w:color w:val="000000"/>
                <w:sz w:val="24"/>
                <w:szCs w:val="24"/>
                <w:highlight w:val="none"/>
                <w:lang w:val="en-US" w:eastAsia="zh-CN"/>
              </w:rPr>
              <w:t>排放浓度0.012</w:t>
            </w:r>
            <w:r>
              <w:rPr>
                <w:rFonts w:hint="default" w:ascii="Times New Roman" w:hAnsi="Times New Roman" w:eastAsia="宋体" w:cs="Times New Roman"/>
                <w:color w:val="000000"/>
                <w:sz w:val="24"/>
                <w:szCs w:val="24"/>
                <w:highlight w:val="none"/>
              </w:rPr>
              <w:t>mg/m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。满足</w:t>
            </w:r>
            <w:r>
              <w:rPr>
                <w:rFonts w:hint="eastAsia" w:ascii="Times New Roman" w:hAnsi="Times New Roman" w:cs="Times New Roman"/>
                <w:color w:val="000000"/>
                <w:sz w:val="24"/>
                <w:szCs w:val="24"/>
                <w:highlight w:val="none"/>
                <w:lang w:eastAsia="zh-CN"/>
              </w:rPr>
              <w:t>《饮食业油烟排放标准（试行）》</w:t>
            </w:r>
            <w:r>
              <w:rPr>
                <w:rFonts w:hint="default" w:ascii="Times New Roman" w:hAnsi="Times New Roman" w:eastAsia="宋体" w:cs="Times New Roman"/>
                <w:color w:val="000000"/>
                <w:sz w:val="24"/>
                <w:szCs w:val="24"/>
                <w:highlight w:val="none"/>
              </w:rPr>
              <w:t>（GB18481-2001)中油烟的最高允许排放浓度2.0mg/m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的标准要求。由于油烟排放量很小，且通过屋顶排烟管道排入大气，对该区域大气环境影响较小。</w:t>
            </w:r>
          </w:p>
          <w:p w14:paraId="2C89965F">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ascii="Times New Roman" w:hAnsi="Times New Roman" w:eastAsia="宋体" w:cs="Times New Roman"/>
                <w:b w:val="0"/>
                <w:bCs w:val="0"/>
                <w:kern w:val="2"/>
                <w:sz w:val="24"/>
                <w:szCs w:val="24"/>
                <w:lang w:val="en-US" w:eastAsia="zh-CN"/>
              </w:rPr>
              <w:t>（5）15t锅炉废气</w:t>
            </w:r>
          </w:p>
          <w:p w14:paraId="5764C8D3">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right="0" w:firstLine="464"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color w:val="auto"/>
                <w:spacing w:val="-4"/>
                <w:kern w:val="2"/>
                <w:sz w:val="24"/>
                <w:szCs w:val="24"/>
                <w:lang w:val="en-US" w:eastAsia="zh-CN" w:bidi="ar-SA"/>
              </w:rPr>
              <w:t>本项目通过</w:t>
            </w:r>
            <w:r>
              <w:rPr>
                <w:rFonts w:hint="eastAsia" w:ascii="Times New Roman" w:hAnsi="Times New Roman" w:eastAsia="宋体" w:cs="Times New Roman"/>
                <w:color w:val="auto"/>
                <w:spacing w:val="-4"/>
                <w:kern w:val="2"/>
                <w:sz w:val="24"/>
                <w:szCs w:val="24"/>
                <w:lang w:val="en-US" w:eastAsia="zh-CN" w:bidi="ar-SA"/>
              </w:rPr>
              <w:t>1</w:t>
            </w:r>
            <w:r>
              <w:rPr>
                <w:rFonts w:hint="default" w:ascii="Times New Roman" w:hAnsi="Times New Roman" w:eastAsia="宋体" w:cs="Times New Roman"/>
                <w:color w:val="auto"/>
                <w:spacing w:val="-4"/>
                <w:kern w:val="2"/>
                <w:sz w:val="24"/>
                <w:szCs w:val="24"/>
                <w:lang w:val="en-US" w:eastAsia="zh-CN" w:bidi="ar-SA"/>
              </w:rPr>
              <w:t>台</w:t>
            </w:r>
            <w:r>
              <w:rPr>
                <w:rFonts w:hint="eastAsia" w:ascii="Times New Roman" w:hAnsi="Times New Roman" w:eastAsia="宋体" w:cs="Times New Roman"/>
                <w:color w:val="auto"/>
                <w:spacing w:val="-4"/>
                <w:kern w:val="2"/>
                <w:sz w:val="24"/>
                <w:szCs w:val="24"/>
                <w:lang w:val="en-US" w:eastAsia="zh-CN" w:bidi="ar-SA"/>
              </w:rPr>
              <w:t>15</w:t>
            </w:r>
            <w:r>
              <w:rPr>
                <w:rFonts w:hint="default" w:ascii="Times New Roman" w:hAnsi="Times New Roman" w:eastAsia="宋体" w:cs="Times New Roman"/>
                <w:color w:val="auto"/>
                <w:spacing w:val="-4"/>
                <w:kern w:val="2"/>
                <w:sz w:val="24"/>
                <w:szCs w:val="24"/>
                <w:lang w:val="en-US" w:eastAsia="zh-CN" w:bidi="ar-SA"/>
              </w:rPr>
              <w:t>t/h</w:t>
            </w:r>
            <w:r>
              <w:rPr>
                <w:rFonts w:hint="eastAsia" w:ascii="Times New Roman" w:hAnsi="Times New Roman" w:eastAsia="宋体" w:cs="Times New Roman"/>
                <w:color w:val="auto"/>
                <w:spacing w:val="-4"/>
                <w:kern w:val="2"/>
                <w:sz w:val="24"/>
                <w:szCs w:val="24"/>
                <w:lang w:val="en-US" w:eastAsia="zh-CN" w:bidi="ar-SA"/>
              </w:rPr>
              <w:t>燃气锅炉</w:t>
            </w:r>
            <w:r>
              <w:rPr>
                <w:rFonts w:hint="default" w:ascii="Times New Roman" w:hAnsi="Times New Roman" w:eastAsia="宋体" w:cs="Times New Roman"/>
                <w:color w:val="auto"/>
                <w:spacing w:val="-4"/>
                <w:kern w:val="2"/>
                <w:sz w:val="24"/>
                <w:szCs w:val="24"/>
                <w:lang w:val="en-US" w:eastAsia="zh-CN" w:bidi="ar-SA"/>
              </w:rPr>
              <w:t>为</w:t>
            </w:r>
            <w:r>
              <w:rPr>
                <w:rFonts w:hint="eastAsia" w:ascii="Times New Roman" w:hAnsi="Times New Roman" w:eastAsia="宋体" w:cs="Times New Roman"/>
                <w:color w:val="auto"/>
                <w:spacing w:val="-4"/>
                <w:kern w:val="2"/>
                <w:sz w:val="24"/>
                <w:szCs w:val="24"/>
                <w:lang w:val="en-US" w:eastAsia="zh-CN" w:bidi="ar-SA"/>
              </w:rPr>
              <w:t>生产</w:t>
            </w:r>
            <w:r>
              <w:rPr>
                <w:rFonts w:hint="default" w:ascii="Times New Roman" w:hAnsi="Times New Roman" w:eastAsia="宋体" w:cs="Times New Roman"/>
                <w:color w:val="auto"/>
                <w:spacing w:val="-4"/>
                <w:kern w:val="2"/>
                <w:sz w:val="24"/>
                <w:szCs w:val="24"/>
                <w:lang w:val="en-US" w:eastAsia="zh-CN" w:bidi="ar-SA"/>
              </w:rPr>
              <w:t>提供热能，</w:t>
            </w:r>
            <w:r>
              <w:rPr>
                <w:rFonts w:hint="eastAsia" w:ascii="Times New Roman" w:hAnsi="Times New Roman" w:eastAsia="宋体" w:cs="Times New Roman"/>
                <w:color w:val="auto"/>
                <w:spacing w:val="-4"/>
                <w:kern w:val="2"/>
                <w:sz w:val="24"/>
                <w:szCs w:val="24"/>
                <w:lang w:val="en-US" w:eastAsia="zh-CN" w:bidi="ar-SA"/>
              </w:rPr>
              <w:t>根据</w:t>
            </w:r>
            <w:r>
              <w:rPr>
                <w:rFonts w:hint="default" w:ascii="Times New Roman" w:hAnsi="Times New Roman" w:eastAsia="宋体" w:cs="Times New Roman"/>
                <w:b w:val="0"/>
                <w:bCs/>
                <w:color w:val="auto"/>
                <w:kern w:val="2"/>
                <w:sz w:val="24"/>
                <w:szCs w:val="24"/>
                <w:highlight w:val="none"/>
                <w:lang w:val="en-GB" w:eastAsia="en-US" w:bidi="ar-SA"/>
              </w:rPr>
              <w:t>《污染源源强核算技术指南 锅炉》（HJ991-2018）</w:t>
            </w:r>
            <w:r>
              <w:rPr>
                <w:rFonts w:hint="eastAsia" w:ascii="Times New Roman" w:hAnsi="Times New Roman" w:eastAsia="宋体" w:cs="Times New Roman"/>
                <w:b w:val="0"/>
                <w:bCs/>
                <w:color w:val="auto"/>
                <w:kern w:val="2"/>
                <w:sz w:val="24"/>
                <w:szCs w:val="24"/>
                <w:highlight w:val="none"/>
                <w:lang w:val="en-GB" w:eastAsia="zh-CN" w:bidi="ar-SA"/>
              </w:rPr>
              <w:t>，</w:t>
            </w:r>
            <w:r>
              <w:rPr>
                <w:rFonts w:hint="eastAsia" w:ascii="Times New Roman" w:hAnsi="Times New Roman" w:eastAsia="宋体" w:cs="Times New Roman"/>
                <w:b w:val="0"/>
                <w:bCs/>
                <w:color w:val="auto"/>
                <w:kern w:val="2"/>
                <w:sz w:val="24"/>
                <w:szCs w:val="24"/>
                <w:highlight w:val="none"/>
                <w:lang w:val="en-US" w:eastAsia="zh-CN" w:bidi="ar-SA"/>
              </w:rPr>
              <w:t>本次评价氮氧化物、二氧化硫、颗粒物采用产污系数法进行核算</w:t>
            </w:r>
            <w:r>
              <w:rPr>
                <w:rFonts w:hint="default" w:ascii="Times New Roman" w:hAnsi="Times New Roman" w:eastAsia="宋体" w:cs="Times New Roman"/>
                <w:b w:val="0"/>
                <w:bCs/>
                <w:color w:val="auto"/>
                <w:kern w:val="2"/>
                <w:sz w:val="24"/>
                <w:szCs w:val="24"/>
                <w:highlight w:val="none"/>
                <w:lang w:val="en-GB" w:eastAsia="zh-CN" w:bidi="ar-SA"/>
              </w:rPr>
              <w:t>。</w:t>
            </w:r>
          </w:p>
          <w:p w14:paraId="0ECC32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①废</w:t>
            </w:r>
            <w:r>
              <w:rPr>
                <w:rFonts w:hint="eastAsia" w:ascii="宋体" w:hAnsi="宋体" w:eastAsia="宋体" w:cs="宋体"/>
                <w:color w:val="auto"/>
                <w:sz w:val="24"/>
                <w:szCs w:val="24"/>
                <w:highlight w:val="none"/>
              </w:rPr>
              <w:t>气量</w:t>
            </w:r>
          </w:p>
          <w:p w14:paraId="502EC7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highlight w:val="none"/>
                <w:lang w:eastAsia="zh-CN"/>
              </w:rPr>
              <w:t>根据企业提供资料</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eastAsia="zh-CN"/>
              </w:rPr>
              <w:t>本项目年工作时间为</w:t>
            </w:r>
            <w:r>
              <w:rPr>
                <w:rFonts w:hint="eastAsia" w:ascii="Times New Roman" w:hAnsi="Times New Roman" w:eastAsia="宋体" w:cs="Times New Roman"/>
                <w:bCs/>
                <w:color w:val="auto"/>
                <w:sz w:val="24"/>
                <w:highlight w:val="none"/>
                <w:lang w:val="en-US" w:eastAsia="zh-CN"/>
              </w:rPr>
              <w:t>300天，每天工作24小时，年合计7200</w:t>
            </w:r>
            <w:r>
              <w:rPr>
                <w:rFonts w:hint="default" w:ascii="Times New Roman" w:hAnsi="Times New Roman" w:eastAsia="宋体" w:cs="Times New Roman"/>
                <w:bCs/>
                <w:color w:val="auto"/>
                <w:sz w:val="24"/>
                <w:highlight w:val="none"/>
                <w:lang w:val="en-US" w:eastAsia="zh-CN"/>
              </w:rPr>
              <w:t>h，</w:t>
            </w:r>
            <w:r>
              <w:rPr>
                <w:rFonts w:hint="default" w:ascii="Times New Roman" w:hAnsi="Times New Roman" w:eastAsia="宋体" w:cs="Times New Roman"/>
                <w:bCs/>
                <w:color w:val="auto"/>
                <w:sz w:val="24"/>
                <w:szCs w:val="24"/>
                <w:highlight w:val="none"/>
              </w:rPr>
              <w:t>天然气用量</w:t>
            </w:r>
            <w:r>
              <w:rPr>
                <w:rFonts w:hint="default" w:ascii="Times New Roman" w:hAnsi="Times New Roman" w:eastAsia="宋体" w:cs="Times New Roman"/>
                <w:bCs/>
                <w:color w:val="auto"/>
                <w:sz w:val="24"/>
                <w:szCs w:val="24"/>
                <w:highlight w:val="none"/>
                <w:lang w:eastAsia="zh-CN"/>
              </w:rPr>
              <w:t>约</w:t>
            </w:r>
            <w:r>
              <w:rPr>
                <w:rFonts w:hint="default" w:ascii="Times New Roman" w:hAnsi="Times New Roman" w:eastAsia="宋体" w:cs="Times New Roman"/>
                <w:bCs/>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510</w:t>
            </w:r>
            <w:r>
              <w:rPr>
                <w:rFonts w:hint="default" w:ascii="Times New Roman" w:hAnsi="Times New Roman" w:eastAsia="宋体" w:cs="Times New Roman"/>
                <w:color w:val="auto"/>
                <w:sz w:val="24"/>
                <w:szCs w:val="24"/>
                <w:highlight w:val="none"/>
              </w:rPr>
              <w:t>万Nm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废气量参照</w:t>
            </w:r>
            <w:r>
              <w:rPr>
                <w:rFonts w:hint="default" w:ascii="Times New Roman" w:hAnsi="Times New Roman" w:eastAsia="宋体" w:cs="Times New Roman"/>
                <w:color w:val="auto"/>
                <w:sz w:val="24"/>
                <w:szCs w:val="24"/>
                <w:highlight w:val="none"/>
              </w:rPr>
              <w:t>《排污许可证申请与核发技术规范</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锅炉》（HJ953-2018）中基准烟气量经验公式估算法</w:t>
            </w:r>
            <w:r>
              <w:rPr>
                <w:rFonts w:hint="default" w:ascii="Times New Roman" w:hAnsi="Times New Roman" w:eastAsia="宋体" w:cs="Times New Roman"/>
                <w:color w:val="auto"/>
                <w:sz w:val="24"/>
                <w:szCs w:val="24"/>
                <w:highlight w:val="none"/>
                <w:lang w:val="en-US" w:eastAsia="zh-CN"/>
              </w:rPr>
              <w:t>。</w:t>
            </w:r>
          </w:p>
          <w:p w14:paraId="3DCE586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Vgy=0.285Qnet+0.343</w:t>
            </w:r>
          </w:p>
          <w:p w14:paraId="02AB8DB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式中：Vgy—基准烟气量，Nm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p>
          <w:p w14:paraId="5BCB259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Qnet—收到基低位发热量</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J/</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ascii="Times New Roman" w:hAnsi="Times New Roman" w:cs="Times New Roman"/>
                <w:color w:val="auto"/>
                <w:position w:val="3"/>
                <w:sz w:val="24"/>
                <w:szCs w:val="24"/>
                <w:highlight w:val="none"/>
                <w:lang w:eastAsia="zh-CN"/>
              </w:rPr>
              <w:t>取值35.02；</w:t>
            </w:r>
          </w:p>
          <w:p w14:paraId="3D983B3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由上式计算得出，基准烟量</w:t>
            </w:r>
            <w:r>
              <w:rPr>
                <w:rFonts w:hint="default" w:ascii="Times New Roman" w:hAnsi="Times New Roman" w:eastAsia="宋体" w:cs="Times New Roman"/>
                <w:color w:val="auto"/>
                <w:sz w:val="24"/>
                <w:szCs w:val="24"/>
                <w:highlight w:val="none"/>
                <w:lang w:val="en-US" w:eastAsia="zh-CN"/>
              </w:rPr>
              <w:t>约为</w:t>
            </w:r>
            <w:r>
              <w:rPr>
                <w:rFonts w:hint="eastAsia" w:cs="Times New Roman"/>
                <w:color w:val="auto"/>
                <w:sz w:val="24"/>
                <w:szCs w:val="24"/>
                <w:highlight w:val="none"/>
                <w:lang w:val="en-US" w:eastAsia="zh-CN"/>
              </w:rPr>
              <w:t>10.324</w:t>
            </w:r>
            <w:r>
              <w:rPr>
                <w:rFonts w:hint="default" w:ascii="Times New Roman" w:hAnsi="Times New Roman" w:eastAsia="宋体" w:cs="Times New Roman"/>
                <w:color w:val="auto"/>
                <w:sz w:val="24"/>
                <w:szCs w:val="24"/>
                <w:highlight w:val="none"/>
              </w:rPr>
              <w:t>Nm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，则锅炉废气量为</w:t>
            </w:r>
            <w:r>
              <w:rPr>
                <w:rFonts w:hint="eastAsia" w:cs="Times New Roman"/>
                <w:color w:val="auto"/>
                <w:sz w:val="24"/>
                <w:szCs w:val="24"/>
                <w:highlight w:val="none"/>
                <w:lang w:val="en-US" w:eastAsia="zh-CN"/>
              </w:rPr>
              <w:t>5265.09</w:t>
            </w:r>
            <w:r>
              <w:rPr>
                <w:rFonts w:hint="eastAsia"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w:t>
            </w:r>
          </w:p>
          <w:p w14:paraId="225DB8D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宋体" w:hAnsi="宋体" w:eastAsia="宋体" w:cs="宋体"/>
                <w:b w:val="0"/>
                <w:bCs w:val="0"/>
                <w:color w:val="auto"/>
                <w:sz w:val="24"/>
                <w:szCs w:val="24"/>
                <w:highlight w:val="none"/>
              </w:rPr>
              <w:t>②</w:t>
            </w:r>
            <w:r>
              <w:rPr>
                <w:rFonts w:hint="default" w:ascii="Times New Roman" w:hAnsi="Times New Roman" w:eastAsia="宋体" w:cs="Times New Roman"/>
                <w:b w:val="0"/>
                <w:bCs w:val="0"/>
                <w:color w:val="auto"/>
                <w:sz w:val="24"/>
                <w:szCs w:val="24"/>
                <w:highlight w:val="none"/>
              </w:rPr>
              <w:t>排放量</w:t>
            </w:r>
          </w:p>
          <w:p w14:paraId="26D1AA3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排放源统计调查产排污核算方法</w:t>
            </w:r>
            <w:r>
              <w:rPr>
                <w:rFonts w:hint="eastAsia" w:ascii="Times New Roman" w:hAnsi="Times New Roman" w:eastAsia="宋体" w:cs="Times New Roman"/>
                <w:b w:val="0"/>
                <w:bCs w:val="0"/>
                <w:color w:val="auto"/>
                <w:kern w:val="2"/>
                <w:sz w:val="24"/>
                <w:szCs w:val="24"/>
                <w:lang w:val="en-US" w:eastAsia="zh-CN" w:bidi="ar-SA"/>
              </w:rPr>
              <w:t>参照</w:t>
            </w:r>
            <w:r>
              <w:rPr>
                <w:rFonts w:hint="default" w:ascii="Times New Roman" w:hAnsi="Times New Roman" w:eastAsia="宋体" w:cs="Times New Roman"/>
                <w:b w:val="0"/>
                <w:bCs w:val="0"/>
                <w:color w:val="auto"/>
                <w:kern w:val="2"/>
                <w:sz w:val="24"/>
                <w:szCs w:val="24"/>
                <w:lang w:val="en-US" w:eastAsia="zh-CN" w:bidi="ar-SA"/>
              </w:rPr>
              <w:t>系数手册4430工业锅炉（热力供应）行业系数手册</w:t>
            </w:r>
            <w:r>
              <w:rPr>
                <w:rFonts w:hint="eastAsia" w:ascii="Times New Roman" w:hAnsi="Times New Roman" w:eastAsia="宋体" w:cs="Times New Roman"/>
                <w:b w:val="0"/>
                <w:bCs w:val="0"/>
                <w:color w:val="auto"/>
                <w:kern w:val="2"/>
                <w:sz w:val="24"/>
                <w:szCs w:val="24"/>
                <w:lang w:val="en-US" w:eastAsia="zh-CN" w:bidi="ar-SA"/>
              </w:rPr>
              <w:t>。</w:t>
            </w:r>
          </w:p>
          <w:p w14:paraId="6FF07B0A">
            <w:pPr>
              <w:spacing w:line="240" w:lineRule="auto"/>
              <w:ind w:firstLine="0" w:firstLineChars="0"/>
              <w:jc w:val="center"/>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rPr>
              <w:t>表4-</w:t>
            </w:r>
            <w:r>
              <w:rPr>
                <w:rFonts w:hint="eastAsia" w:ascii="黑体" w:hAnsi="黑体" w:eastAsia="黑体" w:cs="黑体"/>
                <w:b w:val="0"/>
                <w:bCs/>
                <w:color w:val="auto"/>
                <w:sz w:val="21"/>
                <w:szCs w:val="21"/>
                <w:highlight w:val="none"/>
                <w:lang w:val="en-US" w:eastAsia="zh-CN"/>
              </w:rPr>
              <w:t>5</w:t>
            </w:r>
            <w:r>
              <w:rPr>
                <w:rFonts w:hint="eastAsia" w:ascii="黑体" w:hAnsi="黑体" w:eastAsia="黑体" w:cs="黑体"/>
                <w:b w:val="0"/>
                <w:bCs/>
                <w:color w:val="auto"/>
                <w:sz w:val="21"/>
                <w:szCs w:val="21"/>
                <w:highlight w:val="none"/>
              </w:rPr>
              <w:t xml:space="preserve"> </w:t>
            </w:r>
            <w:r>
              <w:rPr>
                <w:rFonts w:hint="eastAsia" w:ascii="黑体" w:hAnsi="黑体" w:eastAsia="黑体" w:cs="黑体"/>
                <w:b w:val="0"/>
                <w:bCs/>
                <w:color w:val="auto"/>
                <w:sz w:val="21"/>
                <w:szCs w:val="21"/>
                <w:highlight w:val="none"/>
                <w:lang w:val="en-US" w:eastAsia="zh-CN"/>
              </w:rPr>
              <w:t xml:space="preserve">   </w:t>
            </w:r>
            <w:r>
              <w:rPr>
                <w:rFonts w:hint="eastAsia" w:ascii="黑体" w:hAnsi="黑体" w:eastAsia="黑体" w:cs="黑体"/>
                <w:b w:val="0"/>
                <w:bCs/>
                <w:color w:val="auto"/>
                <w:sz w:val="21"/>
                <w:szCs w:val="21"/>
                <w:highlight w:val="none"/>
              </w:rPr>
              <w:t xml:space="preserve"> 项目</w:t>
            </w:r>
            <w:r>
              <w:rPr>
                <w:rFonts w:hint="eastAsia" w:ascii="黑体" w:hAnsi="黑体" w:eastAsia="黑体" w:cs="黑体"/>
                <w:b w:val="0"/>
                <w:bCs/>
                <w:color w:val="auto"/>
                <w:sz w:val="21"/>
                <w:szCs w:val="21"/>
                <w:highlight w:val="none"/>
                <w:lang w:val="en-US" w:eastAsia="zh-CN"/>
              </w:rPr>
              <w:t>15</w:t>
            </w:r>
            <w:r>
              <w:rPr>
                <w:rFonts w:hint="eastAsia" w:ascii="黑体" w:hAnsi="黑体" w:eastAsia="黑体" w:cs="黑体"/>
                <w:b w:val="0"/>
                <w:bCs/>
                <w:color w:val="auto"/>
                <w:sz w:val="21"/>
                <w:szCs w:val="21"/>
                <w:highlight w:val="none"/>
              </w:rPr>
              <w:t>t/h燃气锅炉</w:t>
            </w:r>
            <w:r>
              <w:rPr>
                <w:rFonts w:hint="eastAsia" w:ascii="黑体" w:hAnsi="黑体" w:eastAsia="黑体" w:cs="黑体"/>
                <w:b w:val="0"/>
                <w:bCs/>
                <w:color w:val="auto"/>
                <w:sz w:val="21"/>
                <w:szCs w:val="21"/>
                <w:highlight w:val="none"/>
                <w:lang w:val="en-US" w:eastAsia="zh-CN"/>
              </w:rPr>
              <w:t>产污系数一览表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250"/>
              <w:gridCol w:w="1063"/>
              <w:gridCol w:w="2582"/>
              <w:gridCol w:w="2675"/>
            </w:tblGrid>
            <w:tr w14:paraId="21D7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Align w:val="center"/>
                </w:tcPr>
                <w:p w14:paraId="0BC9CD87">
                  <w:pPr>
                    <w:autoSpaceDE w:val="0"/>
                    <w:autoSpaceDN w:val="0"/>
                    <w:adjustRightInd w:val="0"/>
                    <w:snapToGrid w:val="0"/>
                    <w:spacing w:line="240" w:lineRule="auto"/>
                    <w:ind w:firstLine="0" w:firstLineChars="0"/>
                    <w:jc w:val="center"/>
                    <w:textAlignment w:val="baseline"/>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污染物</w:t>
                  </w:r>
                </w:p>
              </w:tc>
              <w:tc>
                <w:tcPr>
                  <w:tcW w:w="725" w:type="pct"/>
                  <w:vAlign w:val="center"/>
                </w:tcPr>
                <w:p w14:paraId="1D905670">
                  <w:pPr>
                    <w:autoSpaceDE w:val="0"/>
                    <w:autoSpaceDN w:val="0"/>
                    <w:adjustRightInd w:val="0"/>
                    <w:snapToGrid w:val="0"/>
                    <w:spacing w:line="240" w:lineRule="auto"/>
                    <w:ind w:firstLine="0" w:firstLineChars="0"/>
                    <w:jc w:val="center"/>
                    <w:textAlignment w:val="baseline"/>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单位</w:t>
                  </w:r>
                </w:p>
              </w:tc>
              <w:tc>
                <w:tcPr>
                  <w:tcW w:w="617" w:type="pct"/>
                  <w:vAlign w:val="center"/>
                </w:tcPr>
                <w:p w14:paraId="1F013B9E">
                  <w:pPr>
                    <w:autoSpaceDE w:val="0"/>
                    <w:autoSpaceDN w:val="0"/>
                    <w:adjustRightInd w:val="0"/>
                    <w:snapToGrid w:val="0"/>
                    <w:spacing w:line="240" w:lineRule="auto"/>
                    <w:ind w:firstLine="0" w:firstLineChars="0"/>
                    <w:jc w:val="center"/>
                    <w:textAlignment w:val="baseline"/>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产污系数</w:t>
                  </w:r>
                </w:p>
              </w:tc>
              <w:tc>
                <w:tcPr>
                  <w:tcW w:w="1498" w:type="pct"/>
                  <w:vAlign w:val="center"/>
                </w:tcPr>
                <w:p w14:paraId="3E43138A">
                  <w:pPr>
                    <w:autoSpaceDE w:val="0"/>
                    <w:autoSpaceDN w:val="0"/>
                    <w:adjustRightInd w:val="0"/>
                    <w:snapToGrid w:val="0"/>
                    <w:spacing w:line="240" w:lineRule="auto"/>
                    <w:ind w:firstLine="0" w:firstLineChars="0"/>
                    <w:jc w:val="center"/>
                    <w:textAlignment w:val="baseline"/>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末端治理措施及效率</w:t>
                  </w:r>
                </w:p>
              </w:tc>
              <w:tc>
                <w:tcPr>
                  <w:tcW w:w="1552" w:type="pct"/>
                  <w:vAlign w:val="center"/>
                </w:tcPr>
                <w:p w14:paraId="1B00849A">
                  <w:pPr>
                    <w:autoSpaceDE w:val="0"/>
                    <w:autoSpaceDN w:val="0"/>
                    <w:adjustRightInd w:val="0"/>
                    <w:snapToGrid w:val="0"/>
                    <w:spacing w:line="240" w:lineRule="auto"/>
                    <w:ind w:firstLine="0" w:firstLineChars="0"/>
                    <w:jc w:val="center"/>
                    <w:textAlignment w:val="baseline"/>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备注</w:t>
                  </w:r>
                </w:p>
              </w:tc>
            </w:tr>
            <w:tr w14:paraId="274D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shd w:val="clear" w:color="auto" w:fill="auto"/>
                  <w:vAlign w:val="center"/>
                </w:tcPr>
                <w:p w14:paraId="2AE37EB2">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SO</w:t>
                  </w:r>
                  <w:r>
                    <w:rPr>
                      <w:rFonts w:ascii="Times New Roman" w:hAnsi="Times New Roman" w:cs="Times New Roman"/>
                      <w:color w:val="auto"/>
                      <w:sz w:val="21"/>
                      <w:szCs w:val="21"/>
                      <w:highlight w:val="none"/>
                      <w:vertAlign w:val="subscript"/>
                    </w:rPr>
                    <w:t>2</w:t>
                  </w:r>
                </w:p>
              </w:tc>
              <w:tc>
                <w:tcPr>
                  <w:tcW w:w="725" w:type="pct"/>
                  <w:shd w:val="clear" w:color="auto" w:fill="auto"/>
                  <w:vAlign w:val="center"/>
                </w:tcPr>
                <w:p w14:paraId="62D775DC">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千克/万立方米燃料</w:t>
                  </w:r>
                </w:p>
              </w:tc>
              <w:tc>
                <w:tcPr>
                  <w:tcW w:w="617" w:type="pct"/>
                  <w:shd w:val="clear" w:color="auto" w:fill="auto"/>
                  <w:vAlign w:val="center"/>
                </w:tcPr>
                <w:p w14:paraId="2BBC3CC6">
                  <w:pPr>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highlight w:val="yellow"/>
                      <w:lang w:eastAsia="zh-CN"/>
                    </w:rPr>
                  </w:pPr>
                  <w:r>
                    <w:rPr>
                      <w:rFonts w:ascii="Times New Roman" w:hAnsi="Times New Roman" w:cs="Times New Roman"/>
                      <w:color w:val="auto"/>
                      <w:sz w:val="21"/>
                      <w:szCs w:val="21"/>
                      <w:highlight w:val="none"/>
                    </w:rPr>
                    <w:t>0.02S</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66</w:t>
                  </w:r>
                  <w:r>
                    <w:rPr>
                      <w:rFonts w:hint="eastAsia" w:ascii="Times New Roman" w:hAnsi="Times New Roman" w:cs="Times New Roman"/>
                      <w:color w:val="auto"/>
                      <w:sz w:val="21"/>
                      <w:szCs w:val="21"/>
                      <w:highlight w:val="none"/>
                      <w:lang w:eastAsia="zh-CN"/>
                    </w:rPr>
                    <w:t>）</w:t>
                  </w:r>
                </w:p>
              </w:tc>
              <w:tc>
                <w:tcPr>
                  <w:tcW w:w="1498" w:type="pct"/>
                  <w:shd w:val="clear" w:color="auto" w:fill="auto"/>
                  <w:vAlign w:val="center"/>
                </w:tcPr>
                <w:p w14:paraId="4438E14C">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yellow"/>
                    </w:rPr>
                  </w:pPr>
                  <w:r>
                    <w:rPr>
                      <w:rFonts w:ascii="Times New Roman" w:hAnsi="Times New Roman" w:cs="Times New Roman"/>
                      <w:color w:val="auto"/>
                      <w:sz w:val="21"/>
                      <w:szCs w:val="21"/>
                      <w:highlight w:val="none"/>
                    </w:rPr>
                    <w:t>/</w:t>
                  </w:r>
                </w:p>
              </w:tc>
              <w:tc>
                <w:tcPr>
                  <w:tcW w:w="1552" w:type="pct"/>
                  <w:vMerge w:val="restart"/>
                  <w:vAlign w:val="center"/>
                </w:tcPr>
                <w:p w14:paraId="656A6744">
                  <w:pPr>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b w:val="0"/>
                      <w:bCs w:val="0"/>
                      <w:color w:val="auto"/>
                      <w:kern w:val="2"/>
                      <w:sz w:val="21"/>
                      <w:szCs w:val="21"/>
                      <w:highlight w:val="none"/>
                      <w:lang w:val="en-US" w:eastAsia="zh-CN" w:bidi="ar-SA"/>
                    </w:rPr>
                    <w:t>附件7轮南天然气硫分报告取最大0.66；</w:t>
                  </w:r>
                  <w:r>
                    <w:rPr>
                      <w:rFonts w:hint="default" w:ascii="Times New Roman" w:hAnsi="Times New Roman" w:eastAsia="宋体" w:cs="Times New Roman"/>
                      <w:b w:val="0"/>
                      <w:bCs w:val="0"/>
                      <w:color w:val="auto"/>
                      <w:kern w:val="2"/>
                      <w:sz w:val="21"/>
                      <w:szCs w:val="21"/>
                      <w:highlight w:val="none"/>
                      <w:lang w:val="en-US" w:eastAsia="zh-CN" w:bidi="ar-SA"/>
                    </w:rPr>
                    <w:t>4430工业锅炉（热力供应）行业系数手册</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；DB65/T 4243</w:t>
                  </w:r>
                  <w:r>
                    <w:rPr>
                      <w:rFonts w:hint="eastAsia" w:cs="Times New Roman"/>
                      <w:color w:val="auto"/>
                      <w:sz w:val="21"/>
                      <w:szCs w:val="21"/>
                      <w:highlight w:val="none"/>
                      <w:lang w:val="en-US" w:eastAsia="zh-CN"/>
                    </w:rPr>
                    <w:t>-</w:t>
                  </w:r>
                  <w:r>
                    <w:rPr>
                      <w:rFonts w:hint="eastAsia" w:cs="Times New Roman"/>
                      <w:color w:val="auto"/>
                      <w:sz w:val="21"/>
                      <w:szCs w:val="21"/>
                      <w:highlight w:val="none"/>
                      <w:lang w:eastAsia="zh-CN"/>
                    </w:rPr>
                    <w:t>2019《燃气锅炉烟气再循环降氮技术规范》新疆维吾尔自治区市场监督管理局</w:t>
                  </w:r>
                </w:p>
              </w:tc>
            </w:tr>
            <w:tr w14:paraId="109E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Align w:val="center"/>
                </w:tcPr>
                <w:p w14:paraId="6ABA049F">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NOx</w:t>
                  </w:r>
                </w:p>
              </w:tc>
              <w:tc>
                <w:tcPr>
                  <w:tcW w:w="725" w:type="pct"/>
                  <w:vAlign w:val="center"/>
                </w:tcPr>
                <w:p w14:paraId="37B1178C">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千克/万立方米燃料</w:t>
                  </w:r>
                </w:p>
              </w:tc>
              <w:tc>
                <w:tcPr>
                  <w:tcW w:w="617" w:type="pct"/>
                  <w:vAlign w:val="center"/>
                </w:tcPr>
                <w:p w14:paraId="06AB0692">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18.71</w:t>
                  </w:r>
                </w:p>
              </w:tc>
              <w:tc>
                <w:tcPr>
                  <w:tcW w:w="1498" w:type="pct"/>
                  <w:vAlign w:val="center"/>
                </w:tcPr>
                <w:p w14:paraId="16D09F63">
                  <w:pPr>
                    <w:autoSpaceDE w:val="0"/>
                    <w:autoSpaceDN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低氮燃烧器9.36</w:t>
                  </w:r>
                  <w:r>
                    <w:rPr>
                      <w:rFonts w:hint="eastAsia" w:ascii="Times New Roman" w:hAnsi="Times New Roman" w:cs="Times New Roman"/>
                      <w:color w:val="auto"/>
                      <w:sz w:val="21"/>
                      <w:szCs w:val="21"/>
                      <w:highlight w:val="none"/>
                      <w:lang w:eastAsia="zh-CN"/>
                    </w:rPr>
                    <w:t>，</w:t>
                  </w:r>
                  <w:r>
                    <w:rPr>
                      <w:color w:val="auto"/>
                      <w:sz w:val="21"/>
                      <w:szCs w:val="21"/>
                      <w:highlight w:val="none"/>
                    </w:rPr>
                    <w:t>烟气再循环技术治理效率再加</w:t>
                  </w:r>
                  <w:r>
                    <w:rPr>
                      <w:rFonts w:hint="eastAsia"/>
                      <w:color w:val="auto"/>
                      <w:sz w:val="21"/>
                      <w:szCs w:val="21"/>
                      <w:highlight w:val="none"/>
                      <w:lang w:val="en-US" w:eastAsia="zh-CN"/>
                    </w:rPr>
                    <w:t>3</w:t>
                  </w:r>
                  <w:r>
                    <w:rPr>
                      <w:color w:val="auto"/>
                      <w:sz w:val="21"/>
                      <w:szCs w:val="21"/>
                      <w:highlight w:val="none"/>
                    </w:rPr>
                    <w:t>0%，排污系数为</w:t>
                  </w:r>
                  <w:r>
                    <w:rPr>
                      <w:rFonts w:hint="eastAsia"/>
                      <w:color w:val="auto"/>
                      <w:sz w:val="21"/>
                      <w:szCs w:val="21"/>
                      <w:highlight w:val="none"/>
                      <w:lang w:val="en-US" w:eastAsia="zh-CN"/>
                    </w:rPr>
                    <w:t>6.55</w:t>
                  </w:r>
                </w:p>
              </w:tc>
              <w:tc>
                <w:tcPr>
                  <w:tcW w:w="1552" w:type="pct"/>
                  <w:vMerge w:val="continue"/>
                  <w:vAlign w:val="center"/>
                </w:tcPr>
                <w:p w14:paraId="0DAD482C">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p>
              </w:tc>
            </w:tr>
            <w:tr w14:paraId="1279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Align w:val="center"/>
                </w:tcPr>
                <w:p w14:paraId="5B715512">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颗粒物</w:t>
                  </w:r>
                </w:p>
              </w:tc>
              <w:tc>
                <w:tcPr>
                  <w:tcW w:w="725" w:type="pct"/>
                  <w:vAlign w:val="center"/>
                </w:tcPr>
                <w:p w14:paraId="4ED8C7DF">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千克/万立方米燃料</w:t>
                  </w:r>
                </w:p>
              </w:tc>
              <w:tc>
                <w:tcPr>
                  <w:tcW w:w="617" w:type="pct"/>
                  <w:vAlign w:val="center"/>
                </w:tcPr>
                <w:p w14:paraId="001CADC4">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w:t>
                  </w:r>
                </w:p>
              </w:tc>
              <w:tc>
                <w:tcPr>
                  <w:tcW w:w="1498" w:type="pct"/>
                  <w:vAlign w:val="center"/>
                </w:tcPr>
                <w:p w14:paraId="744DF675">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552" w:type="pct"/>
                  <w:vAlign w:val="center"/>
                </w:tcPr>
                <w:p w14:paraId="46B2C485">
                  <w:pPr>
                    <w:autoSpaceDE w:val="0"/>
                    <w:autoSpaceDN w:val="0"/>
                    <w:adjustRightInd w:val="0"/>
                    <w:snapToGrid w:val="0"/>
                    <w:spacing w:line="240" w:lineRule="auto"/>
                    <w:ind w:firstLine="0" w:firstLineChars="0"/>
                    <w:jc w:val="center"/>
                    <w:textAlignment w:val="baseline"/>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直排（《环境保护实用手册》）</w:t>
                  </w:r>
                </w:p>
              </w:tc>
            </w:tr>
          </w:tbl>
          <w:p w14:paraId="041322AE">
            <w:pPr>
              <w:spacing w:line="240" w:lineRule="auto"/>
              <w:ind w:firstLine="0" w:firstLineChars="0"/>
              <w:jc w:val="center"/>
              <w:rPr>
                <w:rFonts w:hint="default" w:ascii="Times New Roman" w:hAnsi="Times New Roman" w:eastAsia="宋体" w:cs="Times New Roman"/>
                <w:b w:val="0"/>
                <w:bCs w:val="0"/>
                <w:color w:val="auto"/>
                <w:kern w:val="2"/>
                <w:sz w:val="24"/>
                <w:szCs w:val="24"/>
                <w:lang w:val="en-US" w:eastAsia="zh-CN" w:bidi="ar-SA"/>
              </w:rPr>
            </w:pPr>
            <w:r>
              <w:rPr>
                <w:rFonts w:hint="eastAsia" w:ascii="黑体" w:hAnsi="黑体" w:eastAsia="黑体" w:cs="黑体"/>
                <w:b w:val="0"/>
                <w:bCs/>
                <w:color w:val="auto"/>
                <w:sz w:val="21"/>
                <w:szCs w:val="21"/>
                <w:highlight w:val="none"/>
              </w:rPr>
              <w:t>表4-</w:t>
            </w:r>
            <w:r>
              <w:rPr>
                <w:rFonts w:hint="eastAsia" w:ascii="黑体" w:hAnsi="黑体" w:eastAsia="黑体" w:cs="黑体"/>
                <w:b w:val="0"/>
                <w:bCs/>
                <w:color w:val="auto"/>
                <w:sz w:val="21"/>
                <w:szCs w:val="21"/>
                <w:highlight w:val="none"/>
                <w:lang w:val="en-US" w:eastAsia="zh-CN"/>
              </w:rPr>
              <w:t>6</w:t>
            </w:r>
            <w:r>
              <w:rPr>
                <w:rFonts w:hint="eastAsia" w:ascii="黑体" w:hAnsi="黑体" w:eastAsia="黑体" w:cs="黑体"/>
                <w:b w:val="0"/>
                <w:bCs/>
                <w:color w:val="auto"/>
                <w:sz w:val="21"/>
                <w:szCs w:val="21"/>
                <w:highlight w:val="none"/>
              </w:rPr>
              <w:t xml:space="preserve"> </w:t>
            </w:r>
            <w:r>
              <w:rPr>
                <w:rFonts w:hint="eastAsia" w:ascii="黑体" w:hAnsi="黑体" w:eastAsia="黑体" w:cs="黑体"/>
                <w:b w:val="0"/>
                <w:bCs/>
                <w:color w:val="auto"/>
                <w:sz w:val="21"/>
                <w:szCs w:val="21"/>
                <w:highlight w:val="none"/>
                <w:lang w:val="en-US" w:eastAsia="zh-CN"/>
              </w:rPr>
              <w:t xml:space="preserve">   </w:t>
            </w:r>
            <w:r>
              <w:rPr>
                <w:rFonts w:hint="eastAsia" w:ascii="黑体" w:hAnsi="黑体" w:eastAsia="黑体" w:cs="黑体"/>
                <w:b w:val="0"/>
                <w:bCs/>
                <w:color w:val="auto"/>
                <w:sz w:val="21"/>
                <w:szCs w:val="21"/>
                <w:highlight w:val="none"/>
              </w:rPr>
              <w:t xml:space="preserve"> 项目</w:t>
            </w:r>
            <w:r>
              <w:rPr>
                <w:rFonts w:hint="eastAsia" w:ascii="黑体" w:hAnsi="黑体" w:eastAsia="黑体" w:cs="黑体"/>
                <w:b w:val="0"/>
                <w:bCs/>
                <w:color w:val="auto"/>
                <w:sz w:val="21"/>
                <w:szCs w:val="21"/>
                <w:highlight w:val="none"/>
                <w:lang w:val="en-US" w:eastAsia="zh-CN"/>
              </w:rPr>
              <w:t>15</w:t>
            </w:r>
            <w:r>
              <w:rPr>
                <w:rFonts w:hint="eastAsia" w:ascii="黑体" w:hAnsi="黑体" w:eastAsia="黑体" w:cs="黑体"/>
                <w:b w:val="0"/>
                <w:bCs/>
                <w:color w:val="auto"/>
                <w:sz w:val="21"/>
                <w:szCs w:val="21"/>
                <w:highlight w:val="none"/>
              </w:rPr>
              <w:t>t/h燃气锅炉废气产生情况</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7" w:type="dxa"/>
                <w:bottom w:w="0" w:type="dxa"/>
                <w:right w:w="17" w:type="dxa"/>
              </w:tblCellMar>
            </w:tblPr>
            <w:tblGrid>
              <w:gridCol w:w="1560"/>
              <w:gridCol w:w="1273"/>
              <w:gridCol w:w="1103"/>
              <w:gridCol w:w="1194"/>
              <w:gridCol w:w="1311"/>
              <w:gridCol w:w="600"/>
              <w:gridCol w:w="751"/>
              <w:gridCol w:w="820"/>
            </w:tblGrid>
            <w:tr w14:paraId="2B4DA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906" w:type="pct"/>
                  <w:vMerge w:val="restart"/>
                  <w:tcBorders>
                    <w:tl2br w:val="nil"/>
                    <w:tr2bl w:val="nil"/>
                  </w:tcBorders>
                  <w:noWrap w:val="0"/>
                  <w:vAlign w:val="center"/>
                </w:tcPr>
                <w:p w14:paraId="714B0A4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产生环节</w:t>
                  </w:r>
                </w:p>
              </w:tc>
              <w:tc>
                <w:tcPr>
                  <w:tcW w:w="739" w:type="pct"/>
                  <w:vMerge w:val="restart"/>
                  <w:tcBorders>
                    <w:tl2br w:val="nil"/>
                    <w:tr2bl w:val="nil"/>
                  </w:tcBorders>
                  <w:noWrap w:val="0"/>
                  <w:vAlign w:val="center"/>
                </w:tcPr>
                <w:p w14:paraId="3918B77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3FE0ABE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2094" w:type="pct"/>
                  <w:gridSpan w:val="3"/>
                  <w:tcBorders>
                    <w:tl2br w:val="nil"/>
                    <w:tr2bl w:val="nil"/>
                  </w:tcBorders>
                  <w:noWrap w:val="0"/>
                  <w:vAlign w:val="center"/>
                </w:tcPr>
                <w:p w14:paraId="48E49D3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排放状况</w:t>
                  </w:r>
                </w:p>
              </w:tc>
              <w:tc>
                <w:tcPr>
                  <w:tcW w:w="1260" w:type="pct"/>
                  <w:gridSpan w:val="3"/>
                  <w:tcBorders>
                    <w:tl2br w:val="nil"/>
                    <w:tr2bl w:val="nil"/>
                  </w:tcBorders>
                  <w:noWrap w:val="0"/>
                  <w:vAlign w:val="center"/>
                </w:tcPr>
                <w:p w14:paraId="4B14489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排放源参数</w:t>
                  </w:r>
                </w:p>
              </w:tc>
            </w:tr>
            <w:tr w14:paraId="6702C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906" w:type="pct"/>
                  <w:vMerge w:val="continue"/>
                  <w:tcBorders>
                    <w:tl2br w:val="nil"/>
                    <w:tr2bl w:val="nil"/>
                  </w:tcBorders>
                  <w:noWrap w:val="0"/>
                  <w:vAlign w:val="center"/>
                </w:tcPr>
                <w:p w14:paraId="44299DD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p>
              </w:tc>
              <w:tc>
                <w:tcPr>
                  <w:tcW w:w="739" w:type="pct"/>
                  <w:vMerge w:val="continue"/>
                  <w:tcBorders>
                    <w:tl2br w:val="nil"/>
                    <w:tr2bl w:val="nil"/>
                  </w:tcBorders>
                  <w:noWrap w:val="0"/>
                  <w:vAlign w:val="center"/>
                </w:tcPr>
                <w:p w14:paraId="763C498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p>
              </w:tc>
              <w:tc>
                <w:tcPr>
                  <w:tcW w:w="640" w:type="pct"/>
                  <w:tcBorders>
                    <w:tl2br w:val="nil"/>
                    <w:tr2bl w:val="nil"/>
                  </w:tcBorders>
                  <w:noWrap w:val="0"/>
                  <w:vAlign w:val="center"/>
                </w:tcPr>
                <w:p w14:paraId="4D2D075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排放量</w:t>
                  </w:r>
                </w:p>
              </w:tc>
              <w:tc>
                <w:tcPr>
                  <w:tcW w:w="693" w:type="pct"/>
                  <w:tcBorders>
                    <w:tl2br w:val="nil"/>
                    <w:tr2bl w:val="nil"/>
                  </w:tcBorders>
                  <w:noWrap w:val="0"/>
                  <w:vAlign w:val="center"/>
                </w:tcPr>
                <w:p w14:paraId="4596456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759" w:type="pct"/>
                  <w:tcBorders>
                    <w:tl2br w:val="nil"/>
                    <w:tr2bl w:val="nil"/>
                  </w:tcBorders>
                  <w:noWrap w:val="0"/>
                  <w:vAlign w:val="center"/>
                </w:tcPr>
                <w:p w14:paraId="5E92F6A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348" w:type="pct"/>
                  <w:tcBorders>
                    <w:tl2br w:val="nil"/>
                    <w:tr2bl w:val="nil"/>
                  </w:tcBorders>
                  <w:noWrap w:val="0"/>
                  <w:vAlign w:val="center"/>
                </w:tcPr>
                <w:p w14:paraId="3A1F99B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高度</w:t>
                  </w:r>
                </w:p>
              </w:tc>
              <w:tc>
                <w:tcPr>
                  <w:tcW w:w="436" w:type="pct"/>
                  <w:tcBorders>
                    <w:tl2br w:val="nil"/>
                    <w:tr2bl w:val="nil"/>
                  </w:tcBorders>
                  <w:noWrap w:val="0"/>
                  <w:vAlign w:val="center"/>
                </w:tcPr>
                <w:p w14:paraId="533AF2E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直径</w:t>
                  </w:r>
                </w:p>
              </w:tc>
              <w:tc>
                <w:tcPr>
                  <w:tcW w:w="475" w:type="pct"/>
                  <w:tcBorders>
                    <w:tl2br w:val="nil"/>
                    <w:tr2bl w:val="nil"/>
                  </w:tcBorders>
                  <w:noWrap w:val="0"/>
                  <w:vAlign w:val="center"/>
                </w:tcPr>
                <w:p w14:paraId="5E5A6F8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温度</w:t>
                  </w:r>
                </w:p>
              </w:tc>
            </w:tr>
            <w:tr w14:paraId="5E466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0" w:hRule="atLeast"/>
                <w:jc w:val="center"/>
              </w:trPr>
              <w:tc>
                <w:tcPr>
                  <w:tcW w:w="906" w:type="pct"/>
                  <w:vMerge w:val="continue"/>
                  <w:tcBorders>
                    <w:tl2br w:val="nil"/>
                    <w:tr2bl w:val="nil"/>
                  </w:tcBorders>
                  <w:noWrap w:val="0"/>
                  <w:vAlign w:val="center"/>
                </w:tcPr>
                <w:p w14:paraId="0716F98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p>
              </w:tc>
              <w:tc>
                <w:tcPr>
                  <w:tcW w:w="739" w:type="pct"/>
                  <w:vMerge w:val="continue"/>
                  <w:tcBorders>
                    <w:tl2br w:val="nil"/>
                    <w:tr2bl w:val="nil"/>
                  </w:tcBorders>
                  <w:noWrap w:val="0"/>
                  <w:vAlign w:val="center"/>
                </w:tcPr>
                <w:p w14:paraId="144995E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p>
              </w:tc>
              <w:tc>
                <w:tcPr>
                  <w:tcW w:w="640" w:type="pct"/>
                  <w:tcBorders>
                    <w:tl2br w:val="nil"/>
                    <w:tr2bl w:val="nil"/>
                  </w:tcBorders>
                  <w:noWrap w:val="0"/>
                  <w:vAlign w:val="center"/>
                </w:tcPr>
                <w:p w14:paraId="2FA51B9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693" w:type="pct"/>
                  <w:tcBorders>
                    <w:tl2br w:val="nil"/>
                    <w:tr2bl w:val="nil"/>
                  </w:tcBorders>
                  <w:noWrap w:val="0"/>
                  <w:vAlign w:val="center"/>
                </w:tcPr>
                <w:p w14:paraId="2AF7FDF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759" w:type="pct"/>
                  <w:tcBorders>
                    <w:tl2br w:val="nil"/>
                    <w:tr2bl w:val="nil"/>
                  </w:tcBorders>
                  <w:noWrap w:val="0"/>
                  <w:vAlign w:val="center"/>
                </w:tcPr>
                <w:p w14:paraId="1D6BB47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348" w:type="pct"/>
                  <w:tcBorders>
                    <w:tl2br w:val="nil"/>
                    <w:tr2bl w:val="nil"/>
                  </w:tcBorders>
                  <w:noWrap w:val="0"/>
                  <w:vAlign w:val="center"/>
                </w:tcPr>
                <w:p w14:paraId="54B4D89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436" w:type="pct"/>
                  <w:tcBorders>
                    <w:tl2br w:val="nil"/>
                    <w:tr2bl w:val="nil"/>
                  </w:tcBorders>
                  <w:noWrap w:val="0"/>
                  <w:vAlign w:val="center"/>
                </w:tcPr>
                <w:p w14:paraId="290B563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p>
              </w:tc>
              <w:tc>
                <w:tcPr>
                  <w:tcW w:w="475" w:type="pct"/>
                  <w:tcBorders>
                    <w:tl2br w:val="nil"/>
                    <w:tr2bl w:val="nil"/>
                  </w:tcBorders>
                  <w:noWrap w:val="0"/>
                  <w:vAlign w:val="center"/>
                </w:tcPr>
                <w:p w14:paraId="5C82F5B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r>
            <w:tr w14:paraId="065A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83" w:hRule="atLeast"/>
                <w:jc w:val="center"/>
              </w:trPr>
              <w:tc>
                <w:tcPr>
                  <w:tcW w:w="906" w:type="pct"/>
                  <w:vMerge w:val="restart"/>
                  <w:tcBorders>
                    <w:tl2br w:val="nil"/>
                    <w:tr2bl w:val="nil"/>
                  </w:tcBorders>
                  <w:noWrap w:val="0"/>
                  <w:vAlign w:val="center"/>
                </w:tcPr>
                <w:p w14:paraId="7BF35A0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b w:val="0"/>
                      <w:bCs w:val="0"/>
                      <w:kern w:val="2"/>
                      <w:sz w:val="21"/>
                      <w:szCs w:val="21"/>
                      <w:lang w:val="en-US" w:eastAsia="zh-CN"/>
                    </w:rPr>
                    <w:t>15t燃气锅炉</w:t>
                  </w:r>
                  <w:r>
                    <w:rPr>
                      <w:rFonts w:hint="default" w:ascii="Times New Roman" w:hAnsi="Times New Roman" w:eastAsia="宋体" w:cs="Times New Roman"/>
                      <w:kern w:val="44"/>
                      <w:sz w:val="21"/>
                      <w:szCs w:val="21"/>
                      <w:highlight w:val="none"/>
                      <w:lang w:val="en-US" w:eastAsia="zh-CN" w:bidi="ar-SA"/>
                    </w:rPr>
                    <w:t>DA00</w:t>
                  </w:r>
                  <w:r>
                    <w:rPr>
                      <w:rFonts w:hint="default" w:ascii="Times New Roman" w:hAnsi="Times New Roman" w:cs="Times New Roman"/>
                      <w:kern w:val="44"/>
                      <w:sz w:val="21"/>
                      <w:szCs w:val="21"/>
                      <w:highlight w:val="none"/>
                      <w:lang w:val="en-US" w:eastAsia="zh-CN" w:bidi="ar-SA"/>
                    </w:rPr>
                    <w:t>8</w:t>
                  </w:r>
                </w:p>
              </w:tc>
              <w:tc>
                <w:tcPr>
                  <w:tcW w:w="739" w:type="pct"/>
                  <w:tcBorders>
                    <w:tl2br w:val="nil"/>
                    <w:tr2bl w:val="nil"/>
                  </w:tcBorders>
                  <w:noWrap w:val="0"/>
                  <w:vAlign w:val="center"/>
                </w:tcPr>
                <w:p w14:paraId="00C89A4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颗粒物</w:t>
                  </w:r>
                </w:p>
              </w:tc>
              <w:tc>
                <w:tcPr>
                  <w:tcW w:w="640" w:type="pct"/>
                  <w:tcBorders>
                    <w:tl2br w:val="nil"/>
                    <w:tr2bl w:val="nil"/>
                  </w:tcBorders>
                  <w:shd w:val="clear" w:color="auto" w:fill="auto"/>
                  <w:noWrap w:val="0"/>
                  <w:vAlign w:val="center"/>
                </w:tcPr>
                <w:p w14:paraId="4DF432B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rPr>
                    <w:t>0.765</w:t>
                  </w:r>
                </w:p>
              </w:tc>
              <w:tc>
                <w:tcPr>
                  <w:tcW w:w="693" w:type="pct"/>
                  <w:tcBorders>
                    <w:tl2br w:val="nil"/>
                    <w:tr2bl w:val="nil"/>
                  </w:tcBorders>
                  <w:shd w:val="clear" w:color="auto" w:fill="auto"/>
                  <w:noWrap w:val="0"/>
                  <w:tcMar>
                    <w:left w:w="0" w:type="dxa"/>
                    <w:right w:w="0" w:type="dxa"/>
                  </w:tcMar>
                  <w:vAlign w:val="center"/>
                </w:tcPr>
                <w:p w14:paraId="2B0BA92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14.53</w:t>
                  </w:r>
                </w:p>
              </w:tc>
              <w:tc>
                <w:tcPr>
                  <w:tcW w:w="759" w:type="pct"/>
                  <w:tcBorders>
                    <w:tl2br w:val="nil"/>
                    <w:tr2bl w:val="nil"/>
                  </w:tcBorders>
                  <w:shd w:val="clear" w:color="auto" w:fill="auto"/>
                  <w:noWrap w:val="0"/>
                  <w:vAlign w:val="center"/>
                </w:tcPr>
                <w:p w14:paraId="26F975F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0.106</w:t>
                  </w:r>
                </w:p>
              </w:tc>
              <w:tc>
                <w:tcPr>
                  <w:tcW w:w="348" w:type="pct"/>
                  <w:tcBorders>
                    <w:tl2br w:val="nil"/>
                    <w:tr2bl w:val="nil"/>
                  </w:tcBorders>
                  <w:noWrap w:val="0"/>
                  <w:vAlign w:val="center"/>
                </w:tcPr>
                <w:p w14:paraId="6363F6C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8</w:t>
                  </w:r>
                </w:p>
              </w:tc>
              <w:tc>
                <w:tcPr>
                  <w:tcW w:w="436" w:type="pct"/>
                  <w:tcBorders>
                    <w:tl2br w:val="nil"/>
                    <w:tr2bl w:val="nil"/>
                  </w:tcBorders>
                  <w:noWrap w:val="0"/>
                  <w:vAlign w:val="center"/>
                </w:tcPr>
                <w:p w14:paraId="68F1790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c>
                <w:tcPr>
                  <w:tcW w:w="475" w:type="pct"/>
                  <w:tcBorders>
                    <w:tl2br w:val="nil"/>
                    <w:tr2bl w:val="nil"/>
                  </w:tcBorders>
                  <w:noWrap w:val="0"/>
                  <w:vAlign w:val="center"/>
                </w:tcPr>
                <w:p w14:paraId="69B27B3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w:t>
                  </w:r>
                </w:p>
              </w:tc>
            </w:tr>
            <w:tr w14:paraId="074B7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49" w:hRule="atLeast"/>
                <w:jc w:val="center"/>
              </w:trPr>
              <w:tc>
                <w:tcPr>
                  <w:tcW w:w="906" w:type="pct"/>
                  <w:vMerge w:val="continue"/>
                  <w:tcBorders>
                    <w:tl2br w:val="nil"/>
                    <w:tr2bl w:val="nil"/>
                  </w:tcBorders>
                  <w:noWrap w:val="0"/>
                  <w:vAlign w:val="center"/>
                </w:tcPr>
                <w:p w14:paraId="73E491F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kern w:val="2"/>
                      <w:sz w:val="21"/>
                      <w:szCs w:val="21"/>
                      <w:lang w:val="en-US" w:eastAsia="zh-CN"/>
                    </w:rPr>
                  </w:pPr>
                </w:p>
              </w:tc>
              <w:tc>
                <w:tcPr>
                  <w:tcW w:w="739" w:type="pct"/>
                  <w:tcBorders>
                    <w:tl2br w:val="nil"/>
                    <w:tr2bl w:val="nil"/>
                  </w:tcBorders>
                  <w:noWrap w:val="0"/>
                  <w:vAlign w:val="center"/>
                </w:tcPr>
                <w:p w14:paraId="718BE65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640" w:type="pct"/>
                  <w:tcBorders>
                    <w:tl2br w:val="nil"/>
                    <w:tr2bl w:val="nil"/>
                  </w:tcBorders>
                  <w:shd w:val="clear" w:color="auto" w:fill="auto"/>
                  <w:noWrap w:val="0"/>
                  <w:vAlign w:val="center"/>
                </w:tcPr>
                <w:p w14:paraId="645BA6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sz w:val="21"/>
                      <w:szCs w:val="21"/>
                    </w:rPr>
                    <w:t>0.006732</w:t>
                  </w:r>
                </w:p>
              </w:tc>
              <w:tc>
                <w:tcPr>
                  <w:tcW w:w="693" w:type="pct"/>
                  <w:tcBorders>
                    <w:tl2br w:val="nil"/>
                    <w:tr2bl w:val="nil"/>
                  </w:tcBorders>
                  <w:shd w:val="clear" w:color="auto" w:fill="auto"/>
                  <w:noWrap w:val="0"/>
                  <w:tcMar>
                    <w:left w:w="0" w:type="dxa"/>
                    <w:right w:w="0" w:type="dxa"/>
                  </w:tcMar>
                  <w:vAlign w:val="center"/>
                </w:tcPr>
                <w:p w14:paraId="07B85BE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0.128</w:t>
                  </w:r>
                </w:p>
              </w:tc>
              <w:tc>
                <w:tcPr>
                  <w:tcW w:w="759" w:type="pct"/>
                  <w:tcBorders>
                    <w:tl2br w:val="nil"/>
                    <w:tr2bl w:val="nil"/>
                  </w:tcBorders>
                  <w:shd w:val="clear" w:color="auto" w:fill="auto"/>
                  <w:noWrap w:val="0"/>
                  <w:vAlign w:val="center"/>
                </w:tcPr>
                <w:p w14:paraId="2C3476E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0.00093</w:t>
                  </w:r>
                </w:p>
              </w:tc>
              <w:tc>
                <w:tcPr>
                  <w:tcW w:w="348" w:type="pct"/>
                  <w:tcBorders>
                    <w:tl2br w:val="nil"/>
                    <w:tr2bl w:val="nil"/>
                  </w:tcBorders>
                  <w:noWrap w:val="0"/>
                  <w:vAlign w:val="center"/>
                </w:tcPr>
                <w:p w14:paraId="2C106D1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c>
                <w:tcPr>
                  <w:tcW w:w="436" w:type="pct"/>
                  <w:tcBorders>
                    <w:tl2br w:val="nil"/>
                    <w:tr2bl w:val="nil"/>
                  </w:tcBorders>
                  <w:noWrap w:val="0"/>
                  <w:vAlign w:val="center"/>
                </w:tcPr>
                <w:p w14:paraId="12B4846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c>
                <w:tcPr>
                  <w:tcW w:w="475" w:type="pct"/>
                  <w:tcBorders>
                    <w:tl2br w:val="nil"/>
                    <w:tr2bl w:val="nil"/>
                  </w:tcBorders>
                  <w:noWrap w:val="0"/>
                  <w:vAlign w:val="center"/>
                </w:tcPr>
                <w:p w14:paraId="3B96BC4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w:t>
                  </w:r>
                </w:p>
              </w:tc>
            </w:tr>
            <w:tr w14:paraId="477C2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7" w:type="dxa"/>
                  <w:bottom w:w="0" w:type="dxa"/>
                  <w:right w:w="17" w:type="dxa"/>
                </w:tblCellMar>
              </w:tblPrEx>
              <w:trPr>
                <w:trHeight w:val="380" w:hRule="atLeast"/>
                <w:jc w:val="center"/>
              </w:trPr>
              <w:tc>
                <w:tcPr>
                  <w:tcW w:w="906" w:type="pct"/>
                  <w:vMerge w:val="continue"/>
                  <w:tcBorders>
                    <w:tl2br w:val="nil"/>
                    <w:tr2bl w:val="nil"/>
                  </w:tcBorders>
                  <w:noWrap w:val="0"/>
                  <w:vAlign w:val="center"/>
                </w:tcPr>
                <w:p w14:paraId="44C7F9A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kern w:val="2"/>
                      <w:sz w:val="21"/>
                      <w:szCs w:val="21"/>
                      <w:lang w:val="en-US" w:eastAsia="zh-CN"/>
                    </w:rPr>
                  </w:pPr>
                </w:p>
              </w:tc>
              <w:tc>
                <w:tcPr>
                  <w:tcW w:w="739" w:type="pct"/>
                  <w:tcBorders>
                    <w:tl2br w:val="nil"/>
                    <w:tr2bl w:val="nil"/>
                  </w:tcBorders>
                  <w:noWrap w:val="0"/>
                  <w:vAlign w:val="center"/>
                </w:tcPr>
                <w:p w14:paraId="6D4F56B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highlight w:val="none"/>
                    </w:rPr>
                    <w:t>NOx</w:t>
                  </w:r>
                </w:p>
              </w:tc>
              <w:tc>
                <w:tcPr>
                  <w:tcW w:w="640" w:type="pct"/>
                  <w:tcBorders>
                    <w:tl2br w:val="nil"/>
                    <w:tr2bl w:val="nil"/>
                  </w:tcBorders>
                  <w:shd w:val="clear" w:color="auto" w:fill="auto"/>
                  <w:noWrap w:val="0"/>
                  <w:vAlign w:val="center"/>
                </w:tcPr>
                <w:p w14:paraId="212BDC5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3.34</w:t>
                  </w:r>
                </w:p>
              </w:tc>
              <w:tc>
                <w:tcPr>
                  <w:tcW w:w="693" w:type="pct"/>
                  <w:tcBorders>
                    <w:tl2br w:val="nil"/>
                    <w:tr2bl w:val="nil"/>
                  </w:tcBorders>
                  <w:shd w:val="clear" w:color="auto" w:fill="auto"/>
                  <w:noWrap w:val="0"/>
                  <w:tcMar>
                    <w:left w:w="0" w:type="dxa"/>
                    <w:right w:w="0" w:type="dxa"/>
                  </w:tcMar>
                  <w:vAlign w:val="center"/>
                </w:tcPr>
                <w:p w14:paraId="711447D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63.45</w:t>
                  </w:r>
                </w:p>
              </w:tc>
              <w:tc>
                <w:tcPr>
                  <w:tcW w:w="759" w:type="pct"/>
                  <w:tcBorders>
                    <w:tl2br w:val="nil"/>
                    <w:tr2bl w:val="nil"/>
                  </w:tcBorders>
                  <w:shd w:val="clear" w:color="auto" w:fill="auto"/>
                  <w:noWrap w:val="0"/>
                  <w:vAlign w:val="center"/>
                </w:tcPr>
                <w:p w14:paraId="5D9E9B3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0.464</w:t>
                  </w:r>
                </w:p>
              </w:tc>
              <w:tc>
                <w:tcPr>
                  <w:tcW w:w="348" w:type="pct"/>
                  <w:tcBorders>
                    <w:tl2br w:val="nil"/>
                    <w:tr2bl w:val="nil"/>
                  </w:tcBorders>
                  <w:noWrap w:val="0"/>
                  <w:vAlign w:val="center"/>
                </w:tcPr>
                <w:p w14:paraId="536449C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c>
                <w:tcPr>
                  <w:tcW w:w="436" w:type="pct"/>
                  <w:tcBorders>
                    <w:tl2br w:val="nil"/>
                    <w:tr2bl w:val="nil"/>
                  </w:tcBorders>
                  <w:noWrap w:val="0"/>
                  <w:vAlign w:val="center"/>
                </w:tcPr>
                <w:p w14:paraId="4CB8C8E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c>
                <w:tcPr>
                  <w:tcW w:w="475" w:type="pct"/>
                  <w:tcBorders>
                    <w:tl2br w:val="nil"/>
                    <w:tr2bl w:val="nil"/>
                  </w:tcBorders>
                  <w:noWrap w:val="0"/>
                  <w:vAlign w:val="center"/>
                </w:tcPr>
                <w:p w14:paraId="66234A8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w:t>
                  </w:r>
                </w:p>
              </w:tc>
            </w:tr>
          </w:tbl>
          <w:p w14:paraId="1CFB5AB1">
            <w:pPr>
              <w:keepNext w:val="0"/>
              <w:keepLines w:val="0"/>
              <w:pageBreakBefore w:val="0"/>
              <w:kinsoku/>
              <w:overflowPunct/>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rPr>
              <w:t>经核算，本项目燃气锅炉烟气中颗粒物、SO</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w:t>
            </w:r>
            <w:r>
              <w:rPr>
                <w:rFonts w:ascii="Times New Roman" w:hAnsi="Times New Roman" w:cs="Times New Roman"/>
                <w:color w:val="auto"/>
                <w:sz w:val="21"/>
                <w:szCs w:val="21"/>
                <w:highlight w:val="none"/>
              </w:rPr>
              <w:t>NOx</w:t>
            </w:r>
            <w:r>
              <w:rPr>
                <w:rFonts w:ascii="Times New Roman" w:hAnsi="Times New Roman" w:cs="Times New Roman"/>
                <w:color w:val="auto"/>
                <w:sz w:val="24"/>
                <w:szCs w:val="24"/>
                <w:highlight w:val="none"/>
              </w:rPr>
              <w:t>满足《锅炉大气污染物排放标准》（GB13271-2014）中表2新建燃气锅炉的排放标准限值（颗粒物：20mg/m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，SO</w:t>
            </w:r>
            <w:r>
              <w:rPr>
                <w:rFonts w:ascii="Times New Roman" w:hAnsi="Times New Roman" w:cs="Times New Roman"/>
                <w:color w:val="auto"/>
                <w:sz w:val="24"/>
                <w:szCs w:val="24"/>
                <w:highlight w:val="none"/>
                <w:vertAlign w:val="subscript"/>
              </w:rPr>
              <w:t>2</w:t>
            </w:r>
            <w:r>
              <w:rPr>
                <w:rFonts w:hint="eastAsia" w:ascii="Times New Roman" w:hAnsi="Times New Roman" w:cs="Times New Roman"/>
                <w:color w:val="auto"/>
                <w:sz w:val="24"/>
                <w:szCs w:val="24"/>
                <w:highlight w:val="none"/>
                <w:vertAlign w:val="subscript"/>
                <w:lang w:eastAsia="zh-CN"/>
              </w:rPr>
              <w:t>:</w:t>
            </w:r>
            <w:r>
              <w:rPr>
                <w:rFonts w:ascii="宋体" w:hAnsi="宋体" w:eastAsia="宋体" w:cs="宋体"/>
                <w:sz w:val="24"/>
                <w:szCs w:val="24"/>
              </w:rPr>
              <w:t>≤</w:t>
            </w:r>
            <w:r>
              <w:rPr>
                <w:rFonts w:ascii="Times New Roman" w:hAnsi="Times New Roman" w:cs="Times New Roman"/>
                <w:color w:val="auto"/>
                <w:sz w:val="24"/>
                <w:szCs w:val="24"/>
                <w:highlight w:val="none"/>
              </w:rPr>
              <w:t>50mg/m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，烟气黑度≤1），</w:t>
            </w:r>
            <w:r>
              <w:rPr>
                <w:rFonts w:hint="eastAsia" w:ascii="Times New Roman" w:hAnsi="Times New Roman" w:eastAsia="宋体" w:cs="Times New Roman"/>
                <w:b w:val="0"/>
                <w:bCs w:val="0"/>
                <w:kern w:val="2"/>
                <w:sz w:val="24"/>
                <w:szCs w:val="24"/>
                <w:lang w:val="en-US" w:eastAsia="zh-CN" w:bidi="ar-SA"/>
              </w:rPr>
              <w:t>根据已发布《关于开展自治区2022年度夏秋季大气污染防治“冬病夏治”工作的通知》(新环大气发〔2022〕483号)和（巴环委办字〔2022〕13号）关于印发《2022年度自治州大气污染防治“冬病夏治”工作推进方案》的通知，本项目不在大气联防联控区域内。可不执行NO</w:t>
            </w:r>
            <w:r>
              <w:rPr>
                <w:rFonts w:hint="eastAsia" w:ascii="Times New Roman" w:hAnsi="Times New Roman" w:eastAsia="宋体" w:cs="Times New Roman"/>
                <w:b w:val="0"/>
                <w:bCs w:val="0"/>
                <w:kern w:val="2"/>
                <w:sz w:val="24"/>
                <w:szCs w:val="24"/>
                <w:vertAlign w:val="subscript"/>
                <w:lang w:val="en-US" w:eastAsia="zh-CN" w:bidi="ar-SA"/>
              </w:rPr>
              <w:t>x</w:t>
            </w:r>
            <w:r>
              <w:rPr>
                <w:rFonts w:hint="eastAsia" w:ascii="Times New Roman" w:hAnsi="Times New Roman" w:eastAsia="宋体" w:cs="Times New Roman"/>
                <w:b w:val="0"/>
                <w:bCs w:val="0"/>
                <w:kern w:val="2"/>
                <w:sz w:val="24"/>
                <w:szCs w:val="24"/>
                <w:vertAlign w:val="baseline"/>
                <w:lang w:val="en-US" w:eastAsia="zh-CN" w:bidi="ar-SA"/>
              </w:rPr>
              <w:t>50mg/m</w:t>
            </w:r>
            <w:r>
              <w:rPr>
                <w:rFonts w:hint="eastAsia" w:ascii="Times New Roman" w:hAnsi="Times New Roman" w:eastAsia="宋体" w:cs="Times New Roman"/>
                <w:b w:val="0"/>
                <w:bCs w:val="0"/>
                <w:kern w:val="2"/>
                <w:sz w:val="24"/>
                <w:szCs w:val="24"/>
                <w:vertAlign w:val="superscript"/>
                <w:lang w:val="en-US" w:eastAsia="zh-CN" w:bidi="ar-SA"/>
              </w:rPr>
              <w:t>3</w:t>
            </w:r>
            <w:r>
              <w:rPr>
                <w:rFonts w:hint="eastAsia" w:ascii="Times New Roman" w:hAnsi="Times New Roman" w:eastAsia="宋体" w:cs="Times New Roman"/>
                <w:b w:val="0"/>
                <w:bCs w:val="0"/>
                <w:kern w:val="2"/>
                <w:sz w:val="24"/>
                <w:szCs w:val="24"/>
                <w:vertAlign w:val="baseline"/>
                <w:lang w:val="en-US" w:eastAsia="zh-CN" w:bidi="ar-SA"/>
              </w:rPr>
              <w:t>的要求。</w:t>
            </w:r>
          </w:p>
          <w:p w14:paraId="6C3A4E04">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ascii="Times New Roman" w:hAnsi="Times New Roman" w:eastAsia="宋体" w:cs="Times New Roman"/>
                <w:b w:val="0"/>
                <w:bCs w:val="0"/>
                <w:kern w:val="2"/>
                <w:sz w:val="24"/>
                <w:szCs w:val="24"/>
                <w:lang w:val="en-US" w:eastAsia="zh-CN"/>
              </w:rPr>
              <w:t>（6）10t备用锅炉废气</w:t>
            </w:r>
          </w:p>
          <w:p w14:paraId="17E7600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本项目备用10t锅炉</w:t>
            </w:r>
            <w:r>
              <w:rPr>
                <w:rFonts w:hint="eastAsia" w:cs="Times New Roman"/>
                <w:b w:val="0"/>
                <w:bCs w:val="0"/>
                <w:kern w:val="2"/>
                <w:sz w:val="24"/>
                <w:szCs w:val="24"/>
                <w:lang w:val="en-US" w:eastAsia="zh-CN" w:bidi="ar-SA"/>
              </w:rPr>
              <w:t>，生产过程中不使用，仅作为备用锅炉，在15t锅炉出现安全问题紧急停车、检修再进行使用，</w:t>
            </w:r>
            <w:r>
              <w:rPr>
                <w:rFonts w:hint="default" w:ascii="Times New Roman" w:hAnsi="Times New Roman" w:eastAsia="宋体" w:cs="Times New Roman"/>
                <w:b w:val="0"/>
                <w:bCs w:val="0"/>
                <w:kern w:val="2"/>
                <w:sz w:val="24"/>
                <w:szCs w:val="24"/>
                <w:lang w:val="en-US" w:eastAsia="zh-CN" w:bidi="ar-SA"/>
              </w:rPr>
              <w:t>源强</w:t>
            </w:r>
            <w:r>
              <w:rPr>
                <w:rFonts w:hint="eastAsia" w:ascii="Times New Roman" w:hAnsi="Times New Roman" w:eastAsia="宋体" w:cs="Times New Roman"/>
                <w:b w:val="0"/>
                <w:bCs w:val="0"/>
                <w:kern w:val="2"/>
                <w:sz w:val="24"/>
                <w:szCs w:val="24"/>
                <w:lang w:val="en-US" w:eastAsia="zh-CN" w:bidi="ar-SA"/>
              </w:rPr>
              <w:t>按照</w:t>
            </w:r>
            <w:r>
              <w:rPr>
                <w:rFonts w:hint="default" w:ascii="Times New Roman" w:hAnsi="Times New Roman" w:eastAsia="宋体" w:cs="Times New Roman"/>
                <w:b w:val="0"/>
                <w:bCs w:val="0"/>
                <w:kern w:val="2"/>
                <w:sz w:val="24"/>
                <w:szCs w:val="24"/>
                <w:lang w:val="en-US" w:eastAsia="zh-CN" w:bidi="ar-SA"/>
              </w:rPr>
              <w:t>《污染源源强核算技术指南锅炉》（HJ991-2018）表1</w:t>
            </w:r>
            <w:r>
              <w:rPr>
                <w:rFonts w:hint="eastAsia" w:ascii="Times New Roman" w:hAnsi="Times New Roman" w:eastAsia="宋体" w:cs="Times New Roman"/>
                <w:b w:val="0"/>
                <w:bCs w:val="0"/>
                <w:kern w:val="2"/>
                <w:sz w:val="24"/>
                <w:szCs w:val="24"/>
                <w:lang w:val="en-US" w:eastAsia="zh-CN" w:bidi="ar-SA"/>
              </w:rPr>
              <w:t>要求，</w:t>
            </w:r>
            <w:r>
              <w:rPr>
                <w:rFonts w:hint="default" w:ascii="Times New Roman" w:hAnsi="Times New Roman" w:eastAsia="宋体" w:cs="Times New Roman"/>
                <w:b w:val="0"/>
                <w:bCs w:val="0"/>
                <w:kern w:val="2"/>
                <w:sz w:val="24"/>
                <w:szCs w:val="24"/>
                <w:lang w:val="en-US" w:eastAsia="zh-CN" w:bidi="ar-SA"/>
              </w:rPr>
              <w:t>进行</w:t>
            </w:r>
            <w:r>
              <w:rPr>
                <w:rFonts w:hint="eastAsia" w:ascii="Times New Roman" w:hAnsi="Times New Roman" w:eastAsia="宋体" w:cs="Times New Roman"/>
                <w:b w:val="0"/>
                <w:bCs w:val="0"/>
                <w:kern w:val="2"/>
                <w:sz w:val="24"/>
                <w:szCs w:val="24"/>
                <w:lang w:val="en-US" w:eastAsia="zh-CN" w:bidi="ar-SA"/>
              </w:rPr>
              <w:t>实测法</w:t>
            </w:r>
            <w:r>
              <w:rPr>
                <w:rFonts w:hint="default" w:ascii="Times New Roman" w:hAnsi="Times New Roman" w:eastAsia="宋体" w:cs="Times New Roman"/>
                <w:b w:val="0"/>
                <w:bCs w:val="0"/>
                <w:kern w:val="2"/>
                <w:sz w:val="24"/>
                <w:szCs w:val="24"/>
                <w:lang w:val="en-US" w:eastAsia="zh-CN" w:bidi="ar-SA"/>
              </w:rPr>
              <w:t>核算</w:t>
            </w:r>
            <w:r>
              <w:rPr>
                <w:rFonts w:hint="eastAsia" w:ascii="Times New Roman" w:hAnsi="Times New Roman" w:eastAsia="宋体" w:cs="Times New Roman"/>
                <w:b w:val="0"/>
                <w:bCs w:val="0"/>
                <w:kern w:val="2"/>
                <w:sz w:val="24"/>
                <w:szCs w:val="24"/>
                <w:lang w:val="en-US" w:eastAsia="zh-CN" w:bidi="ar-SA"/>
              </w:rPr>
              <w:t>。新疆中测测试有限责任公司</w:t>
            </w:r>
            <w:r>
              <w:rPr>
                <w:rFonts w:hint="eastAsia" w:cs="Times New Roman"/>
                <w:b w:val="0"/>
                <w:bCs w:val="0"/>
                <w:kern w:val="2"/>
                <w:sz w:val="24"/>
                <w:szCs w:val="24"/>
                <w:lang w:val="en-US" w:eastAsia="zh-CN" w:bidi="ar-SA"/>
              </w:rPr>
              <w:t>于</w:t>
            </w:r>
            <w:r>
              <w:rPr>
                <w:rFonts w:hint="eastAsia" w:ascii="Times New Roman" w:hAnsi="Times New Roman" w:eastAsia="宋体" w:cs="Times New Roman"/>
                <w:b w:val="0"/>
                <w:bCs w:val="0"/>
                <w:kern w:val="2"/>
                <w:sz w:val="24"/>
                <w:szCs w:val="24"/>
                <w:lang w:val="en-US" w:eastAsia="zh-CN" w:bidi="ar-SA"/>
              </w:rPr>
              <w:t>2025年12月23日对新疆同芃生物科技有限公司10t燃气锅炉进行了监测，并出具了监测报告《新疆同芃生物科技有限公司有组织废气检测》（ZCFQ2025120414-01）</w:t>
            </w:r>
            <w:r>
              <w:rPr>
                <w:rFonts w:hint="default" w:ascii="Times New Roman" w:hAnsi="Times New Roman" w:eastAsia="宋体" w:cs="Times New Roman"/>
                <w:b w:val="0"/>
                <w:bCs w:val="0"/>
                <w:kern w:val="2"/>
                <w:sz w:val="24"/>
                <w:szCs w:val="24"/>
                <w:lang w:val="en-US" w:eastAsia="zh-CN" w:bidi="ar-SA"/>
              </w:rPr>
              <w:t>。</w:t>
            </w:r>
          </w:p>
          <w:p w14:paraId="7A79DF5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①</w:t>
            </w:r>
            <w:r>
              <w:rPr>
                <w:rFonts w:hint="default" w:ascii="Times New Roman" w:hAnsi="Times New Roman" w:eastAsia="宋体" w:cs="Times New Roman"/>
                <w:b w:val="0"/>
                <w:bCs w:val="0"/>
                <w:kern w:val="2"/>
                <w:sz w:val="24"/>
                <w:szCs w:val="24"/>
                <w:lang w:val="en-US" w:eastAsia="zh-CN" w:bidi="ar-SA"/>
              </w:rPr>
              <w:t>烟气</w:t>
            </w:r>
            <w:r>
              <w:rPr>
                <w:rFonts w:hint="eastAsia" w:ascii="Times New Roman" w:hAnsi="Times New Roman" w:eastAsia="宋体" w:cs="Times New Roman"/>
                <w:b w:val="0"/>
                <w:bCs w:val="0"/>
                <w:kern w:val="2"/>
                <w:sz w:val="24"/>
                <w:szCs w:val="24"/>
                <w:lang w:val="en-US" w:eastAsia="zh-CN" w:bidi="ar-SA"/>
              </w:rPr>
              <w:t>量</w:t>
            </w:r>
          </w:p>
          <w:p w14:paraId="55F1486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根据</w:t>
            </w:r>
            <w:r>
              <w:rPr>
                <w:rFonts w:hint="eastAsia" w:ascii="Times New Roman" w:hAnsi="Times New Roman" w:eastAsia="宋体" w:cs="Times New Roman"/>
                <w:b w:val="0"/>
                <w:bCs w:val="0"/>
                <w:kern w:val="2"/>
                <w:sz w:val="24"/>
                <w:szCs w:val="24"/>
                <w:lang w:val="en-US" w:eastAsia="zh-CN" w:bidi="ar-SA"/>
              </w:rPr>
              <w:t>新疆中测测试有限责任公司出具的</w:t>
            </w:r>
            <w:r>
              <w:rPr>
                <w:rFonts w:hint="default" w:ascii="Times New Roman" w:hAnsi="Times New Roman" w:eastAsia="宋体"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新疆同芃生物科技有限公司有组织废气</w:t>
            </w:r>
            <w:r>
              <w:rPr>
                <w:rFonts w:hint="default" w:ascii="Times New Roman" w:hAnsi="Times New Roman" w:eastAsia="宋体" w:cs="Times New Roman"/>
                <w:b w:val="0"/>
                <w:bCs w:val="0"/>
                <w:kern w:val="2"/>
                <w:sz w:val="24"/>
                <w:szCs w:val="24"/>
                <w:lang w:val="en-US" w:eastAsia="zh-CN" w:bidi="ar-SA"/>
              </w:rPr>
              <w:t>检测》（ZCFQ2025120414-01）检测报告监测期间，企业锅炉正常运行，标态烟气量平均值为</w:t>
            </w:r>
            <w:r>
              <w:rPr>
                <w:rFonts w:hint="default" w:ascii="Times New Roman" w:hAnsi="Times New Roman" w:eastAsia="宋体" w:cs="Times New Roman"/>
                <w:sz w:val="24"/>
                <w:szCs w:val="24"/>
              </w:rPr>
              <w:t>9222.33</w:t>
            </w:r>
            <w:r>
              <w:rPr>
                <w:rFonts w:hint="default" w:ascii="Times New Roman" w:hAnsi="Times New Roman" w:eastAsia="宋体" w:cs="Times New Roman"/>
                <w:b w:val="0"/>
                <w:bCs w:val="0"/>
                <w:kern w:val="2"/>
                <w:sz w:val="24"/>
                <w:szCs w:val="24"/>
                <w:lang w:val="en-US" w:eastAsia="zh-CN" w:bidi="ar-SA"/>
              </w:rPr>
              <w:t>Nm</w:t>
            </w:r>
            <w:r>
              <w:rPr>
                <w:rFonts w:hint="default" w:ascii="Times New Roman" w:hAnsi="Times New Roman" w:eastAsia="宋体" w:cs="Times New Roman"/>
                <w:b w:val="0"/>
                <w:bCs w:val="0"/>
                <w:kern w:val="2"/>
                <w:sz w:val="24"/>
                <w:szCs w:val="24"/>
                <w:vertAlign w:val="superscript"/>
                <w:lang w:val="en-US" w:eastAsia="zh-CN" w:bidi="ar-SA"/>
              </w:rPr>
              <w:t>3</w:t>
            </w:r>
            <w:r>
              <w:rPr>
                <w:rFonts w:hint="default" w:ascii="Times New Roman" w:hAnsi="Times New Roman" w:eastAsia="宋体" w:cs="Times New Roman"/>
                <w:b w:val="0"/>
                <w:bCs w:val="0"/>
                <w:kern w:val="2"/>
                <w:sz w:val="24"/>
                <w:szCs w:val="24"/>
                <w:lang w:val="en-US" w:eastAsia="zh-CN" w:bidi="ar-SA"/>
              </w:rPr>
              <w:t>/h。</w:t>
            </w:r>
          </w:p>
          <w:p w14:paraId="49130808">
            <w:pPr>
              <w:keepNext w:val="0"/>
              <w:keepLines w:val="0"/>
              <w:pageBreakBefore w:val="0"/>
              <w:widowControl w:val="0"/>
              <w:kinsoku/>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②</w:t>
            </w:r>
            <w:r>
              <w:rPr>
                <w:rFonts w:hint="default" w:ascii="Times New Roman" w:hAnsi="Times New Roman" w:eastAsia="宋体" w:cs="Times New Roman"/>
                <w:b w:val="0"/>
                <w:bCs w:val="0"/>
                <w:kern w:val="2"/>
                <w:sz w:val="24"/>
                <w:szCs w:val="24"/>
                <w:lang w:val="en-US" w:eastAsia="zh-CN" w:bidi="ar-SA"/>
              </w:rPr>
              <w:t>颗粒物</w:t>
            </w:r>
          </w:p>
          <w:p w14:paraId="530BB68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根据</w:t>
            </w:r>
            <w:r>
              <w:rPr>
                <w:rFonts w:hint="eastAsia" w:ascii="Times New Roman" w:hAnsi="Times New Roman" w:eastAsia="宋体" w:cs="Times New Roman"/>
                <w:b w:val="0"/>
                <w:bCs w:val="0"/>
                <w:kern w:val="2"/>
                <w:sz w:val="24"/>
                <w:szCs w:val="24"/>
                <w:lang w:val="en-US" w:eastAsia="zh-CN" w:bidi="ar-SA"/>
              </w:rPr>
              <w:t>新疆中测测试有限责任公司出具的</w:t>
            </w:r>
            <w:r>
              <w:rPr>
                <w:rFonts w:hint="default" w:ascii="Times New Roman" w:hAnsi="Times New Roman" w:eastAsia="宋体"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新疆同芃生物科技有限公司有组织废气</w:t>
            </w:r>
            <w:r>
              <w:rPr>
                <w:rFonts w:hint="default" w:ascii="Times New Roman" w:hAnsi="Times New Roman" w:eastAsia="宋体" w:cs="Times New Roman"/>
                <w:b w:val="0"/>
                <w:bCs w:val="0"/>
                <w:kern w:val="2"/>
                <w:sz w:val="24"/>
                <w:szCs w:val="24"/>
                <w:lang w:val="en-US" w:eastAsia="zh-CN" w:bidi="ar-SA"/>
              </w:rPr>
              <w:t>检测》（ZCFQ2025120414-01）</w:t>
            </w:r>
            <w:r>
              <w:rPr>
                <w:rFonts w:hint="default" w:ascii="Times New Roman" w:hAnsi="Times New Roman" w:eastAsia="宋体" w:cs="Times New Roman"/>
                <w:b w:val="0"/>
                <w:bCs w:val="0"/>
                <w:kern w:val="2"/>
                <w:sz w:val="24"/>
                <w:szCs w:val="24"/>
                <w:highlight w:val="none"/>
                <w:lang w:val="en-US" w:eastAsia="zh-CN" w:bidi="ar-SA"/>
              </w:rPr>
              <w:t>，检测报告监测期间，企业锅炉正常运行，</w:t>
            </w:r>
            <w:r>
              <w:rPr>
                <w:rFonts w:hint="eastAsia" w:ascii="Times New Roman" w:hAnsi="Times New Roman" w:eastAsia="宋体" w:cs="Times New Roman"/>
                <w:b w:val="0"/>
                <w:bCs w:val="0"/>
                <w:kern w:val="2"/>
                <w:sz w:val="24"/>
                <w:szCs w:val="24"/>
                <w:highlight w:val="none"/>
                <w:lang w:val="en-US" w:eastAsia="zh-CN" w:bidi="ar-SA"/>
              </w:rPr>
              <w:t>锅炉</w:t>
            </w:r>
            <w:r>
              <w:rPr>
                <w:rFonts w:hint="default" w:ascii="Times New Roman" w:hAnsi="Times New Roman" w:eastAsia="宋体" w:cs="Times New Roman"/>
                <w:b w:val="0"/>
                <w:bCs w:val="0"/>
                <w:kern w:val="2"/>
                <w:sz w:val="24"/>
                <w:szCs w:val="24"/>
                <w:highlight w:val="none"/>
                <w:lang w:val="en-US" w:eastAsia="zh-CN" w:bidi="ar-SA"/>
              </w:rPr>
              <w:t>颗粒物出口</w:t>
            </w:r>
            <w:r>
              <w:rPr>
                <w:rFonts w:hint="eastAsia" w:ascii="Times New Roman" w:hAnsi="Times New Roman" w:eastAsia="宋体" w:cs="Times New Roman"/>
                <w:b w:val="0"/>
                <w:bCs w:val="0"/>
                <w:kern w:val="2"/>
                <w:sz w:val="24"/>
                <w:szCs w:val="24"/>
                <w:highlight w:val="none"/>
                <w:lang w:val="en-US" w:eastAsia="zh-CN" w:bidi="ar-SA"/>
              </w:rPr>
              <w:t>最大</w:t>
            </w:r>
            <w:r>
              <w:rPr>
                <w:rFonts w:hint="default" w:ascii="Times New Roman" w:hAnsi="Times New Roman" w:eastAsia="宋体" w:cs="Times New Roman"/>
                <w:b w:val="0"/>
                <w:bCs w:val="0"/>
                <w:kern w:val="2"/>
                <w:sz w:val="24"/>
                <w:szCs w:val="24"/>
                <w:highlight w:val="none"/>
                <w:lang w:val="en-US" w:eastAsia="zh-CN" w:bidi="ar-SA"/>
              </w:rPr>
              <w:t>浓度为</w:t>
            </w:r>
            <w:r>
              <w:rPr>
                <w:rFonts w:hint="eastAsia" w:ascii="Times New Roman" w:hAnsi="Times New Roman" w:eastAsia="宋体" w:cs="Times New Roman"/>
                <w:b w:val="0"/>
                <w:bCs w:val="0"/>
                <w:kern w:val="2"/>
                <w:sz w:val="24"/>
                <w:szCs w:val="24"/>
                <w:highlight w:val="none"/>
                <w:lang w:val="en-US" w:eastAsia="zh-CN" w:bidi="ar-SA"/>
              </w:rPr>
              <w:t>2.03</w:t>
            </w:r>
            <w:r>
              <w:rPr>
                <w:rFonts w:hint="default" w:ascii="Times New Roman" w:hAnsi="Times New Roman" w:eastAsia="宋体" w:cs="Times New Roman"/>
                <w:b w:val="0"/>
                <w:bCs w:val="0"/>
                <w:kern w:val="2"/>
                <w:sz w:val="24"/>
                <w:szCs w:val="24"/>
                <w:highlight w:val="none"/>
                <w:lang w:val="en-US" w:eastAsia="zh-CN" w:bidi="ar-SA"/>
              </w:rPr>
              <w:t>mg/m</w:t>
            </w:r>
            <w:r>
              <w:rPr>
                <w:rFonts w:hint="default" w:ascii="Times New Roman" w:hAnsi="Times New Roman" w:eastAsia="宋体" w:cs="Times New Roman"/>
                <w:b w:val="0"/>
                <w:bCs w:val="0"/>
                <w:kern w:val="2"/>
                <w:sz w:val="24"/>
                <w:szCs w:val="24"/>
                <w:highlight w:val="none"/>
                <w:vertAlign w:val="superscript"/>
                <w:lang w:val="en-US" w:eastAsia="zh-CN" w:bidi="ar-SA"/>
              </w:rPr>
              <w:t>3</w:t>
            </w:r>
            <w:r>
              <w:rPr>
                <w:rFonts w:hint="default" w:ascii="Times New Roman" w:hAnsi="Times New Roman" w:eastAsia="宋体" w:cs="Times New Roman"/>
                <w:b w:val="0"/>
                <w:bCs w:val="0"/>
                <w:kern w:val="2"/>
                <w:sz w:val="24"/>
                <w:szCs w:val="24"/>
                <w:highlight w:val="none"/>
                <w:lang w:val="en-US" w:eastAsia="zh-CN" w:bidi="ar-SA"/>
              </w:rPr>
              <w:t>，排放速率</w:t>
            </w:r>
            <w:r>
              <w:rPr>
                <w:rFonts w:hint="eastAsia" w:ascii="Times New Roman" w:hAnsi="Times New Roman" w:eastAsia="宋体" w:cs="Times New Roman"/>
                <w:b w:val="0"/>
                <w:bCs w:val="0"/>
                <w:kern w:val="2"/>
                <w:sz w:val="24"/>
                <w:szCs w:val="24"/>
                <w:highlight w:val="none"/>
                <w:lang w:val="en-US" w:eastAsia="zh-CN" w:bidi="ar-SA"/>
              </w:rPr>
              <w:t>0.02kg/h</w:t>
            </w:r>
            <w:r>
              <w:rPr>
                <w:rFonts w:hint="default" w:ascii="Times New Roman" w:hAnsi="Times New Roman" w:eastAsia="宋体" w:cs="Times New Roman"/>
                <w:b w:val="0"/>
                <w:bCs w:val="0"/>
                <w:kern w:val="2"/>
                <w:sz w:val="24"/>
                <w:szCs w:val="24"/>
                <w:highlight w:val="none"/>
                <w:lang w:val="en-US" w:eastAsia="zh-CN" w:bidi="ar-SA"/>
              </w:rPr>
              <w:t>，</w:t>
            </w:r>
            <w:r>
              <w:rPr>
                <w:rFonts w:hint="eastAsia" w:ascii="Times New Roman" w:hAnsi="Times New Roman" w:eastAsia="宋体" w:cs="Times New Roman"/>
                <w:b w:val="0"/>
                <w:bCs w:val="0"/>
                <w:kern w:val="2"/>
                <w:sz w:val="24"/>
                <w:szCs w:val="24"/>
                <w:highlight w:val="none"/>
                <w:lang w:val="en-US" w:eastAsia="zh-CN" w:bidi="ar-SA"/>
              </w:rPr>
              <w:t>根据排放速率，</w:t>
            </w:r>
            <w:r>
              <w:rPr>
                <w:rFonts w:hint="default" w:ascii="Times New Roman" w:hAnsi="Times New Roman" w:eastAsia="宋体" w:cs="Times New Roman"/>
                <w:b w:val="0"/>
                <w:bCs w:val="0"/>
                <w:kern w:val="2"/>
                <w:sz w:val="24"/>
                <w:szCs w:val="24"/>
                <w:highlight w:val="none"/>
                <w:lang w:val="en-US" w:eastAsia="zh-CN" w:bidi="ar-SA"/>
              </w:rPr>
              <w:t>可计算出</w:t>
            </w:r>
            <w:r>
              <w:rPr>
                <w:rFonts w:hint="eastAsia" w:ascii="Times New Roman" w:hAnsi="Times New Roman" w:eastAsia="宋体" w:cs="Times New Roman"/>
                <w:b w:val="0"/>
                <w:bCs w:val="0"/>
                <w:kern w:val="2"/>
                <w:sz w:val="24"/>
                <w:szCs w:val="24"/>
                <w:highlight w:val="none"/>
                <w:lang w:val="en-US" w:eastAsia="zh-CN" w:bidi="ar-SA"/>
              </w:rPr>
              <w:t>燃气锅炉</w:t>
            </w:r>
            <w:r>
              <w:rPr>
                <w:rFonts w:hint="default" w:ascii="Times New Roman" w:hAnsi="Times New Roman" w:eastAsia="宋体" w:cs="Times New Roman"/>
                <w:b w:val="0"/>
                <w:bCs w:val="0"/>
                <w:kern w:val="2"/>
                <w:sz w:val="24"/>
                <w:szCs w:val="24"/>
                <w:highlight w:val="none"/>
                <w:lang w:val="en-US" w:eastAsia="zh-CN" w:bidi="ar-SA"/>
              </w:rPr>
              <w:t>颗粒物的排放量为</w:t>
            </w:r>
            <w:r>
              <w:rPr>
                <w:rFonts w:hint="eastAsia" w:ascii="Times New Roman" w:hAnsi="Times New Roman" w:eastAsia="宋体" w:cs="Times New Roman"/>
                <w:b w:val="0"/>
                <w:bCs w:val="0"/>
                <w:kern w:val="2"/>
                <w:sz w:val="24"/>
                <w:szCs w:val="24"/>
                <w:highlight w:val="none"/>
                <w:lang w:val="en-US" w:eastAsia="zh-CN" w:bidi="ar-SA"/>
              </w:rPr>
              <w:t>0.13t/a，</w:t>
            </w:r>
            <w:r>
              <w:rPr>
                <w:rFonts w:hint="default" w:ascii="Times New Roman" w:hAnsi="Times New Roman" w:eastAsia="宋体" w:cs="Times New Roman"/>
                <w:b w:val="0"/>
                <w:bCs w:val="0"/>
                <w:kern w:val="2"/>
                <w:sz w:val="24"/>
                <w:szCs w:val="24"/>
                <w:lang w:val="en-US" w:eastAsia="zh-CN" w:bidi="ar-SA"/>
              </w:rPr>
              <w:t>通过</w:t>
            </w:r>
            <w:r>
              <w:rPr>
                <w:rFonts w:hint="eastAsia" w:ascii="Times New Roman" w:hAnsi="Times New Roman" w:eastAsia="宋体" w:cs="Times New Roman"/>
                <w:b w:val="0"/>
                <w:bCs w:val="0"/>
                <w:kern w:val="2"/>
                <w:sz w:val="24"/>
                <w:szCs w:val="24"/>
                <w:lang w:val="en-US" w:eastAsia="zh-CN" w:bidi="ar-SA"/>
              </w:rPr>
              <w:t>8</w:t>
            </w:r>
            <w:r>
              <w:rPr>
                <w:rFonts w:hint="default" w:ascii="Times New Roman" w:hAnsi="Times New Roman" w:eastAsia="宋体" w:cs="Times New Roman"/>
                <w:b w:val="0"/>
                <w:bCs w:val="0"/>
                <w:kern w:val="2"/>
                <w:sz w:val="24"/>
                <w:szCs w:val="24"/>
                <w:lang w:val="en-US" w:eastAsia="zh-CN" w:bidi="ar-SA"/>
              </w:rPr>
              <w:t>m高排气筒</w:t>
            </w:r>
            <w:r>
              <w:rPr>
                <w:rFonts w:hint="eastAsia" w:cs="Times New Roman"/>
                <w:b w:val="0"/>
                <w:bCs w:val="0"/>
                <w:kern w:val="2"/>
                <w:sz w:val="24"/>
                <w:szCs w:val="24"/>
                <w:lang w:val="en-US" w:eastAsia="zh-CN" w:bidi="ar-SA"/>
              </w:rPr>
              <w:t>（DA009）</w:t>
            </w:r>
            <w:r>
              <w:rPr>
                <w:rFonts w:hint="default" w:ascii="Times New Roman" w:hAnsi="Times New Roman" w:eastAsia="宋体" w:cs="Times New Roman"/>
                <w:b w:val="0"/>
                <w:bCs w:val="0"/>
                <w:kern w:val="2"/>
                <w:sz w:val="24"/>
                <w:szCs w:val="24"/>
                <w:lang w:val="en-US" w:eastAsia="zh-CN" w:bidi="ar-SA"/>
              </w:rPr>
              <w:t>排放。</w:t>
            </w:r>
          </w:p>
          <w:p w14:paraId="01966299">
            <w:pPr>
              <w:keepNext w:val="0"/>
              <w:keepLines w:val="0"/>
              <w:pageBreakBefore w:val="0"/>
              <w:widowControl w:val="0"/>
              <w:kinsoku/>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③</w:t>
            </w:r>
            <w:r>
              <w:rPr>
                <w:rFonts w:hint="default" w:ascii="Times New Roman" w:hAnsi="Times New Roman" w:eastAsia="宋体" w:cs="Times New Roman"/>
                <w:b w:val="0"/>
                <w:bCs w:val="0"/>
                <w:kern w:val="2"/>
                <w:sz w:val="24"/>
                <w:szCs w:val="24"/>
                <w:lang w:val="en-US" w:eastAsia="zh-CN" w:bidi="ar-SA"/>
              </w:rPr>
              <w:t>SO</w:t>
            </w:r>
            <w:r>
              <w:rPr>
                <w:rFonts w:hint="default" w:ascii="Times New Roman" w:hAnsi="Times New Roman" w:eastAsia="宋体" w:cs="Times New Roman"/>
                <w:b w:val="0"/>
                <w:bCs w:val="0"/>
                <w:kern w:val="2"/>
                <w:sz w:val="24"/>
                <w:szCs w:val="24"/>
                <w:vertAlign w:val="subscript"/>
                <w:lang w:val="en-US" w:eastAsia="zh-CN" w:bidi="ar-SA"/>
              </w:rPr>
              <w:t>2</w:t>
            </w:r>
          </w:p>
          <w:p w14:paraId="278899E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根据</w:t>
            </w:r>
            <w:r>
              <w:rPr>
                <w:rFonts w:hint="eastAsia" w:ascii="Times New Roman" w:hAnsi="Times New Roman" w:eastAsia="宋体" w:cs="Times New Roman"/>
                <w:b w:val="0"/>
                <w:bCs w:val="0"/>
                <w:kern w:val="2"/>
                <w:sz w:val="24"/>
                <w:szCs w:val="24"/>
                <w:lang w:val="en-US" w:eastAsia="zh-CN" w:bidi="ar-SA"/>
              </w:rPr>
              <w:t>新疆中测测试有限责任公司出具的</w:t>
            </w:r>
            <w:r>
              <w:rPr>
                <w:rFonts w:hint="default" w:ascii="Times New Roman" w:hAnsi="Times New Roman" w:eastAsia="宋体"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新疆同芃生物科技有限公司有组织废气</w:t>
            </w:r>
            <w:r>
              <w:rPr>
                <w:rFonts w:hint="default" w:ascii="Times New Roman" w:hAnsi="Times New Roman" w:eastAsia="宋体" w:cs="Times New Roman"/>
                <w:b w:val="0"/>
                <w:bCs w:val="0"/>
                <w:kern w:val="2"/>
                <w:sz w:val="24"/>
                <w:szCs w:val="24"/>
                <w:lang w:val="en-US" w:eastAsia="zh-CN" w:bidi="ar-SA"/>
              </w:rPr>
              <w:t>检测》（ZCFQ2025120414-01），检测报告监测期间，企业锅炉正常运行，SO</w:t>
            </w:r>
            <w:r>
              <w:rPr>
                <w:rFonts w:hint="default" w:ascii="Times New Roman" w:hAnsi="Times New Roman" w:eastAsia="宋体" w:cs="Times New Roman"/>
                <w:b w:val="0"/>
                <w:bCs w:val="0"/>
                <w:kern w:val="2"/>
                <w:sz w:val="24"/>
                <w:szCs w:val="24"/>
                <w:vertAlign w:val="subscript"/>
                <w:lang w:val="en-US" w:eastAsia="zh-CN" w:bidi="ar-SA"/>
              </w:rPr>
              <w:t>2</w:t>
            </w:r>
            <w:r>
              <w:rPr>
                <w:rFonts w:hint="default" w:ascii="Times New Roman" w:hAnsi="Times New Roman" w:eastAsia="宋体" w:cs="Times New Roman"/>
                <w:b w:val="0"/>
                <w:bCs w:val="0"/>
                <w:kern w:val="2"/>
                <w:sz w:val="24"/>
                <w:szCs w:val="24"/>
                <w:lang w:val="en-US" w:eastAsia="zh-CN" w:bidi="ar-SA"/>
              </w:rPr>
              <w:t>为未检出，本项目以检出限来计算。SO</w:t>
            </w:r>
            <w:r>
              <w:rPr>
                <w:rFonts w:hint="default" w:ascii="Times New Roman" w:hAnsi="Times New Roman" w:eastAsia="宋体" w:cs="Times New Roman"/>
                <w:b w:val="0"/>
                <w:bCs w:val="0"/>
                <w:kern w:val="2"/>
                <w:sz w:val="24"/>
                <w:szCs w:val="24"/>
                <w:vertAlign w:val="subscript"/>
                <w:lang w:val="en-US" w:eastAsia="zh-CN" w:bidi="ar-SA"/>
              </w:rPr>
              <w:t>2</w:t>
            </w:r>
            <w:r>
              <w:rPr>
                <w:rFonts w:hint="default" w:ascii="Times New Roman" w:hAnsi="Times New Roman" w:eastAsia="宋体" w:cs="Times New Roman"/>
                <w:b w:val="0"/>
                <w:bCs w:val="0"/>
                <w:kern w:val="2"/>
                <w:sz w:val="24"/>
                <w:szCs w:val="24"/>
                <w:lang w:val="en-US" w:eastAsia="zh-CN" w:bidi="ar-SA"/>
              </w:rPr>
              <w:t>出口浓度为3mg/m</w:t>
            </w:r>
            <w:r>
              <w:rPr>
                <w:rFonts w:hint="default" w:ascii="Times New Roman" w:hAnsi="Times New Roman" w:eastAsia="宋体" w:cs="Times New Roman"/>
                <w:b w:val="0"/>
                <w:bCs w:val="0"/>
                <w:kern w:val="2"/>
                <w:sz w:val="24"/>
                <w:szCs w:val="24"/>
                <w:vertAlign w:val="superscript"/>
                <w:lang w:val="en-US" w:eastAsia="zh-CN" w:bidi="ar-SA"/>
              </w:rPr>
              <w:t>3</w:t>
            </w:r>
            <w:r>
              <w:rPr>
                <w:rFonts w:hint="default" w:ascii="Times New Roman" w:hAnsi="Times New Roman" w:eastAsia="宋体" w:cs="Times New Roman"/>
                <w:b w:val="0"/>
                <w:bCs w:val="0"/>
                <w:kern w:val="2"/>
                <w:sz w:val="24"/>
                <w:szCs w:val="24"/>
                <w:lang w:val="en-US" w:eastAsia="zh-CN" w:bidi="ar-SA"/>
              </w:rPr>
              <w:t>，排放速率0.0</w:t>
            </w:r>
            <w:r>
              <w:rPr>
                <w:rFonts w:hint="eastAsia" w:ascii="Times New Roman" w:hAnsi="Times New Roman" w:eastAsia="宋体" w:cs="Times New Roman"/>
                <w:b w:val="0"/>
                <w:bCs w:val="0"/>
                <w:kern w:val="2"/>
                <w:sz w:val="24"/>
                <w:szCs w:val="24"/>
                <w:lang w:val="en-US" w:eastAsia="zh-CN" w:bidi="ar-SA"/>
              </w:rPr>
              <w:t>034</w:t>
            </w:r>
            <w:r>
              <w:rPr>
                <w:rFonts w:hint="default" w:ascii="Times New Roman" w:hAnsi="Times New Roman" w:eastAsia="宋体" w:cs="Times New Roman"/>
                <w:b w:val="0"/>
                <w:bCs w:val="0"/>
                <w:kern w:val="2"/>
                <w:sz w:val="24"/>
                <w:szCs w:val="24"/>
                <w:lang w:val="en-US" w:eastAsia="zh-CN" w:bidi="ar-SA"/>
              </w:rPr>
              <w:t>kg/h，可计算出燃气锅炉SO</w:t>
            </w:r>
            <w:r>
              <w:rPr>
                <w:rFonts w:hint="default" w:ascii="Times New Roman" w:hAnsi="Times New Roman" w:eastAsia="宋体" w:cs="Times New Roman"/>
                <w:b w:val="0"/>
                <w:bCs w:val="0"/>
                <w:kern w:val="2"/>
                <w:sz w:val="24"/>
                <w:szCs w:val="24"/>
                <w:vertAlign w:val="subscript"/>
                <w:lang w:val="en-US" w:eastAsia="zh-CN" w:bidi="ar-SA"/>
              </w:rPr>
              <w:t>2</w:t>
            </w:r>
            <w:r>
              <w:rPr>
                <w:rFonts w:hint="default" w:ascii="Times New Roman" w:hAnsi="Times New Roman" w:eastAsia="宋体" w:cs="Times New Roman"/>
                <w:b w:val="0"/>
                <w:bCs w:val="0"/>
                <w:kern w:val="2"/>
                <w:sz w:val="24"/>
                <w:szCs w:val="24"/>
                <w:lang w:val="en-US" w:eastAsia="zh-CN" w:bidi="ar-SA"/>
              </w:rPr>
              <w:t>的排放量为0.</w:t>
            </w:r>
            <w:r>
              <w:rPr>
                <w:rFonts w:hint="eastAsia" w:ascii="Times New Roman" w:hAnsi="Times New Roman" w:eastAsia="宋体" w:cs="Times New Roman"/>
                <w:b w:val="0"/>
                <w:bCs w:val="0"/>
                <w:kern w:val="2"/>
                <w:sz w:val="24"/>
                <w:szCs w:val="24"/>
                <w:lang w:val="en-US" w:eastAsia="zh-CN" w:bidi="ar-SA"/>
              </w:rPr>
              <w:t>2</w:t>
            </w:r>
            <w:r>
              <w:rPr>
                <w:rFonts w:hint="default" w:ascii="Times New Roman" w:hAnsi="Times New Roman" w:eastAsia="宋体" w:cs="Times New Roman"/>
                <w:b w:val="0"/>
                <w:bCs w:val="0"/>
                <w:kern w:val="2"/>
                <w:sz w:val="24"/>
                <w:szCs w:val="24"/>
                <w:lang w:val="en-US" w:eastAsia="zh-CN" w:bidi="ar-SA"/>
              </w:rPr>
              <w:t>t/a，通过</w:t>
            </w:r>
            <w:r>
              <w:rPr>
                <w:rFonts w:hint="eastAsia" w:ascii="Times New Roman" w:hAnsi="Times New Roman" w:eastAsia="宋体" w:cs="Times New Roman"/>
                <w:b w:val="0"/>
                <w:bCs w:val="0"/>
                <w:kern w:val="2"/>
                <w:sz w:val="24"/>
                <w:szCs w:val="24"/>
                <w:lang w:val="en-US" w:eastAsia="zh-CN" w:bidi="ar-SA"/>
              </w:rPr>
              <w:t>8</w:t>
            </w:r>
            <w:r>
              <w:rPr>
                <w:rFonts w:hint="default" w:ascii="Times New Roman" w:hAnsi="Times New Roman" w:eastAsia="宋体" w:cs="Times New Roman"/>
                <w:b w:val="0"/>
                <w:bCs w:val="0"/>
                <w:kern w:val="2"/>
                <w:sz w:val="24"/>
                <w:szCs w:val="24"/>
                <w:lang w:val="en-US" w:eastAsia="zh-CN" w:bidi="ar-SA"/>
              </w:rPr>
              <w:t>m高排气</w:t>
            </w:r>
            <w:r>
              <w:rPr>
                <w:rFonts w:hint="eastAsia" w:cs="Times New Roman"/>
                <w:b w:val="0"/>
                <w:bCs w:val="0"/>
                <w:kern w:val="2"/>
                <w:sz w:val="24"/>
                <w:szCs w:val="24"/>
                <w:lang w:val="en-US" w:eastAsia="zh-CN" w:bidi="ar-SA"/>
              </w:rPr>
              <w:t>（DA009）</w:t>
            </w:r>
            <w:r>
              <w:rPr>
                <w:rFonts w:hint="default" w:ascii="Times New Roman" w:hAnsi="Times New Roman" w:eastAsia="宋体" w:cs="Times New Roman"/>
                <w:b w:val="0"/>
                <w:bCs w:val="0"/>
                <w:kern w:val="2"/>
                <w:sz w:val="24"/>
                <w:szCs w:val="24"/>
                <w:lang w:val="en-US" w:eastAsia="zh-CN" w:bidi="ar-SA"/>
              </w:rPr>
              <w:t>筒排放。</w:t>
            </w:r>
          </w:p>
          <w:p w14:paraId="6D4D84C2">
            <w:pPr>
              <w:keepNext w:val="0"/>
              <w:keepLines w:val="0"/>
              <w:pageBreakBefore w:val="0"/>
              <w:widowControl w:val="0"/>
              <w:kinsoku/>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④</w:t>
            </w:r>
            <w:r>
              <w:rPr>
                <w:rFonts w:hint="default" w:ascii="Times New Roman" w:hAnsi="Times New Roman" w:eastAsia="宋体" w:cs="Times New Roman"/>
                <w:b w:val="0"/>
                <w:bCs w:val="0"/>
                <w:kern w:val="2"/>
                <w:sz w:val="24"/>
                <w:szCs w:val="24"/>
                <w:lang w:val="en-US" w:eastAsia="zh-CN" w:bidi="ar-SA"/>
              </w:rPr>
              <w:t>NO</w:t>
            </w:r>
            <w:r>
              <w:rPr>
                <w:rFonts w:hint="default" w:ascii="Times New Roman" w:hAnsi="Times New Roman" w:eastAsia="宋体" w:cs="Times New Roman"/>
                <w:b w:val="0"/>
                <w:bCs w:val="0"/>
                <w:kern w:val="2"/>
                <w:sz w:val="24"/>
                <w:szCs w:val="24"/>
                <w:vertAlign w:val="subscript"/>
                <w:lang w:val="en-US" w:eastAsia="zh-CN" w:bidi="ar-SA"/>
              </w:rPr>
              <w:t>x</w:t>
            </w:r>
          </w:p>
          <w:p w14:paraId="2D1556C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240" w:firstLineChars="100"/>
              <w:jc w:val="both"/>
              <w:textAlignment w:val="baseline"/>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根据</w:t>
            </w:r>
            <w:r>
              <w:rPr>
                <w:rFonts w:hint="eastAsia" w:ascii="Times New Roman" w:hAnsi="Times New Roman" w:eastAsia="宋体" w:cs="Times New Roman"/>
                <w:b w:val="0"/>
                <w:bCs w:val="0"/>
                <w:kern w:val="2"/>
                <w:sz w:val="24"/>
                <w:szCs w:val="24"/>
                <w:lang w:val="en-US" w:eastAsia="zh-CN" w:bidi="ar-SA"/>
              </w:rPr>
              <w:t>新疆中测测试有限责任公司出具的</w:t>
            </w:r>
            <w:r>
              <w:rPr>
                <w:rFonts w:hint="default" w:ascii="Times New Roman" w:hAnsi="Times New Roman" w:eastAsia="宋体"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新疆同芃生物科技有限公司有组织废气</w:t>
            </w:r>
            <w:r>
              <w:rPr>
                <w:rFonts w:hint="default" w:ascii="Times New Roman" w:hAnsi="Times New Roman" w:eastAsia="宋体" w:cs="Times New Roman"/>
                <w:b w:val="0"/>
                <w:bCs w:val="0"/>
                <w:kern w:val="2"/>
                <w:sz w:val="24"/>
                <w:szCs w:val="24"/>
                <w:lang w:val="en-US" w:eastAsia="zh-CN" w:bidi="ar-SA"/>
              </w:rPr>
              <w:t>检测》（ZCFQ2025120414-01），检测报告监测期间，企业锅炉正常运行，锅炉NO</w:t>
            </w:r>
            <w:r>
              <w:rPr>
                <w:rFonts w:hint="default" w:ascii="Times New Roman" w:hAnsi="Times New Roman" w:eastAsia="宋体" w:cs="Times New Roman"/>
                <w:b w:val="0"/>
                <w:bCs w:val="0"/>
                <w:kern w:val="2"/>
                <w:sz w:val="24"/>
                <w:szCs w:val="24"/>
                <w:vertAlign w:val="subscript"/>
                <w:lang w:val="en-US" w:eastAsia="zh-CN" w:bidi="ar-SA"/>
              </w:rPr>
              <w:t>x</w:t>
            </w:r>
            <w:r>
              <w:rPr>
                <w:rFonts w:hint="eastAsia" w:ascii="Times New Roman" w:hAnsi="Times New Roman" w:eastAsia="宋体" w:cs="Times New Roman"/>
                <w:b w:val="0"/>
                <w:bCs w:val="0"/>
                <w:kern w:val="2"/>
                <w:sz w:val="24"/>
                <w:szCs w:val="24"/>
                <w:lang w:val="en-US" w:eastAsia="zh-CN" w:bidi="ar-SA"/>
              </w:rPr>
              <w:t>最大</w:t>
            </w:r>
            <w:r>
              <w:rPr>
                <w:rFonts w:hint="default" w:ascii="Times New Roman" w:hAnsi="Times New Roman" w:eastAsia="宋体" w:cs="Times New Roman"/>
                <w:b w:val="0"/>
                <w:bCs w:val="0"/>
                <w:kern w:val="2"/>
                <w:sz w:val="24"/>
                <w:szCs w:val="24"/>
                <w:lang w:val="en-US" w:eastAsia="zh-CN" w:bidi="ar-SA"/>
              </w:rPr>
              <w:t>浓度为</w:t>
            </w:r>
            <w:r>
              <w:rPr>
                <w:rFonts w:hint="eastAsia" w:ascii="Times New Roman" w:hAnsi="Times New Roman" w:eastAsia="宋体" w:cs="Times New Roman"/>
                <w:b w:val="0"/>
                <w:bCs w:val="0"/>
                <w:kern w:val="2"/>
                <w:sz w:val="24"/>
                <w:szCs w:val="24"/>
                <w:lang w:val="en-US" w:eastAsia="zh-CN" w:bidi="ar-SA"/>
              </w:rPr>
              <w:t>45.66</w:t>
            </w:r>
            <w:r>
              <w:rPr>
                <w:rFonts w:hint="default" w:ascii="Times New Roman" w:hAnsi="Times New Roman" w:eastAsia="宋体" w:cs="Times New Roman"/>
                <w:b w:val="0"/>
                <w:bCs w:val="0"/>
                <w:kern w:val="2"/>
                <w:sz w:val="24"/>
                <w:szCs w:val="24"/>
                <w:lang w:val="en-US" w:eastAsia="zh-CN" w:bidi="ar-SA"/>
              </w:rPr>
              <w:t>mg/m</w:t>
            </w:r>
            <w:r>
              <w:rPr>
                <w:rFonts w:hint="default" w:ascii="Times New Roman" w:hAnsi="Times New Roman" w:eastAsia="宋体" w:cs="Times New Roman"/>
                <w:b w:val="0"/>
                <w:bCs w:val="0"/>
                <w:kern w:val="2"/>
                <w:sz w:val="24"/>
                <w:szCs w:val="24"/>
                <w:vertAlign w:val="superscript"/>
                <w:lang w:val="en-US" w:eastAsia="zh-CN" w:bidi="ar-SA"/>
              </w:rPr>
              <w:t>3</w:t>
            </w:r>
            <w:r>
              <w:rPr>
                <w:rFonts w:hint="default" w:ascii="Times New Roman" w:hAnsi="Times New Roman" w:eastAsia="宋体" w:cs="Times New Roman"/>
                <w:b w:val="0"/>
                <w:bCs w:val="0"/>
                <w:kern w:val="2"/>
                <w:sz w:val="24"/>
                <w:szCs w:val="24"/>
                <w:lang w:val="en-US" w:eastAsia="zh-CN" w:bidi="ar-SA"/>
              </w:rPr>
              <w:t>，排放速率</w:t>
            </w:r>
            <w:r>
              <w:rPr>
                <w:rFonts w:hint="eastAsia" w:ascii="Times New Roman" w:hAnsi="Times New Roman" w:eastAsia="宋体" w:cs="Times New Roman"/>
                <w:b w:val="0"/>
                <w:bCs w:val="0"/>
                <w:kern w:val="2"/>
                <w:sz w:val="24"/>
                <w:szCs w:val="24"/>
                <w:lang w:val="en-US" w:eastAsia="zh-CN" w:bidi="ar-SA"/>
              </w:rPr>
              <w:t>0.42</w:t>
            </w:r>
            <w:r>
              <w:rPr>
                <w:rFonts w:hint="default" w:ascii="Times New Roman" w:hAnsi="Times New Roman" w:eastAsia="宋体" w:cs="Times New Roman"/>
                <w:b w:val="0"/>
                <w:bCs w:val="0"/>
                <w:kern w:val="2"/>
                <w:sz w:val="24"/>
                <w:szCs w:val="24"/>
                <w:lang w:val="en-US" w:eastAsia="zh-CN" w:bidi="ar-SA"/>
              </w:rPr>
              <w:t>kg/h，可计算出NO</w:t>
            </w:r>
            <w:r>
              <w:rPr>
                <w:rFonts w:hint="default" w:ascii="Times New Roman" w:hAnsi="Times New Roman" w:eastAsia="宋体" w:cs="Times New Roman"/>
                <w:b w:val="0"/>
                <w:bCs w:val="0"/>
                <w:kern w:val="2"/>
                <w:sz w:val="24"/>
                <w:szCs w:val="24"/>
                <w:vertAlign w:val="subscript"/>
                <w:lang w:val="en-US" w:eastAsia="zh-CN" w:bidi="ar-SA"/>
              </w:rPr>
              <w:t>x</w:t>
            </w:r>
            <w:r>
              <w:rPr>
                <w:rFonts w:hint="default" w:ascii="Times New Roman" w:hAnsi="Times New Roman" w:eastAsia="宋体" w:cs="Times New Roman"/>
                <w:b w:val="0"/>
                <w:bCs w:val="0"/>
                <w:kern w:val="2"/>
                <w:sz w:val="24"/>
                <w:szCs w:val="24"/>
                <w:lang w:val="en-US" w:eastAsia="zh-CN" w:bidi="ar-SA"/>
              </w:rPr>
              <w:t>的排放量</w:t>
            </w:r>
            <w:r>
              <w:rPr>
                <w:rFonts w:hint="eastAsia" w:cs="Times New Roman"/>
                <w:b w:val="0"/>
                <w:bCs w:val="0"/>
                <w:kern w:val="2"/>
                <w:sz w:val="24"/>
                <w:szCs w:val="24"/>
                <w:lang w:val="en-US" w:eastAsia="zh-CN" w:bidi="ar-SA"/>
              </w:rPr>
              <w:t>（DA009）</w:t>
            </w:r>
            <w:r>
              <w:rPr>
                <w:rFonts w:hint="default" w:ascii="Times New Roman" w:hAnsi="Times New Roman" w:eastAsia="宋体" w:cs="Times New Roman"/>
                <w:b w:val="0"/>
                <w:bCs w:val="0"/>
                <w:kern w:val="2"/>
                <w:sz w:val="24"/>
                <w:szCs w:val="24"/>
                <w:lang w:val="en-US" w:eastAsia="zh-CN" w:bidi="ar-SA"/>
              </w:rPr>
              <w:t>为</w:t>
            </w:r>
            <w:r>
              <w:rPr>
                <w:rFonts w:hint="eastAsia" w:ascii="Times New Roman" w:hAnsi="Times New Roman" w:eastAsia="宋体" w:cs="Times New Roman"/>
                <w:b w:val="0"/>
                <w:bCs w:val="0"/>
                <w:kern w:val="2"/>
                <w:sz w:val="24"/>
                <w:szCs w:val="24"/>
                <w:lang w:val="en-US" w:eastAsia="zh-CN" w:bidi="ar-SA"/>
              </w:rPr>
              <w:t>3.03</w:t>
            </w:r>
            <w:r>
              <w:rPr>
                <w:rFonts w:hint="default" w:ascii="Times New Roman" w:hAnsi="Times New Roman" w:eastAsia="宋体" w:cs="Times New Roman"/>
                <w:b w:val="0"/>
                <w:bCs w:val="0"/>
                <w:kern w:val="2"/>
                <w:sz w:val="24"/>
                <w:szCs w:val="24"/>
                <w:lang w:val="en-US" w:eastAsia="zh-CN" w:bidi="ar-SA"/>
              </w:rPr>
              <w:t>t/a</w:t>
            </w:r>
            <w:r>
              <w:rPr>
                <w:rFonts w:hint="eastAsia" w:ascii="Times New Roman" w:hAnsi="Times New Roman" w:eastAsia="宋体" w:cs="Times New Roman"/>
                <w:b w:val="0"/>
                <w:bCs w:val="0"/>
                <w:kern w:val="2"/>
                <w:sz w:val="24"/>
                <w:szCs w:val="24"/>
                <w:lang w:val="en-US" w:eastAsia="zh-CN" w:bidi="ar-SA"/>
              </w:rPr>
              <w:t>，</w:t>
            </w:r>
            <w:r>
              <w:rPr>
                <w:rFonts w:hint="default" w:ascii="Times New Roman" w:hAnsi="Times New Roman" w:eastAsia="宋体" w:cs="Times New Roman"/>
                <w:b w:val="0"/>
                <w:bCs w:val="0"/>
                <w:kern w:val="2"/>
                <w:sz w:val="24"/>
                <w:szCs w:val="24"/>
                <w:lang w:val="en-US" w:eastAsia="zh-CN" w:bidi="ar-SA"/>
              </w:rPr>
              <w:t>通过</w:t>
            </w:r>
            <w:r>
              <w:rPr>
                <w:rFonts w:hint="eastAsia" w:ascii="Times New Roman" w:hAnsi="Times New Roman" w:eastAsia="宋体" w:cs="Times New Roman"/>
                <w:b w:val="0"/>
                <w:bCs w:val="0"/>
                <w:kern w:val="2"/>
                <w:sz w:val="24"/>
                <w:szCs w:val="24"/>
                <w:lang w:val="en-US" w:eastAsia="zh-CN" w:bidi="ar-SA"/>
              </w:rPr>
              <w:t>8</w:t>
            </w:r>
            <w:r>
              <w:rPr>
                <w:rFonts w:hint="default" w:ascii="Times New Roman" w:hAnsi="Times New Roman" w:eastAsia="宋体" w:cs="Times New Roman"/>
                <w:b w:val="0"/>
                <w:bCs w:val="0"/>
                <w:kern w:val="2"/>
                <w:sz w:val="24"/>
                <w:szCs w:val="24"/>
                <w:lang w:val="en-US" w:eastAsia="zh-CN" w:bidi="ar-SA"/>
              </w:rPr>
              <w:t>m高排气筒排放</w:t>
            </w:r>
            <w:r>
              <w:rPr>
                <w:rFonts w:hint="eastAsia" w:ascii="Times New Roman" w:hAnsi="Times New Roman" w:eastAsia="宋体" w:cs="Times New Roman"/>
                <w:b w:val="0"/>
                <w:bCs w:val="0"/>
                <w:kern w:val="2"/>
                <w:sz w:val="24"/>
                <w:szCs w:val="24"/>
                <w:lang w:val="en-US" w:eastAsia="zh-CN" w:bidi="ar-SA"/>
              </w:rPr>
              <w:t>DA009</w:t>
            </w:r>
            <w:r>
              <w:rPr>
                <w:rFonts w:hint="default" w:ascii="Times New Roman" w:hAnsi="Times New Roman" w:eastAsia="宋体" w:cs="Times New Roman"/>
                <w:b w:val="0"/>
                <w:bCs w:val="0"/>
                <w:kern w:val="2"/>
                <w:sz w:val="24"/>
                <w:szCs w:val="24"/>
                <w:lang w:val="en-US" w:eastAsia="zh-CN" w:bidi="ar-SA"/>
              </w:rPr>
              <w:t>。</w:t>
            </w:r>
          </w:p>
          <w:p w14:paraId="40CFF441">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right="0"/>
              <w:jc w:val="left"/>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1.2 无组织</w:t>
            </w:r>
            <w:r>
              <w:rPr>
                <w:rFonts w:hint="default" w:ascii="Times New Roman" w:hAnsi="Times New Roman" w:eastAsia="宋体" w:cs="Times New Roman"/>
                <w:b/>
                <w:bCs/>
                <w:color w:val="auto"/>
                <w:sz w:val="24"/>
                <w:szCs w:val="24"/>
                <w:lang w:val="en-US" w:eastAsia="zh-CN"/>
              </w:rPr>
              <w:t>废气</w:t>
            </w:r>
          </w:p>
          <w:p w14:paraId="394E25B4">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ascii="Times New Roman" w:hAnsi="Times New Roman" w:eastAsia="宋体" w:cs="Times New Roman"/>
                <w:b w:val="0"/>
                <w:bCs w:val="0"/>
                <w:kern w:val="2"/>
                <w:sz w:val="24"/>
                <w:szCs w:val="24"/>
                <w:lang w:val="en-US" w:eastAsia="zh-CN"/>
              </w:rPr>
              <w:t>（1）</w:t>
            </w:r>
            <w:r>
              <w:rPr>
                <w:rFonts w:hint="default" w:ascii="Times New Roman" w:hAnsi="Times New Roman" w:eastAsia="宋体" w:cs="Times New Roman"/>
                <w:b w:val="0"/>
                <w:bCs w:val="0"/>
                <w:kern w:val="2"/>
                <w:sz w:val="24"/>
                <w:szCs w:val="24"/>
                <w:lang w:val="en-US" w:eastAsia="zh-CN"/>
              </w:rPr>
              <w:t>车辆尾气</w:t>
            </w:r>
          </w:p>
          <w:p w14:paraId="39D4C2B3">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left="0" w:leftChars="0" w:right="0" w:firstLine="480" w:firstLineChars="200"/>
              <w:textAlignment w:val="auto"/>
              <w:rPr>
                <w:rFonts w:hint="default"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sz w:val="24"/>
                <w:szCs w:val="24"/>
                <w:lang w:val="en-US" w:eastAsia="zh-CN"/>
              </w:rPr>
              <w:t>本项目运营期间有运输车辆进入，将会产生少量汽车尾气，由于汽车启动时间较短，废气量产生较小，且厂区通风性能良好，故汽车尾气排放对周围环境影响较小。</w:t>
            </w:r>
          </w:p>
          <w:p w14:paraId="68430652">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ascii="Times New Roman" w:hAnsi="Times New Roman" w:eastAsia="宋体" w:cs="Times New Roman"/>
                <w:b w:val="0"/>
                <w:bCs w:val="0"/>
                <w:kern w:val="2"/>
                <w:sz w:val="24"/>
                <w:szCs w:val="24"/>
                <w:lang w:val="en-US" w:eastAsia="zh-CN"/>
              </w:rPr>
              <w:t>（2）</w:t>
            </w:r>
            <w:r>
              <w:rPr>
                <w:rFonts w:hint="default" w:ascii="Times New Roman" w:hAnsi="Times New Roman" w:eastAsia="宋体" w:cs="Times New Roman"/>
                <w:b w:val="0"/>
                <w:bCs w:val="0"/>
                <w:kern w:val="2"/>
                <w:sz w:val="24"/>
                <w:szCs w:val="24"/>
                <w:lang w:val="en-US" w:eastAsia="zh-CN"/>
              </w:rPr>
              <w:t>污水处理站恶臭</w:t>
            </w:r>
          </w:p>
          <w:p w14:paraId="098B217C">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Lines="0" w:beforeAutospacing="0" w:afterLines="0" w:afterAutospacing="0" w:line="360" w:lineRule="auto"/>
              <w:ind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本项目废气</w:t>
            </w:r>
            <w:r>
              <w:rPr>
                <w:rFonts w:hint="default" w:ascii="Times New Roman" w:hAnsi="Times New Roman" w:eastAsia="宋体" w:cs="Times New Roman"/>
                <w:b w:val="0"/>
                <w:bCs w:val="0"/>
                <w:kern w:val="2"/>
                <w:sz w:val="24"/>
                <w:szCs w:val="24"/>
                <w:lang w:val="en-US" w:eastAsia="zh-CN"/>
              </w:rPr>
              <w:t>主要</w:t>
            </w:r>
            <w:r>
              <w:rPr>
                <w:rFonts w:hint="default" w:ascii="Times New Roman" w:hAnsi="Times New Roman" w:eastAsia="宋体" w:cs="Times New Roman"/>
                <w:color w:val="auto"/>
                <w:kern w:val="0"/>
                <w:sz w:val="24"/>
                <w:lang w:bidi="ar"/>
              </w:rPr>
              <w:t>为污水处理工艺运行过程中产生的恶臭污染物，以NH</w:t>
            </w:r>
            <w:r>
              <w:rPr>
                <w:rFonts w:hint="default" w:ascii="Times New Roman" w:hAnsi="Times New Roman" w:eastAsia="宋体" w:cs="Times New Roman"/>
                <w:color w:val="auto"/>
                <w:kern w:val="0"/>
                <w:sz w:val="24"/>
                <w:vertAlign w:val="subscript"/>
                <w:lang w:bidi="ar"/>
              </w:rPr>
              <w:t>3</w:t>
            </w:r>
            <w:r>
              <w:rPr>
                <w:rFonts w:hint="default" w:ascii="Times New Roman" w:hAnsi="Times New Roman" w:eastAsia="宋体" w:cs="Times New Roman"/>
                <w:color w:val="auto"/>
                <w:kern w:val="0"/>
                <w:sz w:val="24"/>
                <w:lang w:bidi="ar"/>
              </w:rPr>
              <w:t>和H</w:t>
            </w:r>
            <w:r>
              <w:rPr>
                <w:rFonts w:hint="default" w:ascii="Times New Roman" w:hAnsi="Times New Roman" w:eastAsia="宋体" w:cs="Times New Roman"/>
                <w:color w:val="auto"/>
                <w:kern w:val="0"/>
                <w:sz w:val="24"/>
                <w:vertAlign w:val="subscript"/>
                <w:lang w:bidi="ar"/>
              </w:rPr>
              <w:t>2</w:t>
            </w:r>
            <w:r>
              <w:rPr>
                <w:rFonts w:hint="default" w:ascii="Times New Roman" w:hAnsi="Times New Roman" w:eastAsia="宋体" w:cs="Times New Roman"/>
                <w:color w:val="auto"/>
                <w:kern w:val="0"/>
                <w:sz w:val="24"/>
                <w:lang w:bidi="ar"/>
              </w:rPr>
              <w:t>S为主。</w:t>
            </w:r>
          </w:p>
          <w:p w14:paraId="3DA55B57">
            <w:pPr>
              <w:pStyle w:val="43"/>
              <w:keepNext w:val="0"/>
              <w:keepLines w:val="0"/>
              <w:pageBreakBefore w:val="0"/>
              <w:kinsoku/>
              <w:wordWrap/>
              <w:overflowPunct/>
              <w:topLinePunct w:val="0"/>
              <w:autoSpaceDE/>
              <w:autoSpaceDN/>
              <w:bidi w:val="0"/>
              <w:adjustRightInd w:val="0"/>
              <w:snapToGrid w:val="0"/>
              <w:spacing w:after="0"/>
              <w:textAlignment w:val="auto"/>
              <w:rPr>
                <w:szCs w:val="24"/>
              </w:rPr>
            </w:pPr>
            <w:r>
              <w:rPr>
                <w:rFonts w:hint="default" w:ascii="Times New Roman" w:hAnsi="Times New Roman" w:eastAsia="宋体" w:cs="Times New Roman"/>
                <w:color w:val="auto"/>
                <w:sz w:val="24"/>
              </w:rPr>
              <w:t>污水处理设施采用</w:t>
            </w:r>
            <w:r>
              <w:rPr>
                <w:rFonts w:hint="eastAsia" w:cs="Times New Roman"/>
                <w:color w:val="auto"/>
                <w:sz w:val="24"/>
                <w:highlight w:val="none"/>
                <w:lang w:eastAsia="zh-CN"/>
              </w:rPr>
              <w:t>“</w:t>
            </w:r>
            <w:r>
              <w:rPr>
                <w:rFonts w:hint="eastAsia" w:cs="Times New Roman"/>
                <w:color w:val="auto"/>
                <w:sz w:val="24"/>
                <w:highlight w:val="none"/>
                <w:lang w:val="en-US" w:eastAsia="zh-CN"/>
              </w:rPr>
              <w:t>隔油+调节+二级气浮+SBR+厌氧”，</w:t>
            </w:r>
            <w:r>
              <w:rPr>
                <w:rFonts w:hint="eastAsia" w:ascii="Times New Roman" w:eastAsia="宋体"/>
                <w:sz w:val="24"/>
                <w:lang w:val="en-US" w:eastAsia="zh-CN"/>
              </w:rPr>
              <w:t>项目</w:t>
            </w:r>
            <w:r>
              <w:rPr>
                <w:szCs w:val="24"/>
              </w:rPr>
              <w:t>在</w:t>
            </w:r>
            <w:r>
              <w:rPr>
                <w:rFonts w:hint="eastAsia"/>
                <w:szCs w:val="24"/>
                <w:lang w:eastAsia="zh-CN"/>
              </w:rPr>
              <w:t>污水处理站</w:t>
            </w:r>
            <w:r>
              <w:rPr>
                <w:szCs w:val="24"/>
              </w:rPr>
              <w:t>运营过程中，随着微生物、原生动物、菌股团等生物的新陈代谢，会产生</w:t>
            </w:r>
            <w:r>
              <w:rPr>
                <w:rFonts w:hint="eastAsia"/>
                <w:szCs w:val="24"/>
                <w:lang w:eastAsia="zh-CN"/>
              </w:rPr>
              <w:t>恶臭</w:t>
            </w:r>
            <w:r>
              <w:rPr>
                <w:szCs w:val="24"/>
              </w:rPr>
              <w:t>，主要成分为H</w:t>
            </w:r>
            <w:r>
              <w:rPr>
                <w:szCs w:val="24"/>
                <w:vertAlign w:val="subscript"/>
              </w:rPr>
              <w:t>2</w:t>
            </w:r>
            <w:r>
              <w:rPr>
                <w:szCs w:val="24"/>
              </w:rPr>
              <w:t>S、NH</w:t>
            </w:r>
            <w:r>
              <w:rPr>
                <w:szCs w:val="24"/>
                <w:vertAlign w:val="subscript"/>
              </w:rPr>
              <w:t>3</w:t>
            </w:r>
            <w:r>
              <w:rPr>
                <w:szCs w:val="24"/>
              </w:rPr>
              <w:t>。</w:t>
            </w:r>
            <w:r>
              <w:rPr>
                <w:rFonts w:hint="eastAsia"/>
                <w:szCs w:val="24"/>
                <w:lang w:eastAsia="zh-CN"/>
              </w:rPr>
              <w:t>污水处理站</w:t>
            </w:r>
            <w:r>
              <w:rPr>
                <w:szCs w:val="24"/>
              </w:rPr>
              <w:t>的</w:t>
            </w:r>
            <w:r>
              <w:rPr>
                <w:rFonts w:hint="eastAsia"/>
                <w:szCs w:val="24"/>
                <w:lang w:eastAsia="zh-CN"/>
              </w:rPr>
              <w:t>恶臭</w:t>
            </w:r>
            <w:r>
              <w:rPr>
                <w:szCs w:val="24"/>
              </w:rPr>
              <w:t>逸出量大小，受污水量、BOD</w:t>
            </w:r>
            <w:r>
              <w:rPr>
                <w:szCs w:val="24"/>
                <w:vertAlign w:val="subscript"/>
              </w:rPr>
              <w:t>5</w:t>
            </w:r>
            <w:r>
              <w:rPr>
                <w:szCs w:val="24"/>
              </w:rPr>
              <w:t>负荷</w:t>
            </w:r>
            <w:r>
              <w:rPr>
                <w:rFonts w:hint="eastAsia"/>
                <w:szCs w:val="24"/>
                <w:lang w:eastAsia="zh-CN"/>
              </w:rPr>
              <w:t>、</w:t>
            </w:r>
            <w:r>
              <w:rPr>
                <w:szCs w:val="24"/>
              </w:rPr>
              <w:t>污泥量、污泥堆存量、气象特征等多种因素影响。</w:t>
            </w:r>
          </w:p>
          <w:p w14:paraId="5DC835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contextualSpacing/>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本项目污水处理站，采取有效的封闭和除臭处理，</w:t>
            </w:r>
            <w:r>
              <w:rPr>
                <w:rFonts w:hint="eastAsia" w:eastAsia="宋体" w:cs="Times New Roman"/>
                <w:color w:val="auto"/>
                <w:kern w:val="0"/>
                <w:sz w:val="24"/>
                <w:szCs w:val="24"/>
                <w:highlight w:val="none"/>
                <w:lang w:val="en-US" w:eastAsia="zh-CN"/>
              </w:rPr>
              <w:t>目前隔油+调节+</w:t>
            </w:r>
            <w:r>
              <w:rPr>
                <w:rFonts w:hint="eastAsia" w:cs="Times New Roman"/>
                <w:color w:val="auto"/>
                <w:sz w:val="24"/>
                <w:highlight w:val="none"/>
                <w:lang w:val="en-US" w:eastAsia="zh-CN"/>
              </w:rPr>
              <w:t>二级气浮+SBR，除调节池外其余</w:t>
            </w:r>
            <w:r>
              <w:rPr>
                <w:rFonts w:hint="eastAsia" w:eastAsia="宋体" w:cs="Times New Roman"/>
                <w:color w:val="auto"/>
                <w:kern w:val="0"/>
                <w:sz w:val="24"/>
                <w:szCs w:val="24"/>
                <w:highlight w:val="none"/>
                <w:lang w:val="en-US" w:eastAsia="zh-CN"/>
              </w:rPr>
              <w:t>采用罐体形式，无组织废气产生量较小，污水处理站采用喷洒除臭剂+通风方式无组织排放</w:t>
            </w:r>
            <w:r>
              <w:rPr>
                <w:rFonts w:hint="default" w:ascii="Times New Roman" w:hAnsi="Times New Roman" w:eastAsia="宋体" w:cs="Times New Roman"/>
                <w:color w:val="auto"/>
                <w:kern w:val="0"/>
                <w:sz w:val="24"/>
                <w:szCs w:val="24"/>
                <w:highlight w:val="none"/>
                <w:lang w:val="en-US" w:eastAsia="zh-CN"/>
              </w:rPr>
              <w:t>。</w:t>
            </w:r>
          </w:p>
          <w:tbl>
            <w:tblPr>
              <w:tblStyle w:val="22"/>
              <w:tblW w:w="49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8"/>
            </w:tblGrid>
            <w:tr w14:paraId="2952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2" w:hRule="atLeast"/>
              </w:trPr>
              <w:tc>
                <w:tcPr>
                  <w:tcW w:w="5000" w:type="pct"/>
                </w:tcPr>
                <w:p w14:paraId="046DEA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contextualSpacing/>
                    <w:textAlignment w:val="auto"/>
                    <w:rPr>
                      <w:rFonts w:hint="default" w:ascii="Times New Roman" w:hAnsi="Times New Roman" w:eastAsia="宋体" w:cs="Times New Roman"/>
                      <w:color w:val="auto"/>
                      <w:kern w:val="0"/>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vertAlign w:val="baseline"/>
                      <w:lang w:val="en-US" w:eastAsia="zh-CN"/>
                    </w:rPr>
                    <w:drawing>
                      <wp:inline distT="0" distB="0" distL="114300" distR="114300">
                        <wp:extent cx="5554980" cy="4033520"/>
                        <wp:effectExtent l="0" t="0" r="7620" b="5080"/>
                        <wp:docPr id="6" name="图片 6" descr="lQDPJwYPckpD763NBaDNB4Cw0sM3hp2xj0wJZJ6cPCM3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QDPJwYPckpD763NBaDNB4Cw0sM3hp2xj0wJZJ6cPCM3AA_1920_1440"/>
                                <pic:cNvPicPr>
                                  <a:picLocks noChangeAspect="1"/>
                                </pic:cNvPicPr>
                              </pic:nvPicPr>
                              <pic:blipFill>
                                <a:blip r:embed="rId19"/>
                                <a:stretch>
                                  <a:fillRect/>
                                </a:stretch>
                              </pic:blipFill>
                              <pic:spPr>
                                <a:xfrm>
                                  <a:off x="0" y="0"/>
                                  <a:ext cx="5554980" cy="4033520"/>
                                </a:xfrm>
                                <a:prstGeom prst="rect">
                                  <a:avLst/>
                                </a:prstGeom>
                              </pic:spPr>
                            </pic:pic>
                          </a:graphicData>
                        </a:graphic>
                      </wp:inline>
                    </w:drawing>
                  </w:r>
                </w:p>
              </w:tc>
            </w:tr>
            <w:tr w14:paraId="53EE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Pr>
                <w:p w14:paraId="18F466B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contextualSpacing/>
                    <w:jc w:val="center"/>
                    <w:textAlignment w:val="auto"/>
                    <w:rPr>
                      <w:rFonts w:hint="default" w:ascii="Times New Roman" w:hAnsi="Times New Roman" w:eastAsia="宋体" w:cs="Times New Roman"/>
                      <w:color w:val="auto"/>
                      <w:kern w:val="0"/>
                      <w:sz w:val="24"/>
                      <w:szCs w:val="24"/>
                      <w:highlight w:val="none"/>
                      <w:vertAlign w:val="baseline"/>
                      <w:lang w:val="en-US" w:eastAsia="zh-CN"/>
                    </w:rPr>
                  </w:pPr>
                  <w:r>
                    <w:rPr>
                      <w:rFonts w:hint="eastAsia" w:eastAsia="宋体" w:cs="Times New Roman"/>
                      <w:color w:val="auto"/>
                      <w:kern w:val="0"/>
                      <w:sz w:val="24"/>
                      <w:szCs w:val="24"/>
                      <w:highlight w:val="none"/>
                      <w:vertAlign w:val="baseline"/>
                      <w:lang w:val="en-US" w:eastAsia="zh-CN"/>
                    </w:rPr>
                    <w:t>本项目污水处理站照片</w:t>
                  </w:r>
                </w:p>
              </w:tc>
            </w:tr>
          </w:tbl>
          <w:p w14:paraId="478E6E0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污水处理厂恶臭污染状况分析与评价》（郭静等发表于《中国给水排水》2002年18卷第2期）、《天津市纪庄子污水处理厂恶臭气体排放研究》（王钊、王秀艳、高爽、白志鹏等，环境工程学报，2013年4月）等研究成果，恶臭污染物</w:t>
            </w:r>
            <w:r>
              <w:rPr>
                <w:rFonts w:hint="default" w:ascii="Times New Roman" w:hAnsi="Times New Roman" w:eastAsia="宋体" w:cs="Times New Roman"/>
                <w:color w:val="auto"/>
                <w:sz w:val="24"/>
                <w:highlight w:val="none"/>
              </w:rPr>
              <w:t>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vertAlign w:val="baseline"/>
                <w:lang w:val="en-US" w:eastAsia="zh-CN"/>
              </w:rPr>
              <w:t>和</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val="en-US" w:eastAsia="zh-CN"/>
              </w:rPr>
              <w:t>在各处理单元的排放系数见表</w:t>
            </w:r>
            <w:r>
              <w:rPr>
                <w:rFonts w:hint="eastAsia" w:cs="Times New Roman"/>
                <w:color w:val="auto"/>
                <w:sz w:val="24"/>
                <w:highlight w:val="none"/>
                <w:lang w:val="en-US" w:eastAsia="zh-CN"/>
              </w:rPr>
              <w:t>4-3</w:t>
            </w:r>
            <w:r>
              <w:rPr>
                <w:rFonts w:hint="default" w:ascii="Times New Roman" w:hAnsi="Times New Roman" w:eastAsia="宋体" w:cs="Times New Roman"/>
                <w:color w:val="auto"/>
                <w:sz w:val="24"/>
                <w:highlight w:val="none"/>
                <w:lang w:val="en-US" w:eastAsia="zh-CN"/>
              </w:rPr>
              <w:t>。</w:t>
            </w:r>
          </w:p>
          <w:p w14:paraId="5D777FCE">
            <w:pPr>
              <w:pStyle w:val="43"/>
              <w:spacing w:after="0"/>
              <w:rPr>
                <w:rFonts w:hint="default" w:ascii="Times New Roman" w:hAnsi="Times New Roman" w:cs="Times New Roman"/>
                <w:sz w:val="24"/>
                <w:szCs w:val="24"/>
                <w:lang w:val="en-US" w:eastAsia="zh-CN"/>
              </w:rPr>
            </w:pPr>
            <w:r>
              <w:rPr>
                <w:rFonts w:hint="eastAsia" w:ascii="Times New Roman" w:eastAsia="宋体"/>
                <w:sz w:val="24"/>
                <w:lang w:val="en-US" w:eastAsia="zh-CN"/>
              </w:rPr>
              <w:t>污水处理站臭气污染源强根据《污水泵站的恶臭评价与治理对策》，孟丽红等，环境工程，</w:t>
            </w:r>
            <w:r>
              <w:rPr>
                <w:rFonts w:hint="default"/>
                <w:sz w:val="24"/>
                <w:lang w:val="en-US" w:eastAsia="zh-CN"/>
              </w:rPr>
              <w:t>2012</w:t>
            </w:r>
            <w:r>
              <w:rPr>
                <w:rFonts w:hint="eastAsia" w:ascii="Times New Roman" w:eastAsia="宋体"/>
                <w:sz w:val="24"/>
                <w:lang w:val="en-US" w:eastAsia="zh-CN"/>
              </w:rPr>
              <w:t>年第</w:t>
            </w:r>
            <w:r>
              <w:rPr>
                <w:rFonts w:hint="default"/>
                <w:sz w:val="24"/>
                <w:lang w:val="en-US" w:eastAsia="zh-CN"/>
              </w:rPr>
              <w:t>30</w:t>
            </w:r>
            <w:r>
              <w:rPr>
                <w:rFonts w:hint="eastAsia" w:ascii="Times New Roman" w:eastAsia="宋体"/>
                <w:sz w:val="24"/>
                <w:lang w:val="en-US" w:eastAsia="zh-CN"/>
              </w:rPr>
              <w:t>卷增刊中给出的污水处理构筑物单位面积恶臭污染物排放源强：</w:t>
            </w:r>
            <w:r>
              <w:rPr>
                <w:rFonts w:hint="eastAsia" w:ascii="Times New Roman" w:eastAsia="宋体"/>
                <w:sz w:val="24"/>
                <w:highlight w:val="none"/>
                <w:lang w:val="en-US" w:eastAsia="zh-CN"/>
              </w:rPr>
              <w:t>氨</w:t>
            </w:r>
            <w:r>
              <w:rPr>
                <w:rFonts w:hint="default"/>
                <w:sz w:val="24"/>
                <w:highlight w:val="none"/>
                <w:lang w:val="en-US" w:eastAsia="zh-CN"/>
              </w:rPr>
              <w:t>0.0623mg/s•m</w:t>
            </w:r>
            <w:r>
              <w:rPr>
                <w:rFonts w:hint="default"/>
                <w:sz w:val="24"/>
                <w:highlight w:val="none"/>
                <w:vertAlign w:val="superscript"/>
                <w:lang w:val="en-US" w:eastAsia="zh-CN"/>
              </w:rPr>
              <w:t>2</w:t>
            </w:r>
            <w:r>
              <w:rPr>
                <w:rFonts w:hint="eastAsia" w:ascii="Times New Roman" w:eastAsia="宋体"/>
                <w:sz w:val="24"/>
                <w:highlight w:val="none"/>
                <w:lang w:val="en-US" w:eastAsia="zh-CN"/>
              </w:rPr>
              <w:t>、硫化氢</w:t>
            </w:r>
            <w:r>
              <w:rPr>
                <w:rFonts w:hint="default"/>
                <w:sz w:val="24"/>
                <w:highlight w:val="none"/>
                <w:lang w:val="en-US" w:eastAsia="zh-CN"/>
              </w:rPr>
              <w:t>1.351×10</w:t>
            </w:r>
            <w:r>
              <w:rPr>
                <w:rFonts w:hint="default"/>
                <w:sz w:val="24"/>
                <w:highlight w:val="none"/>
                <w:vertAlign w:val="superscript"/>
                <w:lang w:val="en-US" w:eastAsia="zh-CN"/>
              </w:rPr>
              <w:t>-3</w:t>
            </w:r>
            <w:r>
              <w:rPr>
                <w:rFonts w:hint="default"/>
                <w:sz w:val="24"/>
                <w:highlight w:val="none"/>
                <w:lang w:val="en-US" w:eastAsia="zh-CN"/>
              </w:rPr>
              <w:t>mg/s•m</w:t>
            </w:r>
            <w:r>
              <w:rPr>
                <w:rFonts w:hint="default"/>
                <w:sz w:val="24"/>
                <w:highlight w:val="none"/>
                <w:vertAlign w:val="superscript"/>
                <w:lang w:val="en-US" w:eastAsia="zh-CN"/>
              </w:rPr>
              <w:t>2</w:t>
            </w:r>
            <w:r>
              <w:rPr>
                <w:rFonts w:hint="eastAsia" w:ascii="Times New Roman" w:eastAsia="宋体"/>
                <w:sz w:val="24"/>
                <w:highlight w:val="none"/>
                <w:lang w:val="en-US" w:eastAsia="zh-CN"/>
              </w:rPr>
              <w:t>计算，本项目</w:t>
            </w:r>
            <w:r>
              <w:rPr>
                <w:rFonts w:hint="eastAsia"/>
                <w:sz w:val="24"/>
                <w:highlight w:val="none"/>
                <w:lang w:val="en-US" w:eastAsia="zh-CN"/>
              </w:rPr>
              <w:t>污水处理站整体</w:t>
            </w:r>
            <w:r>
              <w:rPr>
                <w:rFonts w:hint="eastAsia" w:ascii="Times New Roman" w:eastAsia="宋体"/>
                <w:sz w:val="24"/>
                <w:highlight w:val="none"/>
                <w:lang w:val="en-US" w:eastAsia="zh-CN"/>
              </w:rPr>
              <w:t>面积约为</w:t>
            </w:r>
            <w:r>
              <w:rPr>
                <w:rFonts w:hint="eastAsia"/>
                <w:sz w:val="24"/>
                <w:highlight w:val="none"/>
                <w:lang w:val="en-US" w:eastAsia="zh-CN"/>
              </w:rPr>
              <w:t>280</w:t>
            </w:r>
            <w:r>
              <w:rPr>
                <w:rFonts w:hint="default"/>
                <w:sz w:val="24"/>
                <w:highlight w:val="none"/>
                <w:lang w:val="en-US" w:eastAsia="zh-CN"/>
              </w:rPr>
              <w:t>m</w:t>
            </w:r>
            <w:r>
              <w:rPr>
                <w:rFonts w:hint="default"/>
                <w:sz w:val="24"/>
                <w:highlight w:val="none"/>
                <w:vertAlign w:val="superscript"/>
                <w:lang w:val="en-US" w:eastAsia="zh-CN"/>
              </w:rPr>
              <w:t>2</w:t>
            </w:r>
            <w:r>
              <w:rPr>
                <w:rFonts w:hint="eastAsia" w:ascii="Times New Roman" w:eastAsia="宋体"/>
                <w:sz w:val="24"/>
                <w:lang w:val="en-US" w:eastAsia="zh-CN"/>
              </w:rPr>
              <w:t>，</w:t>
            </w:r>
            <w:r>
              <w:rPr>
                <w:rFonts w:hint="eastAsia"/>
                <w:sz w:val="24"/>
                <w:lang w:val="en-US" w:eastAsia="zh-CN"/>
              </w:rPr>
              <w:t>产污情况见表4-8。</w:t>
            </w:r>
          </w:p>
          <w:p w14:paraId="42CF740D">
            <w:pPr>
              <w:pStyle w:val="5"/>
              <w:tabs>
                <w:tab w:val="left" w:pos="2768"/>
                <w:tab w:val="left" w:pos="7348"/>
              </w:tabs>
              <w:spacing w:after="2" w:line="262" w:lineRule="exact"/>
              <w:ind w:left="0" w:leftChars="0" w:firstLine="0" w:firstLineChars="0"/>
              <w:jc w:val="right"/>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 xml:space="preserve">表4-7   </w:t>
            </w:r>
            <w:r>
              <w:rPr>
                <w:rFonts w:hint="eastAsia" w:ascii="黑体" w:hAnsi="黑体" w:eastAsia="黑体" w:cs="黑体"/>
                <w:b w:val="0"/>
                <w:bCs w:val="0"/>
                <w:sz w:val="21"/>
                <w:szCs w:val="21"/>
                <w:highlight w:val="none"/>
              </w:rPr>
              <w:t>污水处理站</w:t>
            </w:r>
            <w:r>
              <w:rPr>
                <w:rFonts w:hint="eastAsia" w:ascii="黑体" w:hAnsi="黑体" w:eastAsia="黑体" w:cs="黑体"/>
                <w:b w:val="0"/>
                <w:bCs w:val="0"/>
                <w:spacing w:val="3"/>
                <w:sz w:val="21"/>
                <w:szCs w:val="21"/>
                <w:highlight w:val="none"/>
              </w:rPr>
              <w:t>各</w:t>
            </w:r>
            <w:r>
              <w:rPr>
                <w:rFonts w:hint="eastAsia" w:ascii="黑体" w:hAnsi="黑体" w:eastAsia="黑体" w:cs="黑体"/>
                <w:b w:val="0"/>
                <w:bCs w:val="0"/>
                <w:sz w:val="21"/>
                <w:szCs w:val="21"/>
                <w:highlight w:val="none"/>
              </w:rPr>
              <w:t>构筑物单位面积产生源强</w:t>
            </w:r>
            <w:r>
              <w:rPr>
                <w:rFonts w:hint="eastAsia" w:ascii="黑体" w:hAnsi="黑体" w:eastAsia="黑体" w:cs="黑体"/>
                <w:b w:val="0"/>
                <w:bCs w:val="0"/>
                <w:sz w:val="21"/>
                <w:szCs w:val="21"/>
                <w:highlight w:val="none"/>
                <w:lang w:val="en-US" w:eastAsia="zh-CN"/>
              </w:rPr>
              <w:t xml:space="preserve">     </w:t>
            </w:r>
            <w:r>
              <w:rPr>
                <w:rFonts w:hint="eastAsia" w:ascii="黑体" w:hAnsi="黑体" w:eastAsia="黑体" w:cs="黑体"/>
                <w:b w:val="0"/>
                <w:bCs w:val="0"/>
                <w:sz w:val="21"/>
                <w:szCs w:val="21"/>
                <w:highlight w:val="none"/>
              </w:rPr>
              <w:t>单位：mg/s·m</w:t>
            </w:r>
            <w:r>
              <w:rPr>
                <w:rFonts w:hint="eastAsia" w:ascii="黑体" w:hAnsi="黑体" w:eastAsia="黑体" w:cs="黑体"/>
                <w:b w:val="0"/>
                <w:bCs w:val="0"/>
                <w:sz w:val="21"/>
                <w:szCs w:val="21"/>
                <w:highlight w:val="none"/>
                <w:vertAlign w:val="superscript"/>
                <w:lang w:val="en-US" w:eastAsia="zh-CN"/>
              </w:rPr>
              <w:t>2</w:t>
            </w:r>
          </w:p>
          <w:tbl>
            <w:tblPr>
              <w:tblStyle w:val="21"/>
              <w:tblW w:w="499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00"/>
              <w:gridCol w:w="833"/>
              <w:gridCol w:w="1380"/>
              <w:gridCol w:w="542"/>
              <w:gridCol w:w="809"/>
              <w:gridCol w:w="1324"/>
              <w:gridCol w:w="778"/>
              <w:gridCol w:w="566"/>
              <w:gridCol w:w="733"/>
              <w:gridCol w:w="734"/>
            </w:tblGrid>
            <w:tr w14:paraId="10C23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23" w:type="pct"/>
                  <w:tcBorders>
                    <w:tl2br w:val="nil"/>
                    <w:tr2bl w:val="nil"/>
                  </w:tcBorders>
                  <w:vAlign w:val="center"/>
                </w:tcPr>
                <w:p w14:paraId="0F54F16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名称</w:t>
                  </w:r>
                </w:p>
              </w:tc>
              <w:tc>
                <w:tcPr>
                  <w:tcW w:w="484" w:type="pct"/>
                  <w:tcBorders>
                    <w:tl2br w:val="nil"/>
                    <w:tr2bl w:val="nil"/>
                  </w:tcBorders>
                  <w:vAlign w:val="center"/>
                </w:tcPr>
                <w:p w14:paraId="10BAC06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污染物名称</w:t>
                  </w:r>
                </w:p>
              </w:tc>
              <w:tc>
                <w:tcPr>
                  <w:tcW w:w="802" w:type="pct"/>
                  <w:tcBorders>
                    <w:tl2br w:val="nil"/>
                    <w:tr2bl w:val="nil"/>
                  </w:tcBorders>
                  <w:vAlign w:val="center"/>
                </w:tcPr>
                <w:p w14:paraId="632B46D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产污系数</w:t>
                  </w:r>
                </w:p>
              </w:tc>
              <w:tc>
                <w:tcPr>
                  <w:tcW w:w="315" w:type="pct"/>
                  <w:tcBorders>
                    <w:tl2br w:val="nil"/>
                    <w:tr2bl w:val="nil"/>
                  </w:tcBorders>
                  <w:vAlign w:val="center"/>
                </w:tcPr>
                <w:p w14:paraId="48DB91F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面积</w:t>
                  </w:r>
                  <w:r>
                    <w:rPr>
                      <w:rFonts w:hint="default"/>
                      <w:b w:val="0"/>
                      <w:bCs/>
                      <w:sz w:val="21"/>
                      <w:szCs w:val="21"/>
                      <w:highlight w:val="none"/>
                      <w:lang w:val="en-US" w:eastAsia="zh-CN"/>
                    </w:rPr>
                    <w:t>m</w:t>
                  </w:r>
                  <w:r>
                    <w:rPr>
                      <w:rFonts w:hint="default"/>
                      <w:b w:val="0"/>
                      <w:bCs/>
                      <w:sz w:val="21"/>
                      <w:szCs w:val="21"/>
                      <w:highlight w:val="none"/>
                      <w:vertAlign w:val="superscript"/>
                      <w:lang w:val="en-US" w:eastAsia="zh-CN"/>
                    </w:rPr>
                    <w:t>2</w:t>
                  </w:r>
                </w:p>
              </w:tc>
              <w:tc>
                <w:tcPr>
                  <w:tcW w:w="470" w:type="pct"/>
                  <w:tcBorders>
                    <w:tl2br w:val="nil"/>
                    <w:tr2bl w:val="nil"/>
                  </w:tcBorders>
                  <w:vAlign w:val="center"/>
                </w:tcPr>
                <w:p w14:paraId="7A49065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产生量</w:t>
                  </w:r>
                </w:p>
                <w:p w14:paraId="4649939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t/a</w:t>
                  </w:r>
                </w:p>
              </w:tc>
              <w:tc>
                <w:tcPr>
                  <w:tcW w:w="769" w:type="pct"/>
                  <w:tcBorders>
                    <w:tl2br w:val="nil"/>
                    <w:tr2bl w:val="nil"/>
                  </w:tcBorders>
                  <w:vAlign w:val="center"/>
                </w:tcPr>
                <w:p w14:paraId="5A53313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处理措施</w:t>
                  </w:r>
                </w:p>
              </w:tc>
              <w:tc>
                <w:tcPr>
                  <w:tcW w:w="452" w:type="pct"/>
                  <w:tcBorders>
                    <w:tl2br w:val="nil"/>
                    <w:tr2bl w:val="nil"/>
                  </w:tcBorders>
                  <w:vAlign w:val="center"/>
                </w:tcPr>
                <w:p w14:paraId="4E18AEC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处理</w:t>
                  </w:r>
                </w:p>
                <w:p w14:paraId="0EF21F3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效率</w:t>
                  </w:r>
                </w:p>
              </w:tc>
              <w:tc>
                <w:tcPr>
                  <w:tcW w:w="329" w:type="pct"/>
                  <w:tcBorders>
                    <w:tl2br w:val="nil"/>
                    <w:tr2bl w:val="nil"/>
                  </w:tcBorders>
                  <w:vAlign w:val="center"/>
                </w:tcPr>
                <w:p w14:paraId="20C1D4B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排放</w:t>
                  </w:r>
                </w:p>
                <w:p w14:paraId="7EF4F63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形式</w:t>
                  </w:r>
                </w:p>
              </w:tc>
              <w:tc>
                <w:tcPr>
                  <w:tcW w:w="426" w:type="pct"/>
                  <w:tcBorders>
                    <w:tl2br w:val="nil"/>
                    <w:tr2bl w:val="nil"/>
                  </w:tcBorders>
                  <w:vAlign w:val="center"/>
                </w:tcPr>
                <w:p w14:paraId="2AD2D8B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排放量</w:t>
                  </w:r>
                  <w:r>
                    <w:rPr>
                      <w:rFonts w:hint="eastAsia" w:cs="Times New Roman"/>
                      <w:b w:val="0"/>
                      <w:bCs/>
                      <w:snapToGrid w:val="0"/>
                      <w:kern w:val="0"/>
                      <w:sz w:val="21"/>
                      <w:szCs w:val="21"/>
                      <w:highlight w:val="none"/>
                      <w:lang w:val="en-US" w:eastAsia="zh-CN"/>
                    </w:rPr>
                    <w:t>t/a</w:t>
                  </w:r>
                </w:p>
              </w:tc>
              <w:tc>
                <w:tcPr>
                  <w:tcW w:w="426" w:type="pct"/>
                  <w:tcBorders>
                    <w:tl2br w:val="nil"/>
                    <w:tr2bl w:val="nil"/>
                  </w:tcBorders>
                  <w:vAlign w:val="center"/>
                </w:tcPr>
                <w:p w14:paraId="44A08B9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cs="Times New Roman"/>
                      <w:b w:val="0"/>
                      <w:bCs/>
                      <w:snapToGrid w:val="0"/>
                      <w:kern w:val="0"/>
                      <w:sz w:val="21"/>
                      <w:szCs w:val="21"/>
                      <w:highlight w:val="none"/>
                      <w:lang w:val="en-US"/>
                    </w:rPr>
                  </w:pPr>
                  <w:r>
                    <w:rPr>
                      <w:rFonts w:hint="eastAsia" w:cs="Times New Roman"/>
                      <w:b w:val="0"/>
                      <w:bCs/>
                      <w:snapToGrid w:val="0"/>
                      <w:kern w:val="0"/>
                      <w:sz w:val="21"/>
                      <w:szCs w:val="21"/>
                      <w:highlight w:val="none"/>
                      <w:lang w:val="en-US" w:eastAsia="zh-CN"/>
                    </w:rPr>
                    <w:t>排放速率kg/h</w:t>
                  </w:r>
                </w:p>
              </w:tc>
            </w:tr>
            <w:tr w14:paraId="047BA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80" w:hRule="atLeast"/>
                <w:jc w:val="center"/>
              </w:trPr>
              <w:tc>
                <w:tcPr>
                  <w:tcW w:w="523" w:type="pct"/>
                  <w:vMerge w:val="restart"/>
                  <w:tcBorders>
                    <w:tl2br w:val="nil"/>
                    <w:tr2bl w:val="nil"/>
                  </w:tcBorders>
                  <w:vAlign w:val="center"/>
                </w:tcPr>
                <w:p w14:paraId="7CE4435B">
                  <w:pPr>
                    <w:pStyle w:val="20"/>
                    <w:keepNext w:val="0"/>
                    <w:keepLines w:val="0"/>
                    <w:pageBreakBefore w:val="0"/>
                    <w:widowControl w:val="0"/>
                    <w:kinsoku/>
                    <w:wordWrap/>
                    <w:topLinePunct w:val="0"/>
                    <w:autoSpaceDE/>
                    <w:autoSpaceDN/>
                    <w:bidi w:val="0"/>
                    <w:adjustRightInd/>
                    <w:snapToGrid/>
                    <w:spacing w:after="0"/>
                    <w:ind w:left="0" w:leftChars="0" w:firstLine="0" w:firstLineChars="0"/>
                    <w:jc w:val="center"/>
                    <w:textAlignment w:val="auto"/>
                    <w:rPr>
                      <w:rFonts w:hint="default" w:eastAsia="宋体"/>
                      <w:b w:val="0"/>
                      <w:bCs/>
                      <w:sz w:val="21"/>
                      <w:szCs w:val="21"/>
                      <w:highlight w:val="none"/>
                      <w:lang w:val="en-US" w:eastAsia="zh-CN"/>
                    </w:rPr>
                  </w:pPr>
                  <w:r>
                    <w:rPr>
                      <w:b w:val="0"/>
                      <w:bCs/>
                      <w:sz w:val="21"/>
                      <w:szCs w:val="21"/>
                      <w:highlight w:val="none"/>
                    </w:rPr>
                    <w:t>污水处理站恶臭</w:t>
                  </w:r>
                </w:p>
              </w:tc>
              <w:tc>
                <w:tcPr>
                  <w:tcW w:w="484" w:type="pct"/>
                  <w:tcBorders>
                    <w:tl2br w:val="nil"/>
                    <w:tr2bl w:val="nil"/>
                  </w:tcBorders>
                  <w:vAlign w:val="center"/>
                </w:tcPr>
                <w:p w14:paraId="6BC6BF9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NH</w:t>
                  </w:r>
                  <w:r>
                    <w:rPr>
                      <w:rFonts w:cs="Times New Roman"/>
                      <w:b w:val="0"/>
                      <w:bCs/>
                      <w:snapToGrid w:val="0"/>
                      <w:kern w:val="0"/>
                      <w:sz w:val="21"/>
                      <w:szCs w:val="21"/>
                      <w:highlight w:val="none"/>
                      <w:vertAlign w:val="subscript"/>
                    </w:rPr>
                    <w:t>3</w:t>
                  </w:r>
                </w:p>
              </w:tc>
              <w:tc>
                <w:tcPr>
                  <w:tcW w:w="802" w:type="pct"/>
                  <w:tcBorders>
                    <w:tl2br w:val="nil"/>
                    <w:tr2bl w:val="nil"/>
                  </w:tcBorders>
                  <w:vAlign w:val="center"/>
                </w:tcPr>
                <w:p w14:paraId="7835658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hint="default"/>
                      <w:b w:val="0"/>
                      <w:bCs/>
                      <w:sz w:val="21"/>
                      <w:szCs w:val="21"/>
                      <w:highlight w:val="none"/>
                      <w:lang w:val="en-US" w:eastAsia="zh-CN"/>
                    </w:rPr>
                    <w:t>0.0623mg/s•m</w:t>
                  </w:r>
                  <w:r>
                    <w:rPr>
                      <w:rFonts w:hint="default"/>
                      <w:b w:val="0"/>
                      <w:bCs/>
                      <w:sz w:val="21"/>
                      <w:szCs w:val="21"/>
                      <w:highlight w:val="none"/>
                      <w:vertAlign w:val="superscript"/>
                      <w:lang w:val="en-US" w:eastAsia="zh-CN"/>
                    </w:rPr>
                    <w:t>2</w:t>
                  </w:r>
                </w:p>
              </w:tc>
              <w:tc>
                <w:tcPr>
                  <w:tcW w:w="315" w:type="pct"/>
                  <w:vMerge w:val="restart"/>
                  <w:tcBorders>
                    <w:tl2br w:val="nil"/>
                    <w:tr2bl w:val="nil"/>
                  </w:tcBorders>
                  <w:vAlign w:val="center"/>
                </w:tcPr>
                <w:p w14:paraId="60EEA76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280</w:t>
                  </w:r>
                </w:p>
              </w:tc>
              <w:tc>
                <w:tcPr>
                  <w:tcW w:w="470" w:type="pct"/>
                  <w:tcBorders>
                    <w:tl2br w:val="nil"/>
                    <w:tr2bl w:val="nil"/>
                  </w:tcBorders>
                  <w:vAlign w:val="center"/>
                </w:tcPr>
                <w:p w14:paraId="14EA4C1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b w:val="0"/>
                      <w:bCs/>
                      <w:sz w:val="21"/>
                      <w:szCs w:val="21"/>
                      <w:highlight w:val="none"/>
                      <w:lang w:val="en-US" w:eastAsia="zh-CN"/>
                    </w:rPr>
                  </w:pPr>
                  <w:r>
                    <w:rPr>
                      <w:rFonts w:hint="default"/>
                      <w:b w:val="0"/>
                      <w:bCs/>
                      <w:sz w:val="21"/>
                      <w:szCs w:val="21"/>
                      <w:highlight w:val="none"/>
                      <w:lang w:val="en-US" w:eastAsia="zh-CN"/>
                    </w:rPr>
                    <w:t>0.452</w:t>
                  </w:r>
                </w:p>
              </w:tc>
              <w:tc>
                <w:tcPr>
                  <w:tcW w:w="769" w:type="pct"/>
                  <w:vMerge w:val="restart"/>
                  <w:tcBorders>
                    <w:tl2br w:val="nil"/>
                    <w:tr2bl w:val="nil"/>
                  </w:tcBorders>
                  <w:vAlign w:val="center"/>
                </w:tcPr>
                <w:p w14:paraId="027E16F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定期喷洒除臭剂</w:t>
                  </w:r>
                </w:p>
              </w:tc>
              <w:tc>
                <w:tcPr>
                  <w:tcW w:w="452" w:type="pct"/>
                  <w:vMerge w:val="restart"/>
                  <w:tcBorders>
                    <w:tl2br w:val="nil"/>
                    <w:tr2bl w:val="nil"/>
                  </w:tcBorders>
                  <w:vAlign w:val="center"/>
                </w:tcPr>
                <w:p w14:paraId="577DACB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hint="eastAsia" w:cs="Times New Roman"/>
                      <w:b w:val="0"/>
                      <w:bCs/>
                      <w:sz w:val="21"/>
                      <w:szCs w:val="21"/>
                      <w:highlight w:val="none"/>
                      <w:lang w:val="en-US" w:eastAsia="zh-CN"/>
                    </w:rPr>
                    <w:t>30</w:t>
                  </w:r>
                  <w:r>
                    <w:rPr>
                      <w:rFonts w:cs="Times New Roman"/>
                      <w:b w:val="0"/>
                      <w:bCs/>
                      <w:sz w:val="21"/>
                      <w:szCs w:val="21"/>
                      <w:highlight w:val="none"/>
                    </w:rPr>
                    <w:t>%</w:t>
                  </w:r>
                </w:p>
              </w:tc>
              <w:tc>
                <w:tcPr>
                  <w:tcW w:w="329" w:type="pct"/>
                  <w:vMerge w:val="restart"/>
                  <w:tcBorders>
                    <w:tl2br w:val="nil"/>
                    <w:tr2bl w:val="nil"/>
                  </w:tcBorders>
                  <w:vAlign w:val="center"/>
                </w:tcPr>
                <w:p w14:paraId="4DE8BBE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无组织排放</w:t>
                  </w:r>
                </w:p>
              </w:tc>
              <w:tc>
                <w:tcPr>
                  <w:tcW w:w="426" w:type="pct"/>
                  <w:tcBorders>
                    <w:tl2br w:val="nil"/>
                    <w:tr2bl w:val="nil"/>
                  </w:tcBorders>
                  <w:vAlign w:val="center"/>
                </w:tcPr>
                <w:p w14:paraId="74392A2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0.316</w:t>
                  </w:r>
                </w:p>
              </w:tc>
              <w:tc>
                <w:tcPr>
                  <w:tcW w:w="426" w:type="pct"/>
                  <w:tcBorders>
                    <w:tl2br w:val="nil"/>
                    <w:tr2bl w:val="nil"/>
                  </w:tcBorders>
                  <w:vAlign w:val="center"/>
                </w:tcPr>
                <w:p w14:paraId="0EE1CA0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0.044</w:t>
                  </w:r>
                </w:p>
              </w:tc>
            </w:tr>
            <w:tr w14:paraId="13D28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23" w:type="pct"/>
                  <w:vMerge w:val="continue"/>
                  <w:tcBorders>
                    <w:tl2br w:val="nil"/>
                    <w:tr2bl w:val="nil"/>
                  </w:tcBorders>
                  <w:vAlign w:val="center"/>
                </w:tcPr>
                <w:p w14:paraId="0335B24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p>
              </w:tc>
              <w:tc>
                <w:tcPr>
                  <w:tcW w:w="484" w:type="pct"/>
                  <w:tcBorders>
                    <w:tl2br w:val="nil"/>
                    <w:tr2bl w:val="nil"/>
                  </w:tcBorders>
                  <w:vAlign w:val="center"/>
                </w:tcPr>
                <w:p w14:paraId="5E5385E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H</w:t>
                  </w:r>
                  <w:r>
                    <w:rPr>
                      <w:rFonts w:cs="Times New Roman"/>
                      <w:b w:val="0"/>
                      <w:bCs/>
                      <w:snapToGrid w:val="0"/>
                      <w:kern w:val="0"/>
                      <w:sz w:val="21"/>
                      <w:szCs w:val="21"/>
                      <w:highlight w:val="none"/>
                      <w:vertAlign w:val="subscript"/>
                    </w:rPr>
                    <w:t>2</w:t>
                  </w:r>
                  <w:r>
                    <w:rPr>
                      <w:rFonts w:cs="Times New Roman"/>
                      <w:b w:val="0"/>
                      <w:bCs/>
                      <w:snapToGrid w:val="0"/>
                      <w:kern w:val="0"/>
                      <w:sz w:val="21"/>
                      <w:szCs w:val="21"/>
                      <w:highlight w:val="none"/>
                    </w:rPr>
                    <w:t>S</w:t>
                  </w:r>
                </w:p>
              </w:tc>
              <w:tc>
                <w:tcPr>
                  <w:tcW w:w="802" w:type="pct"/>
                  <w:tcBorders>
                    <w:tl2br w:val="nil"/>
                    <w:tr2bl w:val="nil"/>
                  </w:tcBorders>
                  <w:vAlign w:val="center"/>
                </w:tcPr>
                <w:p w14:paraId="28C997F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hint="eastAsia"/>
                      <w:b w:val="0"/>
                      <w:bCs/>
                      <w:sz w:val="21"/>
                      <w:szCs w:val="21"/>
                      <w:highlight w:val="none"/>
                      <w:lang w:val="en-US" w:eastAsia="zh-CN"/>
                    </w:rPr>
                    <w:t>0.0014</w:t>
                  </w:r>
                  <w:r>
                    <w:rPr>
                      <w:rFonts w:hint="default"/>
                      <w:b w:val="0"/>
                      <w:bCs/>
                      <w:sz w:val="21"/>
                      <w:szCs w:val="21"/>
                      <w:highlight w:val="none"/>
                      <w:lang w:val="en-US" w:eastAsia="zh-CN"/>
                    </w:rPr>
                    <w:t>mg/s•m</w:t>
                  </w:r>
                  <w:r>
                    <w:rPr>
                      <w:rFonts w:hint="default"/>
                      <w:b w:val="0"/>
                      <w:bCs/>
                      <w:sz w:val="21"/>
                      <w:szCs w:val="21"/>
                      <w:highlight w:val="none"/>
                      <w:vertAlign w:val="superscript"/>
                      <w:lang w:val="en-US" w:eastAsia="zh-CN"/>
                    </w:rPr>
                    <w:t>2</w:t>
                  </w:r>
                </w:p>
              </w:tc>
              <w:tc>
                <w:tcPr>
                  <w:tcW w:w="315" w:type="pct"/>
                  <w:vMerge w:val="continue"/>
                  <w:tcBorders>
                    <w:tl2br w:val="nil"/>
                    <w:tr2bl w:val="nil"/>
                  </w:tcBorders>
                  <w:vAlign w:val="center"/>
                </w:tcPr>
                <w:p w14:paraId="02BF1DF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p>
              </w:tc>
              <w:tc>
                <w:tcPr>
                  <w:tcW w:w="470" w:type="pct"/>
                  <w:tcBorders>
                    <w:tl2br w:val="nil"/>
                    <w:tr2bl w:val="nil"/>
                  </w:tcBorders>
                  <w:vAlign w:val="center"/>
                </w:tcPr>
                <w:p w14:paraId="173A28C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b w:val="0"/>
                      <w:bCs/>
                      <w:sz w:val="21"/>
                      <w:szCs w:val="21"/>
                      <w:highlight w:val="none"/>
                      <w:lang w:val="en-US" w:eastAsia="zh-CN"/>
                    </w:rPr>
                  </w:pPr>
                  <w:r>
                    <w:rPr>
                      <w:rFonts w:hint="default"/>
                      <w:b w:val="0"/>
                      <w:bCs/>
                      <w:sz w:val="21"/>
                      <w:szCs w:val="21"/>
                      <w:highlight w:val="none"/>
                      <w:lang w:val="en-US" w:eastAsia="zh-CN"/>
                    </w:rPr>
                    <w:t>0.009</w:t>
                  </w:r>
                  <w:r>
                    <w:rPr>
                      <w:rFonts w:hint="eastAsia"/>
                      <w:b w:val="0"/>
                      <w:bCs/>
                      <w:sz w:val="21"/>
                      <w:szCs w:val="21"/>
                      <w:highlight w:val="none"/>
                      <w:lang w:val="en-US" w:eastAsia="zh-CN"/>
                    </w:rPr>
                    <w:t>8</w:t>
                  </w:r>
                </w:p>
              </w:tc>
              <w:tc>
                <w:tcPr>
                  <w:tcW w:w="769" w:type="pct"/>
                  <w:vMerge w:val="continue"/>
                  <w:tcBorders>
                    <w:tl2br w:val="nil"/>
                    <w:tr2bl w:val="nil"/>
                  </w:tcBorders>
                  <w:vAlign w:val="center"/>
                </w:tcPr>
                <w:p w14:paraId="05AF690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p>
              </w:tc>
              <w:tc>
                <w:tcPr>
                  <w:tcW w:w="452" w:type="pct"/>
                  <w:vMerge w:val="continue"/>
                  <w:tcBorders>
                    <w:tl2br w:val="nil"/>
                    <w:tr2bl w:val="nil"/>
                  </w:tcBorders>
                  <w:vAlign w:val="center"/>
                </w:tcPr>
                <w:p w14:paraId="27AB4E2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p>
              </w:tc>
              <w:tc>
                <w:tcPr>
                  <w:tcW w:w="329" w:type="pct"/>
                  <w:vMerge w:val="continue"/>
                  <w:tcBorders>
                    <w:tl2br w:val="nil"/>
                    <w:tr2bl w:val="nil"/>
                  </w:tcBorders>
                  <w:vAlign w:val="center"/>
                </w:tcPr>
                <w:p w14:paraId="21A4B4B6">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p>
              </w:tc>
              <w:tc>
                <w:tcPr>
                  <w:tcW w:w="426" w:type="pct"/>
                  <w:tcBorders>
                    <w:tl2br w:val="nil"/>
                    <w:tr2bl w:val="nil"/>
                  </w:tcBorders>
                  <w:vAlign w:val="center"/>
                </w:tcPr>
                <w:p w14:paraId="617570C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0.0069</w:t>
                  </w:r>
                </w:p>
              </w:tc>
              <w:tc>
                <w:tcPr>
                  <w:tcW w:w="426" w:type="pct"/>
                  <w:tcBorders>
                    <w:tl2br w:val="nil"/>
                    <w:tr2bl w:val="nil"/>
                  </w:tcBorders>
                  <w:vAlign w:val="center"/>
                </w:tcPr>
                <w:p w14:paraId="22A15F0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0.00096</w:t>
                  </w:r>
                </w:p>
              </w:tc>
            </w:tr>
          </w:tbl>
          <w:p w14:paraId="464084E7">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cs="Times New Roman"/>
                <w:color w:val="auto"/>
                <w:sz w:val="24"/>
                <w:highlight w:val="none"/>
                <w:lang w:val="en-US" w:eastAsia="zh-CN"/>
              </w:rPr>
              <w:t>通过在污水处理站内设立风机，采用定期</w:t>
            </w:r>
            <w:r>
              <w:rPr>
                <w:rFonts w:hint="default" w:ascii="Times New Roman" w:hAnsi="Times New Roman" w:eastAsia="宋体" w:cs="Times New Roman"/>
                <w:color w:val="auto"/>
                <w:sz w:val="24"/>
                <w:highlight w:val="none"/>
              </w:rPr>
              <w:t>喷洒除臭剂等除臭措施（</w:t>
            </w:r>
            <w:r>
              <w:rPr>
                <w:rFonts w:hint="eastAsia" w:cs="Times New Roman"/>
                <w:color w:val="auto"/>
                <w:sz w:val="24"/>
                <w:highlight w:val="none"/>
                <w:lang w:val="en-US" w:eastAsia="zh-CN"/>
              </w:rPr>
              <w:t>综合</w:t>
            </w:r>
            <w:r>
              <w:rPr>
                <w:rFonts w:hint="default" w:ascii="Times New Roman" w:hAnsi="Times New Roman" w:eastAsia="宋体" w:cs="Times New Roman"/>
                <w:color w:val="auto"/>
                <w:sz w:val="24"/>
                <w:highlight w:val="none"/>
              </w:rPr>
              <w:t>除臭效率</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rPr>
              <w:t>%）后，NH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排放量为</w:t>
            </w:r>
            <w:r>
              <w:rPr>
                <w:rFonts w:hint="eastAsia" w:cs="Times New Roman"/>
                <w:color w:val="auto"/>
                <w:sz w:val="24"/>
                <w:highlight w:val="none"/>
                <w:lang w:val="en-US" w:eastAsia="zh-CN"/>
              </w:rPr>
              <w:t>0.316t</w:t>
            </w:r>
            <w:r>
              <w:rPr>
                <w:rFonts w:hint="default" w:ascii="Times New Roman" w:hAnsi="Times New Roman" w:eastAsia="宋体" w:cs="Times New Roman"/>
                <w:color w:val="auto"/>
                <w:sz w:val="24"/>
                <w:highlight w:val="none"/>
              </w:rPr>
              <w:t>/a，H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szCs w:val="24"/>
                <w:highlight w:val="none"/>
              </w:rPr>
              <w:t>排放量为</w:t>
            </w:r>
            <w:r>
              <w:rPr>
                <w:rFonts w:hint="eastAsia" w:cs="Times New Roman"/>
                <w:b w:val="0"/>
                <w:bCs/>
                <w:snapToGrid w:val="0"/>
                <w:kern w:val="0"/>
                <w:sz w:val="24"/>
                <w:szCs w:val="24"/>
                <w:highlight w:val="none"/>
                <w:lang w:val="en-US" w:eastAsia="zh-CN"/>
              </w:rPr>
              <w:t>0.0069t</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p>
          <w:p w14:paraId="0C02275B">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b w:val="0"/>
                <w:bCs w:val="0"/>
                <w:kern w:val="2"/>
                <w:sz w:val="24"/>
                <w:szCs w:val="24"/>
                <w:highlight w:val="none"/>
                <w:lang w:val="en-US" w:eastAsia="zh-CN"/>
              </w:rPr>
            </w:pPr>
            <w:r>
              <w:rPr>
                <w:rFonts w:hint="eastAsia" w:cs="Times New Roman"/>
                <w:b w:val="0"/>
                <w:bCs w:val="0"/>
                <w:kern w:val="2"/>
                <w:sz w:val="24"/>
                <w:szCs w:val="24"/>
                <w:highlight w:val="none"/>
                <w:lang w:val="en-US" w:eastAsia="zh-CN"/>
              </w:rPr>
              <w:t>（3）厂区</w:t>
            </w:r>
            <w:r>
              <w:rPr>
                <w:rFonts w:hint="eastAsia" w:cs="Times New Roman"/>
                <w:b w:val="0"/>
                <w:bCs w:val="0"/>
                <w:color w:val="auto"/>
                <w:kern w:val="0"/>
                <w:sz w:val="24"/>
                <w:highlight w:val="none"/>
                <w:lang w:val="en-US" w:eastAsia="zh-CN" w:bidi="ar"/>
              </w:rPr>
              <w:t>无组织废气</w:t>
            </w:r>
          </w:p>
          <w:p w14:paraId="20335DFF">
            <w:pPr>
              <w:pStyle w:val="30"/>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b w:val="0"/>
                <w:bCs w:val="0"/>
                <w:color w:val="000000"/>
                <w:kern w:val="2"/>
                <w:sz w:val="24"/>
                <w:szCs w:val="24"/>
                <w:highlight w:val="none"/>
                <w:lang w:val="en-US" w:eastAsia="zh-CN" w:bidi="ar-SA"/>
              </w:rPr>
            </w:pPr>
            <w:r>
              <w:rPr>
                <w:rFonts w:hint="eastAsia" w:cs="Times New Roman"/>
                <w:b w:val="0"/>
                <w:bCs/>
                <w:highlight w:val="none"/>
                <w:lang w:val="en-US" w:eastAsia="zh-CN"/>
              </w:rPr>
              <w:t>本项目棉籽原料在棉壳下料、卸装、原料储存过程中会产生少量的棉絮粉尘，</w:t>
            </w:r>
            <w:r>
              <w:rPr>
                <w:rFonts w:hint="eastAsia" w:ascii="Times New Roman" w:hAnsi="Times New Roman" w:eastAsia="宋体" w:cs="Times New Roman"/>
                <w:b w:val="0"/>
                <w:bCs/>
                <w:highlight w:val="none"/>
                <w:lang w:val="en-US" w:eastAsia="zh-CN"/>
              </w:rPr>
              <w:t>《逸散性工业粉尘控制技术》（中国环境科学出版社）中“逸散尘排放因子”，下料按照0.01kg/t，</w:t>
            </w:r>
            <w:r>
              <w:rPr>
                <w:rFonts w:hint="eastAsia" w:cs="Times New Roman"/>
                <w:b w:val="0"/>
                <w:bCs w:val="0"/>
                <w:color w:val="000000"/>
                <w:kern w:val="2"/>
                <w:sz w:val="24"/>
                <w:szCs w:val="24"/>
                <w:highlight w:val="none"/>
                <w:lang w:val="en-US" w:eastAsia="zh-CN" w:bidi="ar-SA"/>
              </w:rPr>
              <w:t>本项目年处理12万t棉籽，粉尘产生量为1t/a。</w:t>
            </w:r>
          </w:p>
          <w:p w14:paraId="3D372631">
            <w:pPr>
              <w:pStyle w:val="30"/>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表4-9   本项目无组织排放一览表</w:t>
            </w:r>
          </w:p>
          <w:tbl>
            <w:tblPr>
              <w:tblStyle w:val="21"/>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8"/>
              <w:gridCol w:w="968"/>
              <w:gridCol w:w="1032"/>
              <w:gridCol w:w="1890"/>
              <w:gridCol w:w="780"/>
              <w:gridCol w:w="825"/>
              <w:gridCol w:w="918"/>
              <w:gridCol w:w="919"/>
            </w:tblGrid>
            <w:tr w14:paraId="77E59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42" w:type="pct"/>
                  <w:tcBorders>
                    <w:tl2br w:val="nil"/>
                    <w:tr2bl w:val="nil"/>
                  </w:tcBorders>
                  <w:vAlign w:val="center"/>
                </w:tcPr>
                <w:p w14:paraId="1A7876B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名称</w:t>
                  </w:r>
                </w:p>
              </w:tc>
              <w:tc>
                <w:tcPr>
                  <w:tcW w:w="562" w:type="pct"/>
                  <w:tcBorders>
                    <w:tl2br w:val="nil"/>
                    <w:tr2bl w:val="nil"/>
                  </w:tcBorders>
                  <w:vAlign w:val="center"/>
                </w:tcPr>
                <w:p w14:paraId="77DBE08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污染物名称</w:t>
                  </w:r>
                </w:p>
              </w:tc>
              <w:tc>
                <w:tcPr>
                  <w:tcW w:w="599" w:type="pct"/>
                  <w:tcBorders>
                    <w:tl2br w:val="nil"/>
                    <w:tr2bl w:val="nil"/>
                  </w:tcBorders>
                  <w:vAlign w:val="center"/>
                </w:tcPr>
                <w:p w14:paraId="143407D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产生量</w:t>
                  </w:r>
                </w:p>
                <w:p w14:paraId="4996877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t/a</w:t>
                  </w:r>
                </w:p>
              </w:tc>
              <w:tc>
                <w:tcPr>
                  <w:tcW w:w="1097" w:type="pct"/>
                  <w:tcBorders>
                    <w:tl2br w:val="nil"/>
                    <w:tr2bl w:val="nil"/>
                  </w:tcBorders>
                  <w:vAlign w:val="center"/>
                </w:tcPr>
                <w:p w14:paraId="6C2DB4F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处理措施</w:t>
                  </w:r>
                </w:p>
              </w:tc>
              <w:tc>
                <w:tcPr>
                  <w:tcW w:w="453" w:type="pct"/>
                  <w:tcBorders>
                    <w:tl2br w:val="nil"/>
                    <w:tr2bl w:val="nil"/>
                  </w:tcBorders>
                  <w:vAlign w:val="center"/>
                </w:tcPr>
                <w:p w14:paraId="34E30A2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处理</w:t>
                  </w:r>
                </w:p>
                <w:p w14:paraId="5FB3BE8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效率</w:t>
                  </w:r>
                </w:p>
              </w:tc>
              <w:tc>
                <w:tcPr>
                  <w:tcW w:w="479" w:type="pct"/>
                  <w:tcBorders>
                    <w:tl2br w:val="nil"/>
                    <w:tr2bl w:val="nil"/>
                  </w:tcBorders>
                  <w:vAlign w:val="center"/>
                </w:tcPr>
                <w:p w14:paraId="12AB6CC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排放</w:t>
                  </w:r>
                </w:p>
                <w:p w14:paraId="431F1D5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cs="Times New Roman"/>
                      <w:b w:val="0"/>
                      <w:bCs/>
                      <w:snapToGrid w:val="0"/>
                      <w:kern w:val="0"/>
                      <w:sz w:val="21"/>
                      <w:szCs w:val="21"/>
                      <w:highlight w:val="none"/>
                    </w:rPr>
                  </w:pPr>
                  <w:r>
                    <w:rPr>
                      <w:rFonts w:cs="Times New Roman"/>
                      <w:b w:val="0"/>
                      <w:bCs/>
                      <w:snapToGrid w:val="0"/>
                      <w:kern w:val="0"/>
                      <w:sz w:val="21"/>
                      <w:szCs w:val="21"/>
                      <w:highlight w:val="none"/>
                    </w:rPr>
                    <w:t>形式</w:t>
                  </w:r>
                </w:p>
              </w:tc>
              <w:tc>
                <w:tcPr>
                  <w:tcW w:w="533" w:type="pct"/>
                  <w:tcBorders>
                    <w:tl2br w:val="nil"/>
                    <w:tr2bl w:val="nil"/>
                  </w:tcBorders>
                  <w:vAlign w:val="center"/>
                </w:tcPr>
                <w:p w14:paraId="34DFECA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cs="Times New Roman"/>
                      <w:b w:val="0"/>
                      <w:bCs/>
                      <w:snapToGrid w:val="0"/>
                      <w:kern w:val="0"/>
                      <w:sz w:val="21"/>
                      <w:szCs w:val="21"/>
                      <w:highlight w:val="none"/>
                    </w:rPr>
                    <w:t>排放量</w:t>
                  </w:r>
                  <w:r>
                    <w:rPr>
                      <w:rFonts w:hint="eastAsia" w:cs="Times New Roman"/>
                      <w:b w:val="0"/>
                      <w:bCs/>
                      <w:snapToGrid w:val="0"/>
                      <w:kern w:val="0"/>
                      <w:sz w:val="21"/>
                      <w:szCs w:val="21"/>
                      <w:highlight w:val="none"/>
                      <w:lang w:val="en-US" w:eastAsia="zh-CN"/>
                    </w:rPr>
                    <w:t>t/a</w:t>
                  </w:r>
                </w:p>
              </w:tc>
              <w:tc>
                <w:tcPr>
                  <w:tcW w:w="533" w:type="pct"/>
                  <w:tcBorders>
                    <w:tl2br w:val="nil"/>
                    <w:tr2bl w:val="nil"/>
                  </w:tcBorders>
                  <w:vAlign w:val="center"/>
                </w:tcPr>
                <w:p w14:paraId="705610C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snapToGrid w:val="0"/>
                      <w:kern w:val="0"/>
                      <w:sz w:val="21"/>
                      <w:szCs w:val="21"/>
                      <w:highlight w:val="none"/>
                      <w:lang w:val="en-US" w:eastAsia="zh-CN"/>
                    </w:rPr>
                  </w:pPr>
                  <w:r>
                    <w:rPr>
                      <w:rFonts w:hint="eastAsia" w:cs="Times New Roman"/>
                      <w:b w:val="0"/>
                      <w:bCs/>
                      <w:snapToGrid w:val="0"/>
                      <w:kern w:val="0"/>
                      <w:sz w:val="21"/>
                      <w:szCs w:val="21"/>
                      <w:highlight w:val="none"/>
                      <w:lang w:val="en-US" w:eastAsia="zh-CN"/>
                    </w:rPr>
                    <w:t>排放速率kg/h</w:t>
                  </w:r>
                </w:p>
              </w:tc>
            </w:tr>
            <w:tr w14:paraId="3A477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18" w:hRule="atLeast"/>
                <w:jc w:val="center"/>
              </w:trPr>
              <w:tc>
                <w:tcPr>
                  <w:tcW w:w="742" w:type="pct"/>
                  <w:tcBorders>
                    <w:tl2br w:val="nil"/>
                    <w:tr2bl w:val="nil"/>
                  </w:tcBorders>
                  <w:vAlign w:val="center"/>
                </w:tcPr>
                <w:p w14:paraId="5ED4ED57">
                  <w:pPr>
                    <w:pStyle w:val="20"/>
                    <w:keepNext w:val="0"/>
                    <w:keepLines w:val="0"/>
                    <w:pageBreakBefore w:val="0"/>
                    <w:widowControl w:val="0"/>
                    <w:kinsoku/>
                    <w:wordWrap/>
                    <w:topLinePunct w:val="0"/>
                    <w:autoSpaceDE/>
                    <w:autoSpaceDN/>
                    <w:bidi w:val="0"/>
                    <w:adjustRightInd/>
                    <w:snapToGrid/>
                    <w:spacing w:after="0"/>
                    <w:ind w:left="0" w:leftChars="0" w:firstLine="0" w:firstLineChars="0"/>
                    <w:jc w:val="center"/>
                    <w:textAlignment w:val="auto"/>
                    <w:rPr>
                      <w:rFonts w:hint="default" w:eastAsia="宋体"/>
                      <w:highlight w:val="none"/>
                      <w:lang w:val="en-US" w:eastAsia="zh-CN"/>
                    </w:rPr>
                  </w:pPr>
                  <w:r>
                    <w:rPr>
                      <w:rFonts w:hint="eastAsia"/>
                      <w:b w:val="0"/>
                      <w:bCs w:val="0"/>
                      <w:sz w:val="21"/>
                      <w:szCs w:val="21"/>
                      <w:highlight w:val="none"/>
                      <w:lang w:val="en-US" w:eastAsia="zh-CN"/>
                    </w:rPr>
                    <w:t>原料上料、储存、运输</w:t>
                  </w:r>
                </w:p>
              </w:tc>
              <w:tc>
                <w:tcPr>
                  <w:tcW w:w="562" w:type="pct"/>
                  <w:tcBorders>
                    <w:tl2br w:val="nil"/>
                    <w:tr2bl w:val="nil"/>
                  </w:tcBorders>
                  <w:vAlign w:val="center"/>
                </w:tcPr>
                <w:p w14:paraId="7F053F0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Cs/>
                      <w:snapToGrid w:val="0"/>
                      <w:kern w:val="0"/>
                      <w:sz w:val="21"/>
                      <w:szCs w:val="21"/>
                      <w:highlight w:val="none"/>
                      <w:lang w:val="en-US" w:eastAsia="zh-CN"/>
                    </w:rPr>
                  </w:pPr>
                  <w:r>
                    <w:rPr>
                      <w:rFonts w:hint="eastAsia" w:cs="Times New Roman"/>
                      <w:bCs/>
                      <w:snapToGrid w:val="0"/>
                      <w:kern w:val="0"/>
                      <w:sz w:val="21"/>
                      <w:szCs w:val="21"/>
                      <w:highlight w:val="none"/>
                      <w:lang w:val="en-US" w:eastAsia="zh-CN"/>
                    </w:rPr>
                    <w:t>棉绒粉尘</w:t>
                  </w:r>
                </w:p>
              </w:tc>
              <w:tc>
                <w:tcPr>
                  <w:tcW w:w="599" w:type="pct"/>
                  <w:tcBorders>
                    <w:tl2br w:val="nil"/>
                    <w:tr2bl w:val="nil"/>
                  </w:tcBorders>
                  <w:vAlign w:val="center"/>
                </w:tcPr>
                <w:p w14:paraId="68D973A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Cs/>
                      <w:snapToGrid w:val="0"/>
                      <w:kern w:val="0"/>
                      <w:sz w:val="21"/>
                      <w:szCs w:val="21"/>
                      <w:highlight w:val="none"/>
                      <w:lang w:val="en-US" w:eastAsia="zh-CN"/>
                    </w:rPr>
                  </w:pPr>
                  <w:r>
                    <w:rPr>
                      <w:rFonts w:hint="eastAsia" w:cs="Times New Roman"/>
                      <w:bCs/>
                      <w:snapToGrid w:val="0"/>
                      <w:kern w:val="0"/>
                      <w:sz w:val="21"/>
                      <w:szCs w:val="21"/>
                      <w:highlight w:val="none"/>
                      <w:lang w:val="en-US" w:eastAsia="zh-CN"/>
                    </w:rPr>
                    <w:t>1.2</w:t>
                  </w:r>
                </w:p>
              </w:tc>
              <w:tc>
                <w:tcPr>
                  <w:tcW w:w="1097" w:type="pct"/>
                  <w:tcBorders>
                    <w:tl2br w:val="nil"/>
                    <w:tr2bl w:val="nil"/>
                  </w:tcBorders>
                  <w:vAlign w:val="center"/>
                </w:tcPr>
                <w:p w14:paraId="37DE214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Cs/>
                      <w:snapToGrid w:val="0"/>
                      <w:kern w:val="0"/>
                      <w:sz w:val="21"/>
                      <w:szCs w:val="21"/>
                      <w:highlight w:val="none"/>
                      <w:lang w:val="en-US" w:eastAsia="zh-CN"/>
                    </w:rPr>
                  </w:pPr>
                  <w:r>
                    <w:rPr>
                      <w:rFonts w:hint="eastAsia" w:cs="Times New Roman"/>
                      <w:bCs/>
                      <w:snapToGrid w:val="0"/>
                      <w:kern w:val="0"/>
                      <w:sz w:val="21"/>
                      <w:szCs w:val="21"/>
                      <w:highlight w:val="none"/>
                      <w:lang w:val="en-US" w:eastAsia="zh-CN"/>
                    </w:rPr>
                    <w:t>下料安装棚，储存棉壳、棉絮上方加盖防火布</w:t>
                  </w:r>
                </w:p>
              </w:tc>
              <w:tc>
                <w:tcPr>
                  <w:tcW w:w="453" w:type="pct"/>
                  <w:tcBorders>
                    <w:tl2br w:val="nil"/>
                    <w:tr2bl w:val="nil"/>
                  </w:tcBorders>
                  <w:vAlign w:val="center"/>
                </w:tcPr>
                <w:p w14:paraId="67B7BE6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Cs/>
                      <w:snapToGrid w:val="0"/>
                      <w:kern w:val="0"/>
                      <w:sz w:val="21"/>
                      <w:szCs w:val="21"/>
                      <w:highlight w:val="none"/>
                      <w:lang w:val="en-US" w:eastAsia="zh-CN"/>
                    </w:rPr>
                  </w:pPr>
                  <w:r>
                    <w:rPr>
                      <w:rFonts w:hint="eastAsia" w:cs="Times New Roman"/>
                      <w:sz w:val="21"/>
                      <w:szCs w:val="21"/>
                      <w:highlight w:val="none"/>
                      <w:lang w:val="en-US" w:eastAsia="zh-CN"/>
                    </w:rPr>
                    <w:t>20</w:t>
                  </w:r>
                </w:p>
              </w:tc>
              <w:tc>
                <w:tcPr>
                  <w:tcW w:w="479" w:type="pct"/>
                  <w:tcBorders>
                    <w:tl2br w:val="nil"/>
                    <w:tr2bl w:val="nil"/>
                  </w:tcBorders>
                  <w:vAlign w:val="center"/>
                </w:tcPr>
                <w:p w14:paraId="145A2D1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Cs/>
                      <w:snapToGrid w:val="0"/>
                      <w:kern w:val="0"/>
                      <w:sz w:val="21"/>
                      <w:szCs w:val="21"/>
                      <w:highlight w:val="none"/>
                      <w:lang w:val="en-US" w:eastAsia="zh-CN"/>
                    </w:rPr>
                  </w:pPr>
                  <w:r>
                    <w:rPr>
                      <w:rFonts w:hint="eastAsia" w:cs="Times New Roman"/>
                      <w:bCs/>
                      <w:snapToGrid w:val="0"/>
                      <w:kern w:val="0"/>
                      <w:sz w:val="21"/>
                      <w:szCs w:val="21"/>
                      <w:highlight w:val="none"/>
                      <w:lang w:val="en-US" w:eastAsia="zh-CN"/>
                    </w:rPr>
                    <w:t>无组织排放</w:t>
                  </w:r>
                </w:p>
              </w:tc>
              <w:tc>
                <w:tcPr>
                  <w:tcW w:w="533" w:type="pct"/>
                  <w:tcBorders>
                    <w:tl2br w:val="nil"/>
                    <w:tr2bl w:val="nil"/>
                  </w:tcBorders>
                  <w:vAlign w:val="center"/>
                </w:tcPr>
                <w:p w14:paraId="5813A7D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eastAsia="宋体" w:cs="Times New Roman"/>
                      <w:bCs/>
                      <w:snapToGrid w:val="0"/>
                      <w:kern w:val="0"/>
                      <w:sz w:val="21"/>
                      <w:szCs w:val="21"/>
                      <w:highlight w:val="none"/>
                      <w:lang w:val="en-US" w:eastAsia="zh-CN"/>
                    </w:rPr>
                  </w:pPr>
                  <w:r>
                    <w:rPr>
                      <w:rFonts w:hint="eastAsia" w:cs="Times New Roman"/>
                      <w:bCs/>
                      <w:snapToGrid w:val="0"/>
                      <w:kern w:val="0"/>
                      <w:sz w:val="21"/>
                      <w:szCs w:val="21"/>
                      <w:highlight w:val="none"/>
                      <w:lang w:val="en-US" w:eastAsia="zh-CN"/>
                    </w:rPr>
                    <w:t>0.96</w:t>
                  </w:r>
                </w:p>
              </w:tc>
              <w:tc>
                <w:tcPr>
                  <w:tcW w:w="533" w:type="pct"/>
                  <w:tcBorders>
                    <w:tl2br w:val="nil"/>
                    <w:tr2bl w:val="nil"/>
                  </w:tcBorders>
                  <w:vAlign w:val="center"/>
                </w:tcPr>
                <w:p w14:paraId="39D2275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cs="Times New Roman"/>
                      <w:bCs/>
                      <w:snapToGrid w:val="0"/>
                      <w:kern w:val="0"/>
                      <w:sz w:val="21"/>
                      <w:szCs w:val="21"/>
                      <w:highlight w:val="none"/>
                      <w:lang w:val="en-US" w:eastAsia="zh-CN"/>
                    </w:rPr>
                  </w:pPr>
                  <w:r>
                    <w:rPr>
                      <w:rFonts w:hint="eastAsia" w:cs="Times New Roman"/>
                      <w:bCs/>
                      <w:snapToGrid w:val="0"/>
                      <w:kern w:val="0"/>
                      <w:sz w:val="21"/>
                      <w:szCs w:val="21"/>
                      <w:highlight w:val="none"/>
                      <w:lang w:val="en-US" w:eastAsia="zh-CN"/>
                    </w:rPr>
                    <w:t>0.133</w:t>
                  </w:r>
                </w:p>
              </w:tc>
            </w:tr>
          </w:tbl>
          <w:p w14:paraId="44817290">
            <w:pPr>
              <w:pStyle w:val="30"/>
              <w:ind w:firstLine="480" w:firstLineChars="200"/>
              <w:rPr>
                <w:rFonts w:hint="eastAsia" w:cs="Times New Roman"/>
                <w:b w:val="0"/>
                <w:bCs/>
                <w:highlight w:val="none"/>
                <w:lang w:val="en-US" w:eastAsia="zh-CN"/>
              </w:rPr>
            </w:pPr>
            <w:r>
              <w:rPr>
                <w:rFonts w:hint="eastAsia" w:cs="Times New Roman"/>
                <w:b w:val="0"/>
                <w:bCs/>
                <w:highlight w:val="none"/>
                <w:lang w:val="en-US" w:eastAsia="zh-CN"/>
              </w:rPr>
              <w:t>由于棉绒粉尘较重，一般能控制在厂区内，环评建议；定期对运输、储存飘散的棉绒进行打扫，定期对原料棚进行检查防止棉绒外排，大风天气建议少量投料，防止棉绒粉尘外排，定期对防火布进行检查，防止漏洞、跑、帽外泄。</w:t>
            </w:r>
          </w:p>
          <w:p w14:paraId="28D2B411">
            <w:pPr>
              <w:pStyle w:val="31"/>
              <w:spacing w:line="360" w:lineRule="auto"/>
              <w:ind w:left="0" w:leftChars="0" w:firstLine="0" w:firstLineChars="0"/>
              <w:rPr>
                <w:rFonts w:hint="default" w:ascii="Times New Roman" w:hAnsi="Times New Roman" w:cs="Times New Roman"/>
                <w:b/>
                <w:bCs/>
                <w:sz w:val="24"/>
                <w:szCs w:val="24"/>
                <w:highlight w:val="none"/>
              </w:rPr>
            </w:pPr>
            <w:r>
              <w:rPr>
                <w:rFonts w:hint="eastAsia" w:ascii="Times New Roman" w:hAnsi="Times New Roman" w:cs="Times New Roman"/>
                <w:b/>
                <w:bCs/>
                <w:sz w:val="24"/>
                <w:szCs w:val="24"/>
                <w:highlight w:val="none"/>
                <w:lang w:val="en-US" w:eastAsia="zh-CN"/>
              </w:rPr>
              <w:t xml:space="preserve">1.3 </w:t>
            </w:r>
            <w:r>
              <w:rPr>
                <w:rFonts w:hint="eastAsia" w:cs="Times New Roman"/>
                <w:b/>
                <w:bCs/>
                <w:sz w:val="24"/>
                <w:szCs w:val="24"/>
                <w:highlight w:val="none"/>
                <w:lang w:val="en-US" w:eastAsia="zh-CN"/>
              </w:rPr>
              <w:t>废气</w:t>
            </w:r>
            <w:r>
              <w:rPr>
                <w:rFonts w:hint="default" w:ascii="Times New Roman" w:hAnsi="Times New Roman" w:cs="Times New Roman"/>
                <w:b/>
                <w:bCs/>
                <w:sz w:val="24"/>
                <w:szCs w:val="24"/>
                <w:highlight w:val="none"/>
              </w:rPr>
              <w:t>排放量核算</w:t>
            </w:r>
          </w:p>
          <w:p w14:paraId="3D24751D">
            <w:pPr>
              <w:ind w:firstLine="480" w:firstLineChars="200"/>
              <w:rPr>
                <w:rFonts w:hint="default"/>
                <w:highlight w:val="none"/>
                <w:lang w:val="en-US" w:eastAsia="zh-CN"/>
              </w:rPr>
            </w:pPr>
            <w:bookmarkStart w:id="2" w:name="_Hlk27738505"/>
            <w:r>
              <w:rPr>
                <w:rFonts w:hint="default" w:ascii="Times New Roman" w:hAnsi="Times New Roman" w:eastAsia="宋体" w:cs="Times New Roman"/>
                <w:b w:val="0"/>
                <w:bCs w:val="0"/>
                <w:kern w:val="2"/>
                <w:sz w:val="24"/>
                <w:szCs w:val="24"/>
                <w:highlight w:val="none"/>
                <w:lang w:val="en-US" w:eastAsia="zh-CN"/>
              </w:rPr>
              <w:t>本项目有组织废气排放量核算见表</w:t>
            </w:r>
            <w:bookmarkEnd w:id="2"/>
            <w:r>
              <w:rPr>
                <w:rFonts w:hint="eastAsia" w:ascii="Times New Roman" w:hAnsi="Times New Roman" w:eastAsia="宋体" w:cs="Times New Roman"/>
                <w:b w:val="0"/>
                <w:bCs w:val="0"/>
                <w:kern w:val="2"/>
                <w:sz w:val="24"/>
                <w:szCs w:val="24"/>
                <w:highlight w:val="none"/>
                <w:lang w:val="en-US" w:eastAsia="zh-CN"/>
              </w:rPr>
              <w:t>4-</w:t>
            </w:r>
            <w:r>
              <w:rPr>
                <w:rFonts w:hint="eastAsia" w:cs="Times New Roman"/>
                <w:b w:val="0"/>
                <w:bCs w:val="0"/>
                <w:kern w:val="2"/>
                <w:sz w:val="24"/>
                <w:szCs w:val="24"/>
                <w:highlight w:val="none"/>
                <w:lang w:val="en-US" w:eastAsia="zh-CN"/>
              </w:rPr>
              <w:t>10。</w:t>
            </w:r>
          </w:p>
          <w:p w14:paraId="130D607C">
            <w:pPr>
              <w:spacing w:before="120" w:beforeLines="50"/>
              <w:jc w:val="center"/>
              <w:rPr>
                <w:rFonts w:hint="default" w:ascii="黑体" w:hAnsi="黑体" w:eastAsia="黑体" w:cs="黑体"/>
                <w:b w:val="0"/>
                <w:bCs/>
                <w:kern w:val="0"/>
                <w:sz w:val="21"/>
                <w:szCs w:val="21"/>
                <w:highlight w:val="none"/>
                <w:lang w:val="en-US" w:eastAsia="zh-CN" w:bidi="ar-SA"/>
              </w:rPr>
            </w:pPr>
            <w:r>
              <w:rPr>
                <w:rFonts w:hint="eastAsia" w:ascii="黑体" w:hAnsi="黑体" w:eastAsia="黑体" w:cs="黑体"/>
                <w:b w:val="0"/>
                <w:bCs/>
                <w:kern w:val="0"/>
                <w:sz w:val="21"/>
                <w:szCs w:val="21"/>
                <w:highlight w:val="none"/>
                <w:lang w:val="en-US" w:eastAsia="zh-CN" w:bidi="ar-SA"/>
              </w:rPr>
              <w:t>表4-10  废气污染源源强核算结果及汇总一览表</w:t>
            </w:r>
          </w:p>
          <w:tbl>
            <w:tblPr>
              <w:tblStyle w:val="21"/>
              <w:tblW w:w="4988"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2"/>
              <w:gridCol w:w="699"/>
              <w:gridCol w:w="663"/>
              <w:gridCol w:w="384"/>
              <w:gridCol w:w="378"/>
              <w:gridCol w:w="690"/>
              <w:gridCol w:w="733"/>
              <w:gridCol w:w="1120"/>
              <w:gridCol w:w="353"/>
              <w:gridCol w:w="494"/>
              <w:gridCol w:w="451"/>
              <w:gridCol w:w="635"/>
              <w:gridCol w:w="798"/>
              <w:gridCol w:w="784"/>
            </w:tblGrid>
            <w:tr w14:paraId="22A81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0" w:type="pct"/>
                  <w:vMerge w:val="restart"/>
                  <w:tcBorders>
                    <w:tl2br w:val="nil"/>
                    <w:tr2bl w:val="nil"/>
                  </w:tcBorders>
                  <w:noWrap w:val="0"/>
                  <w:vAlign w:val="center"/>
                </w:tcPr>
                <w:p w14:paraId="740B2952">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w:t>
                  </w:r>
                </w:p>
              </w:tc>
              <w:tc>
                <w:tcPr>
                  <w:tcW w:w="407" w:type="pct"/>
                  <w:vMerge w:val="restart"/>
                  <w:tcBorders>
                    <w:tl2br w:val="nil"/>
                    <w:tr2bl w:val="nil"/>
                  </w:tcBorders>
                  <w:noWrap w:val="0"/>
                  <w:vAlign w:val="center"/>
                </w:tcPr>
                <w:p w14:paraId="2CCD873B">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产生环节</w:t>
                  </w:r>
                </w:p>
              </w:tc>
              <w:tc>
                <w:tcPr>
                  <w:tcW w:w="386" w:type="pct"/>
                  <w:vMerge w:val="restart"/>
                  <w:tcBorders>
                    <w:tl2br w:val="nil"/>
                    <w:tr2bl w:val="nil"/>
                  </w:tcBorders>
                  <w:noWrap w:val="0"/>
                  <w:vAlign w:val="center"/>
                </w:tcPr>
                <w:p w14:paraId="3201D676">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w:t>
                  </w:r>
                </w:p>
              </w:tc>
              <w:tc>
                <w:tcPr>
                  <w:tcW w:w="223" w:type="pct"/>
                  <w:vMerge w:val="restart"/>
                  <w:tcBorders>
                    <w:tl2br w:val="nil"/>
                    <w:tr2bl w:val="nil"/>
                  </w:tcBorders>
                  <w:noWrap w:val="0"/>
                  <w:vAlign w:val="center"/>
                </w:tcPr>
                <w:p w14:paraId="34DDE7AE">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排放方式</w:t>
                  </w:r>
                </w:p>
              </w:tc>
              <w:tc>
                <w:tcPr>
                  <w:tcW w:w="1047" w:type="pct"/>
                  <w:gridSpan w:val="3"/>
                  <w:tcBorders>
                    <w:tl2br w:val="nil"/>
                    <w:tr2bl w:val="nil"/>
                  </w:tcBorders>
                  <w:noWrap w:val="0"/>
                  <w:vAlign w:val="center"/>
                </w:tcPr>
                <w:p w14:paraId="56314712">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污染物产生</w:t>
                  </w:r>
                </w:p>
              </w:tc>
              <w:tc>
                <w:tcPr>
                  <w:tcW w:w="1405" w:type="pct"/>
                  <w:gridSpan w:val="4"/>
                  <w:tcBorders>
                    <w:tl2br w:val="nil"/>
                    <w:tr2bl w:val="nil"/>
                  </w:tcBorders>
                  <w:noWrap w:val="0"/>
                  <w:vAlign w:val="center"/>
                </w:tcPr>
                <w:p w14:paraId="65318EDC">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治理措施</w:t>
                  </w:r>
                </w:p>
              </w:tc>
              <w:tc>
                <w:tcPr>
                  <w:tcW w:w="1289" w:type="pct"/>
                  <w:gridSpan w:val="3"/>
                  <w:tcBorders>
                    <w:tl2br w:val="nil"/>
                    <w:tr2bl w:val="nil"/>
                  </w:tcBorders>
                  <w:noWrap w:val="0"/>
                  <w:vAlign w:val="center"/>
                </w:tcPr>
                <w:p w14:paraId="2044C756">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污染物排放</w:t>
                  </w:r>
                </w:p>
              </w:tc>
            </w:tr>
            <w:tr w14:paraId="3C255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4" w:hRule="atLeast"/>
              </w:trPr>
              <w:tc>
                <w:tcPr>
                  <w:tcW w:w="240" w:type="pct"/>
                  <w:vMerge w:val="continue"/>
                  <w:tcBorders>
                    <w:tl2br w:val="nil"/>
                    <w:tr2bl w:val="nil"/>
                  </w:tcBorders>
                  <w:noWrap w:val="0"/>
                  <w:vAlign w:val="center"/>
                </w:tcPr>
                <w:p w14:paraId="3769D221">
                  <w:pPr>
                    <w:jc w:val="center"/>
                    <w:rPr>
                      <w:rFonts w:hint="default" w:ascii="Times New Roman" w:hAnsi="Times New Roman" w:cs="Times New Roman"/>
                      <w:sz w:val="21"/>
                      <w:szCs w:val="21"/>
                      <w:highlight w:val="none"/>
                    </w:rPr>
                  </w:pPr>
                </w:p>
              </w:tc>
              <w:tc>
                <w:tcPr>
                  <w:tcW w:w="407" w:type="pct"/>
                  <w:vMerge w:val="continue"/>
                  <w:tcBorders>
                    <w:tl2br w:val="nil"/>
                    <w:tr2bl w:val="nil"/>
                  </w:tcBorders>
                  <w:noWrap w:val="0"/>
                  <w:vAlign w:val="center"/>
                </w:tcPr>
                <w:p w14:paraId="7A710F23">
                  <w:pPr>
                    <w:jc w:val="center"/>
                    <w:rPr>
                      <w:rFonts w:hint="default" w:ascii="Times New Roman" w:hAnsi="Times New Roman" w:cs="Times New Roman"/>
                      <w:sz w:val="21"/>
                      <w:szCs w:val="21"/>
                      <w:highlight w:val="none"/>
                    </w:rPr>
                  </w:pPr>
                </w:p>
              </w:tc>
              <w:tc>
                <w:tcPr>
                  <w:tcW w:w="386" w:type="pct"/>
                  <w:vMerge w:val="continue"/>
                  <w:tcBorders>
                    <w:tl2br w:val="nil"/>
                    <w:tr2bl w:val="nil"/>
                  </w:tcBorders>
                  <w:noWrap w:val="0"/>
                  <w:vAlign w:val="center"/>
                </w:tcPr>
                <w:p w14:paraId="0B59988E">
                  <w:pPr>
                    <w:jc w:val="center"/>
                    <w:rPr>
                      <w:rFonts w:hint="default" w:ascii="Times New Roman" w:hAnsi="Times New Roman" w:cs="Times New Roman"/>
                      <w:sz w:val="21"/>
                      <w:szCs w:val="21"/>
                      <w:highlight w:val="none"/>
                    </w:rPr>
                  </w:pPr>
                </w:p>
              </w:tc>
              <w:tc>
                <w:tcPr>
                  <w:tcW w:w="223" w:type="pct"/>
                  <w:vMerge w:val="continue"/>
                  <w:tcBorders>
                    <w:tl2br w:val="nil"/>
                    <w:tr2bl w:val="nil"/>
                  </w:tcBorders>
                  <w:noWrap w:val="0"/>
                  <w:vAlign w:val="center"/>
                </w:tcPr>
                <w:p w14:paraId="7B3EB1B2">
                  <w:pPr>
                    <w:pStyle w:val="27"/>
                    <w:jc w:val="center"/>
                    <w:rPr>
                      <w:rFonts w:hint="default" w:ascii="Times New Roman" w:hAnsi="Times New Roman" w:eastAsia="宋体" w:cs="Times New Roman"/>
                      <w:sz w:val="21"/>
                      <w:szCs w:val="21"/>
                      <w:highlight w:val="none"/>
                      <w:lang w:val="en-US" w:eastAsia="zh-CN"/>
                    </w:rPr>
                  </w:pPr>
                </w:p>
              </w:tc>
              <w:tc>
                <w:tcPr>
                  <w:tcW w:w="220" w:type="pct"/>
                  <w:tcBorders>
                    <w:tl2br w:val="nil"/>
                    <w:tr2bl w:val="nil"/>
                  </w:tcBorders>
                  <w:noWrap w:val="0"/>
                  <w:vAlign w:val="center"/>
                </w:tcPr>
                <w:p w14:paraId="49280868">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核算方法</w:t>
                  </w:r>
                </w:p>
              </w:tc>
              <w:tc>
                <w:tcPr>
                  <w:tcW w:w="401" w:type="pct"/>
                  <w:tcBorders>
                    <w:tl2br w:val="nil"/>
                    <w:tr2bl w:val="nil"/>
                  </w:tcBorders>
                  <w:noWrap w:val="0"/>
                  <w:vAlign w:val="center"/>
                </w:tcPr>
                <w:p w14:paraId="056431D2">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产生速率kg/h</w:t>
                  </w:r>
                </w:p>
              </w:tc>
              <w:tc>
                <w:tcPr>
                  <w:tcW w:w="424" w:type="pct"/>
                  <w:tcBorders>
                    <w:tl2br w:val="nil"/>
                    <w:tr2bl w:val="nil"/>
                  </w:tcBorders>
                  <w:noWrap w:val="0"/>
                  <w:vAlign w:val="center"/>
                </w:tcPr>
                <w:p w14:paraId="63C2555D">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产生量（t/a）</w:t>
                  </w:r>
                </w:p>
              </w:tc>
              <w:tc>
                <w:tcPr>
                  <w:tcW w:w="651" w:type="pct"/>
                  <w:tcBorders>
                    <w:tl2br w:val="nil"/>
                    <w:tr2bl w:val="nil"/>
                  </w:tcBorders>
                  <w:noWrap w:val="0"/>
                  <w:vAlign w:val="center"/>
                </w:tcPr>
                <w:p w14:paraId="686836CA">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工艺</w:t>
                  </w:r>
                </w:p>
              </w:tc>
              <w:tc>
                <w:tcPr>
                  <w:tcW w:w="205" w:type="pct"/>
                  <w:tcBorders>
                    <w:tl2br w:val="nil"/>
                    <w:tr2bl w:val="nil"/>
                  </w:tcBorders>
                  <w:noWrap w:val="0"/>
                  <w:vAlign w:val="center"/>
                </w:tcPr>
                <w:p w14:paraId="3B1808E7">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收集效率</w:t>
                  </w:r>
                </w:p>
              </w:tc>
              <w:tc>
                <w:tcPr>
                  <w:tcW w:w="287" w:type="pct"/>
                  <w:tcBorders>
                    <w:tl2br w:val="nil"/>
                    <w:tr2bl w:val="nil"/>
                  </w:tcBorders>
                  <w:noWrap w:val="0"/>
                  <w:vAlign w:val="center"/>
                </w:tcPr>
                <w:p w14:paraId="72FD71DC">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治理</w:t>
                  </w:r>
                  <w:r>
                    <w:rPr>
                      <w:rFonts w:hint="default" w:ascii="Times New Roman" w:hAnsi="Times New Roman" w:eastAsia="宋体" w:cs="Times New Roman"/>
                      <w:sz w:val="21"/>
                      <w:szCs w:val="21"/>
                      <w:highlight w:val="none"/>
                      <w:lang w:val="en-US" w:eastAsia="zh-CN"/>
                    </w:rPr>
                    <w:t>效率/%</w:t>
                  </w:r>
                </w:p>
              </w:tc>
              <w:tc>
                <w:tcPr>
                  <w:tcW w:w="260" w:type="pct"/>
                  <w:tcBorders>
                    <w:tl2br w:val="nil"/>
                    <w:tr2bl w:val="nil"/>
                  </w:tcBorders>
                  <w:noWrap w:val="0"/>
                  <w:vAlign w:val="center"/>
                </w:tcPr>
                <w:p w14:paraId="67DEA53C">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是否为可行技术</w:t>
                  </w:r>
                </w:p>
              </w:tc>
              <w:tc>
                <w:tcPr>
                  <w:tcW w:w="369" w:type="pct"/>
                  <w:tcBorders>
                    <w:tl2br w:val="nil"/>
                    <w:tr2bl w:val="nil"/>
                  </w:tcBorders>
                  <w:noWrap w:val="0"/>
                  <w:vAlign w:val="center"/>
                </w:tcPr>
                <w:p w14:paraId="0FB9A08D">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w:t>
                  </w:r>
                </w:p>
                <w:p w14:paraId="11BC64C1">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率kg/h</w:t>
                  </w:r>
                </w:p>
              </w:tc>
              <w:tc>
                <w:tcPr>
                  <w:tcW w:w="464" w:type="pct"/>
                  <w:tcBorders>
                    <w:tl2br w:val="nil"/>
                    <w:tr2bl w:val="nil"/>
                  </w:tcBorders>
                  <w:noWrap w:val="0"/>
                  <w:vAlign w:val="center"/>
                </w:tcPr>
                <w:p w14:paraId="019B8B8A">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排放浓度/（mg/m³）</w:t>
                  </w:r>
                </w:p>
              </w:tc>
              <w:tc>
                <w:tcPr>
                  <w:tcW w:w="455" w:type="pct"/>
                  <w:tcBorders>
                    <w:tl2br w:val="nil"/>
                    <w:tr2bl w:val="nil"/>
                  </w:tcBorders>
                  <w:noWrap w:val="0"/>
                  <w:vAlign w:val="center"/>
                </w:tcPr>
                <w:p w14:paraId="7372AF5E">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排放量/（t/a）</w:t>
                  </w:r>
                </w:p>
              </w:tc>
            </w:tr>
            <w:tr w14:paraId="071AA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2" w:hRule="atLeast"/>
              </w:trPr>
              <w:tc>
                <w:tcPr>
                  <w:tcW w:w="240" w:type="pct"/>
                  <w:vMerge w:val="restart"/>
                  <w:tcBorders>
                    <w:tl2br w:val="nil"/>
                    <w:tr2bl w:val="nil"/>
                  </w:tcBorders>
                  <w:noWrap w:val="0"/>
                  <w:vAlign w:val="center"/>
                </w:tcPr>
                <w:p w14:paraId="3D6E86B0">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cs="Times New Roman"/>
                      <w:sz w:val="21"/>
                      <w:szCs w:val="21"/>
                      <w:highlight w:val="none"/>
                      <w:lang w:val="en-US" w:eastAsia="zh-CN"/>
                    </w:rPr>
                    <w:t>生产过程</w:t>
                  </w:r>
                </w:p>
              </w:tc>
              <w:tc>
                <w:tcPr>
                  <w:tcW w:w="407" w:type="pct"/>
                  <w:tcBorders>
                    <w:tl2br w:val="nil"/>
                    <w:tr2bl w:val="nil"/>
                  </w:tcBorders>
                  <w:shd w:val="clear" w:color="auto" w:fill="auto"/>
                  <w:noWrap w:val="0"/>
                  <w:vAlign w:val="center"/>
                </w:tcPr>
                <w:p w14:paraId="4AE32CE7">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剥绒车间</w:t>
                  </w:r>
                </w:p>
              </w:tc>
              <w:tc>
                <w:tcPr>
                  <w:tcW w:w="386" w:type="pct"/>
                  <w:tcBorders>
                    <w:tl2br w:val="nil"/>
                    <w:tr2bl w:val="nil"/>
                  </w:tcBorders>
                  <w:shd w:val="clear" w:color="auto" w:fill="auto"/>
                  <w:noWrap w:val="0"/>
                  <w:vAlign w:val="center"/>
                </w:tcPr>
                <w:p w14:paraId="2ADF7E06">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颗粒物</w:t>
                  </w:r>
                </w:p>
              </w:tc>
              <w:tc>
                <w:tcPr>
                  <w:tcW w:w="223" w:type="pct"/>
                  <w:tcBorders>
                    <w:tl2br w:val="nil"/>
                    <w:tr2bl w:val="nil"/>
                  </w:tcBorders>
                  <w:shd w:val="clear" w:color="auto" w:fill="auto"/>
                  <w:noWrap w:val="0"/>
                  <w:vAlign w:val="center"/>
                </w:tcPr>
                <w:p w14:paraId="19F50C1B">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220" w:type="pct"/>
                  <w:tcBorders>
                    <w:tl2br w:val="nil"/>
                    <w:tr2bl w:val="nil"/>
                  </w:tcBorders>
                  <w:shd w:val="clear" w:color="auto" w:fill="auto"/>
                  <w:noWrap w:val="0"/>
                  <w:vAlign w:val="center"/>
                </w:tcPr>
                <w:p w14:paraId="593E71C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类比法</w:t>
                  </w:r>
                </w:p>
              </w:tc>
              <w:tc>
                <w:tcPr>
                  <w:tcW w:w="401" w:type="pct"/>
                  <w:tcBorders>
                    <w:tl2br w:val="nil"/>
                    <w:tr2bl w:val="nil"/>
                  </w:tcBorders>
                  <w:shd w:val="clear" w:color="auto" w:fill="auto"/>
                  <w:noWrap w:val="0"/>
                  <w:vAlign w:val="center"/>
                </w:tcPr>
                <w:p w14:paraId="78E83A3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40</w:t>
                  </w:r>
                </w:p>
              </w:tc>
              <w:tc>
                <w:tcPr>
                  <w:tcW w:w="424" w:type="pct"/>
                  <w:tcBorders>
                    <w:tl2br w:val="nil"/>
                    <w:tr2bl w:val="nil"/>
                  </w:tcBorders>
                  <w:shd w:val="clear" w:color="auto" w:fill="auto"/>
                  <w:noWrap w:val="0"/>
                  <w:vAlign w:val="center"/>
                </w:tcPr>
                <w:p w14:paraId="59B5645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324</w:t>
                  </w:r>
                </w:p>
              </w:tc>
              <w:tc>
                <w:tcPr>
                  <w:tcW w:w="651" w:type="pct"/>
                  <w:tcBorders>
                    <w:tl2br w:val="nil"/>
                    <w:tr2bl w:val="nil"/>
                  </w:tcBorders>
                  <w:shd w:val="clear" w:color="auto" w:fill="auto"/>
                  <w:noWrap w:val="0"/>
                  <w:vAlign w:val="center"/>
                </w:tcPr>
                <w:p w14:paraId="0C792EB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组合除尘机组+15m高排气筒</w:t>
                  </w:r>
                </w:p>
              </w:tc>
              <w:tc>
                <w:tcPr>
                  <w:tcW w:w="205" w:type="pct"/>
                  <w:tcBorders>
                    <w:tl2br w:val="nil"/>
                    <w:tr2bl w:val="nil"/>
                  </w:tcBorders>
                  <w:shd w:val="clear" w:color="auto" w:fill="auto"/>
                  <w:noWrap w:val="0"/>
                  <w:vAlign w:val="center"/>
                </w:tcPr>
                <w:p w14:paraId="0452330B">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99</w:t>
                  </w:r>
                </w:p>
              </w:tc>
              <w:tc>
                <w:tcPr>
                  <w:tcW w:w="287" w:type="pct"/>
                  <w:tcBorders>
                    <w:tl2br w:val="nil"/>
                    <w:tr2bl w:val="nil"/>
                  </w:tcBorders>
                  <w:shd w:val="clear" w:color="auto" w:fill="auto"/>
                  <w:noWrap w:val="0"/>
                  <w:vAlign w:val="center"/>
                </w:tcPr>
                <w:p w14:paraId="128F654B">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99</w:t>
                  </w:r>
                  <w:r>
                    <w:rPr>
                      <w:rFonts w:hint="eastAsia" w:ascii="Times New Roman" w:hAnsi="Times New Roman" w:eastAsia="宋体" w:cs="Times New Roman"/>
                      <w:sz w:val="21"/>
                      <w:szCs w:val="21"/>
                      <w:highlight w:val="none"/>
                      <w:lang w:val="en-US" w:eastAsia="zh-CN"/>
                    </w:rPr>
                    <w:t>.5</w:t>
                  </w:r>
                </w:p>
              </w:tc>
              <w:tc>
                <w:tcPr>
                  <w:tcW w:w="260" w:type="pct"/>
                  <w:tcBorders>
                    <w:tl2br w:val="nil"/>
                    <w:tr2bl w:val="nil"/>
                  </w:tcBorders>
                  <w:shd w:val="clear" w:color="auto" w:fill="auto"/>
                  <w:noWrap w:val="0"/>
                  <w:vAlign w:val="center"/>
                </w:tcPr>
                <w:p w14:paraId="3A146554">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5E5DE30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0.222</w:t>
                  </w:r>
                </w:p>
              </w:tc>
              <w:tc>
                <w:tcPr>
                  <w:tcW w:w="464" w:type="pct"/>
                  <w:tcBorders>
                    <w:tl2br w:val="nil"/>
                    <w:tr2bl w:val="nil"/>
                  </w:tcBorders>
                  <w:shd w:val="clear" w:color="auto" w:fill="auto"/>
                  <w:noWrap w:val="0"/>
                  <w:vAlign w:val="center"/>
                </w:tcPr>
                <w:p w14:paraId="3931A64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4.93</w:t>
                  </w:r>
                </w:p>
              </w:tc>
              <w:tc>
                <w:tcPr>
                  <w:tcW w:w="455" w:type="pct"/>
                  <w:tcBorders>
                    <w:tl2br w:val="nil"/>
                    <w:tr2bl w:val="nil"/>
                  </w:tcBorders>
                  <w:shd w:val="clear" w:color="auto" w:fill="auto"/>
                  <w:noWrap w:val="0"/>
                  <w:vAlign w:val="center"/>
                </w:tcPr>
                <w:p w14:paraId="07224C1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1.62</w:t>
                  </w:r>
                </w:p>
              </w:tc>
            </w:tr>
            <w:tr w14:paraId="71A38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2" w:hRule="atLeast"/>
              </w:trPr>
              <w:tc>
                <w:tcPr>
                  <w:tcW w:w="240" w:type="pct"/>
                  <w:vMerge w:val="continue"/>
                  <w:tcBorders>
                    <w:tl2br w:val="nil"/>
                    <w:tr2bl w:val="nil"/>
                  </w:tcBorders>
                  <w:noWrap w:val="0"/>
                  <w:vAlign w:val="center"/>
                </w:tcPr>
                <w:p w14:paraId="336BB1A9">
                  <w:pPr>
                    <w:jc w:val="center"/>
                    <w:rPr>
                      <w:rFonts w:hint="default" w:ascii="Times New Roman" w:hAnsi="Times New Roman" w:cs="Times New Roman"/>
                      <w:sz w:val="21"/>
                      <w:szCs w:val="21"/>
                      <w:highlight w:val="none"/>
                      <w:lang w:val="en-US" w:eastAsia="zh-CN"/>
                    </w:rPr>
                  </w:pPr>
                </w:p>
              </w:tc>
              <w:tc>
                <w:tcPr>
                  <w:tcW w:w="407" w:type="pct"/>
                  <w:tcBorders>
                    <w:tl2br w:val="nil"/>
                    <w:tr2bl w:val="nil"/>
                  </w:tcBorders>
                  <w:shd w:val="clear" w:color="auto" w:fill="auto"/>
                  <w:noWrap w:val="0"/>
                  <w:vAlign w:val="center"/>
                </w:tcPr>
                <w:p w14:paraId="0C339981">
                  <w:pPr>
                    <w:jc w:val="center"/>
                    <w:rPr>
                      <w:rFonts w:hint="default" w:cs="Times New Roman"/>
                      <w:sz w:val="21"/>
                      <w:szCs w:val="21"/>
                      <w:highlight w:val="none"/>
                      <w:lang w:val="en-US" w:eastAsia="zh-CN"/>
                    </w:rPr>
                  </w:pPr>
                  <w:r>
                    <w:rPr>
                      <w:rFonts w:hint="eastAsia" w:cs="Times New Roman"/>
                      <w:sz w:val="21"/>
                      <w:szCs w:val="21"/>
                      <w:highlight w:val="none"/>
                      <w:lang w:val="en-US" w:eastAsia="zh-CN"/>
                    </w:rPr>
                    <w:t>粉碎包装车间</w:t>
                  </w:r>
                </w:p>
              </w:tc>
              <w:tc>
                <w:tcPr>
                  <w:tcW w:w="386" w:type="pct"/>
                  <w:tcBorders>
                    <w:tl2br w:val="nil"/>
                    <w:tr2bl w:val="nil"/>
                  </w:tcBorders>
                  <w:shd w:val="clear" w:color="auto" w:fill="auto"/>
                  <w:noWrap w:val="0"/>
                  <w:vAlign w:val="center"/>
                </w:tcPr>
                <w:p w14:paraId="3C460BF2">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颗粒物</w:t>
                  </w:r>
                </w:p>
              </w:tc>
              <w:tc>
                <w:tcPr>
                  <w:tcW w:w="223" w:type="pct"/>
                  <w:tcBorders>
                    <w:tl2br w:val="nil"/>
                    <w:tr2bl w:val="nil"/>
                  </w:tcBorders>
                  <w:shd w:val="clear" w:color="auto" w:fill="auto"/>
                  <w:noWrap w:val="0"/>
                  <w:vAlign w:val="center"/>
                </w:tcPr>
                <w:p w14:paraId="076A608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有组织</w:t>
                  </w:r>
                </w:p>
              </w:tc>
              <w:tc>
                <w:tcPr>
                  <w:tcW w:w="220" w:type="pct"/>
                  <w:tcBorders>
                    <w:tl2br w:val="nil"/>
                    <w:tr2bl w:val="nil"/>
                  </w:tcBorders>
                  <w:shd w:val="clear" w:color="auto" w:fill="auto"/>
                  <w:noWrap w:val="0"/>
                  <w:vAlign w:val="center"/>
                </w:tcPr>
                <w:p w14:paraId="615755B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类比法</w:t>
                  </w:r>
                </w:p>
              </w:tc>
              <w:tc>
                <w:tcPr>
                  <w:tcW w:w="401" w:type="pct"/>
                  <w:tcBorders>
                    <w:tl2br w:val="nil"/>
                    <w:tr2bl w:val="nil"/>
                  </w:tcBorders>
                  <w:shd w:val="clear" w:color="auto" w:fill="auto"/>
                  <w:noWrap w:val="0"/>
                  <w:vAlign w:val="center"/>
                </w:tcPr>
                <w:p w14:paraId="3005BEA0">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16.17</w:t>
                  </w:r>
                </w:p>
              </w:tc>
              <w:tc>
                <w:tcPr>
                  <w:tcW w:w="424" w:type="pct"/>
                  <w:tcBorders>
                    <w:tl2br w:val="nil"/>
                    <w:tr2bl w:val="nil"/>
                  </w:tcBorders>
                  <w:shd w:val="clear" w:color="auto" w:fill="auto"/>
                  <w:noWrap w:val="0"/>
                  <w:vAlign w:val="center"/>
                </w:tcPr>
                <w:p w14:paraId="7C5C5EB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116.4</w:t>
                  </w:r>
                </w:p>
              </w:tc>
              <w:tc>
                <w:tcPr>
                  <w:tcW w:w="651" w:type="pct"/>
                  <w:tcBorders>
                    <w:tl2br w:val="nil"/>
                    <w:tr2bl w:val="nil"/>
                  </w:tcBorders>
                  <w:shd w:val="clear" w:color="auto" w:fill="auto"/>
                  <w:noWrap w:val="0"/>
                  <w:vAlign w:val="center"/>
                </w:tcPr>
                <w:p w14:paraId="573A7D9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脉冲除尘器</w:t>
                  </w:r>
                </w:p>
              </w:tc>
              <w:tc>
                <w:tcPr>
                  <w:tcW w:w="205" w:type="pct"/>
                  <w:tcBorders>
                    <w:tl2br w:val="nil"/>
                    <w:tr2bl w:val="nil"/>
                  </w:tcBorders>
                  <w:shd w:val="clear" w:color="auto" w:fill="auto"/>
                  <w:noWrap w:val="0"/>
                  <w:vAlign w:val="center"/>
                </w:tcPr>
                <w:p w14:paraId="274FD9D9">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99</w:t>
                  </w:r>
                </w:p>
              </w:tc>
              <w:tc>
                <w:tcPr>
                  <w:tcW w:w="287" w:type="pct"/>
                  <w:tcBorders>
                    <w:tl2br w:val="nil"/>
                    <w:tr2bl w:val="nil"/>
                  </w:tcBorders>
                  <w:shd w:val="clear" w:color="auto" w:fill="auto"/>
                  <w:noWrap w:val="0"/>
                  <w:vAlign w:val="center"/>
                </w:tcPr>
                <w:p w14:paraId="03F7C17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99.5</w:t>
                  </w:r>
                </w:p>
              </w:tc>
              <w:tc>
                <w:tcPr>
                  <w:tcW w:w="260" w:type="pct"/>
                  <w:tcBorders>
                    <w:tl2br w:val="nil"/>
                    <w:tr2bl w:val="nil"/>
                  </w:tcBorders>
                  <w:shd w:val="clear" w:color="auto" w:fill="auto"/>
                  <w:noWrap w:val="0"/>
                  <w:vAlign w:val="center"/>
                </w:tcPr>
                <w:p w14:paraId="5FF2EAE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768DBE2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0.08</w:t>
                  </w:r>
                </w:p>
              </w:tc>
              <w:tc>
                <w:tcPr>
                  <w:tcW w:w="464" w:type="pct"/>
                  <w:tcBorders>
                    <w:tl2br w:val="nil"/>
                    <w:tr2bl w:val="nil"/>
                  </w:tcBorders>
                  <w:shd w:val="clear" w:color="auto" w:fill="auto"/>
                  <w:noWrap w:val="0"/>
                  <w:vAlign w:val="center"/>
                </w:tcPr>
                <w:p w14:paraId="16F046F7">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2.67</w:t>
                  </w:r>
                </w:p>
              </w:tc>
              <w:tc>
                <w:tcPr>
                  <w:tcW w:w="455" w:type="pct"/>
                  <w:tcBorders>
                    <w:tl2br w:val="nil"/>
                    <w:tr2bl w:val="nil"/>
                  </w:tcBorders>
                  <w:shd w:val="clear" w:color="auto" w:fill="auto"/>
                  <w:noWrap w:val="0"/>
                  <w:vAlign w:val="center"/>
                </w:tcPr>
                <w:p w14:paraId="4AED12D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0.582</w:t>
                  </w:r>
                </w:p>
              </w:tc>
            </w:tr>
            <w:tr w14:paraId="596C1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30" w:hRule="atLeast"/>
              </w:trPr>
              <w:tc>
                <w:tcPr>
                  <w:tcW w:w="240" w:type="pct"/>
                  <w:vMerge w:val="continue"/>
                  <w:tcBorders>
                    <w:tl2br w:val="nil"/>
                    <w:tr2bl w:val="nil"/>
                  </w:tcBorders>
                  <w:noWrap w:val="0"/>
                  <w:vAlign w:val="center"/>
                </w:tcPr>
                <w:p w14:paraId="5EC682B7">
                  <w:pPr>
                    <w:jc w:val="center"/>
                    <w:rPr>
                      <w:rFonts w:hint="default" w:ascii="Times New Roman" w:hAnsi="Times New Roman" w:cs="Times New Roman"/>
                      <w:sz w:val="21"/>
                      <w:szCs w:val="21"/>
                      <w:highlight w:val="yellow"/>
                    </w:rPr>
                  </w:pPr>
                </w:p>
              </w:tc>
              <w:tc>
                <w:tcPr>
                  <w:tcW w:w="407" w:type="pct"/>
                  <w:vMerge w:val="restart"/>
                  <w:tcBorders>
                    <w:tl2br w:val="nil"/>
                    <w:tr2bl w:val="nil"/>
                  </w:tcBorders>
                  <w:shd w:val="clear" w:color="auto" w:fill="auto"/>
                  <w:noWrap w:val="0"/>
                  <w:vAlign w:val="center"/>
                </w:tcPr>
                <w:p w14:paraId="3D00EA00">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预处理工艺</w:t>
                  </w:r>
                </w:p>
              </w:tc>
              <w:tc>
                <w:tcPr>
                  <w:tcW w:w="386" w:type="pct"/>
                  <w:tcBorders>
                    <w:tl2br w:val="nil"/>
                    <w:tr2bl w:val="nil"/>
                  </w:tcBorders>
                  <w:shd w:val="clear" w:color="auto" w:fill="auto"/>
                  <w:noWrap w:val="0"/>
                  <w:vAlign w:val="center"/>
                </w:tcPr>
                <w:p w14:paraId="17CC0672">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颗粒物</w:t>
                  </w:r>
                </w:p>
              </w:tc>
              <w:tc>
                <w:tcPr>
                  <w:tcW w:w="223" w:type="pct"/>
                  <w:tcBorders>
                    <w:tl2br w:val="nil"/>
                    <w:tr2bl w:val="nil"/>
                  </w:tcBorders>
                  <w:shd w:val="clear" w:color="auto" w:fill="auto"/>
                  <w:noWrap w:val="0"/>
                  <w:vAlign w:val="center"/>
                </w:tcPr>
                <w:p w14:paraId="26B21CF8">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w:t>
                  </w:r>
                  <w:r>
                    <w:rPr>
                      <w:rFonts w:hint="default" w:ascii="Times New Roman" w:hAnsi="Times New Roman" w:eastAsia="宋体" w:cs="Times New Roman"/>
                      <w:sz w:val="21"/>
                      <w:szCs w:val="21"/>
                      <w:highlight w:val="none"/>
                      <w:lang w:val="en-US" w:eastAsia="zh-CN"/>
                    </w:rPr>
                    <w:t>组织</w:t>
                  </w:r>
                </w:p>
              </w:tc>
              <w:tc>
                <w:tcPr>
                  <w:tcW w:w="220" w:type="pct"/>
                  <w:tcBorders>
                    <w:tl2br w:val="nil"/>
                    <w:tr2bl w:val="nil"/>
                  </w:tcBorders>
                  <w:shd w:val="clear" w:color="auto" w:fill="auto"/>
                  <w:noWrap w:val="0"/>
                  <w:vAlign w:val="center"/>
                </w:tcPr>
                <w:p w14:paraId="0D4248F9">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类比法</w:t>
                  </w:r>
                </w:p>
              </w:tc>
              <w:tc>
                <w:tcPr>
                  <w:tcW w:w="401" w:type="pct"/>
                  <w:tcBorders>
                    <w:tl2br w:val="nil"/>
                    <w:tr2bl w:val="nil"/>
                  </w:tcBorders>
                  <w:shd w:val="clear" w:color="auto" w:fill="auto"/>
                  <w:noWrap w:val="0"/>
                  <w:vAlign w:val="center"/>
                </w:tcPr>
                <w:p w14:paraId="4C814000">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424" w:type="pct"/>
                  <w:tcBorders>
                    <w:tl2br w:val="nil"/>
                    <w:tr2bl w:val="nil"/>
                  </w:tcBorders>
                  <w:shd w:val="clear" w:color="auto" w:fill="auto"/>
                  <w:noWrap w:val="0"/>
                  <w:vAlign w:val="center"/>
                </w:tcPr>
                <w:p w14:paraId="170A6A3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36</w:t>
                  </w:r>
                </w:p>
              </w:tc>
              <w:tc>
                <w:tcPr>
                  <w:tcW w:w="651" w:type="pct"/>
                  <w:tcBorders>
                    <w:tl2br w:val="nil"/>
                    <w:tr2bl w:val="nil"/>
                  </w:tcBorders>
                  <w:shd w:val="clear" w:color="auto" w:fill="auto"/>
                  <w:noWrap w:val="0"/>
                  <w:vAlign w:val="center"/>
                </w:tcPr>
                <w:p w14:paraId="673003B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组合除尘机组+15m高排气筒</w:t>
                  </w:r>
                </w:p>
              </w:tc>
              <w:tc>
                <w:tcPr>
                  <w:tcW w:w="205" w:type="pct"/>
                  <w:tcBorders>
                    <w:tl2br w:val="nil"/>
                    <w:tr2bl w:val="nil"/>
                  </w:tcBorders>
                  <w:shd w:val="clear" w:color="auto" w:fill="auto"/>
                  <w:noWrap w:val="0"/>
                  <w:vAlign w:val="center"/>
                </w:tcPr>
                <w:p w14:paraId="4B6F1B9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96</w:t>
                  </w:r>
                </w:p>
              </w:tc>
              <w:tc>
                <w:tcPr>
                  <w:tcW w:w="287" w:type="pct"/>
                  <w:tcBorders>
                    <w:tl2br w:val="nil"/>
                    <w:tr2bl w:val="nil"/>
                  </w:tcBorders>
                  <w:shd w:val="clear" w:color="auto" w:fill="auto"/>
                  <w:noWrap w:val="0"/>
                  <w:vAlign w:val="center"/>
                </w:tcPr>
                <w:p w14:paraId="76B86186">
                  <w:pPr>
                    <w:pStyle w:val="27"/>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60" w:type="pct"/>
                  <w:tcBorders>
                    <w:tl2br w:val="nil"/>
                    <w:tr2bl w:val="nil"/>
                  </w:tcBorders>
                  <w:shd w:val="clear" w:color="auto" w:fill="auto"/>
                  <w:noWrap w:val="0"/>
                  <w:vAlign w:val="center"/>
                </w:tcPr>
                <w:p w14:paraId="4DDC31A5">
                  <w:pPr>
                    <w:pStyle w:val="27"/>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2BB2D32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w:t>
                  </w:r>
                </w:p>
              </w:tc>
              <w:tc>
                <w:tcPr>
                  <w:tcW w:w="464" w:type="pct"/>
                  <w:tcBorders>
                    <w:tl2br w:val="nil"/>
                    <w:tr2bl w:val="nil"/>
                  </w:tcBorders>
                  <w:shd w:val="clear" w:color="auto" w:fill="auto"/>
                  <w:noWrap w:val="0"/>
                  <w:vAlign w:val="center"/>
                </w:tcPr>
                <w:p w14:paraId="5A55262C">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4.44</w:t>
                  </w:r>
                </w:p>
              </w:tc>
              <w:tc>
                <w:tcPr>
                  <w:tcW w:w="455" w:type="pct"/>
                  <w:tcBorders>
                    <w:tl2br w:val="nil"/>
                    <w:tr2bl w:val="nil"/>
                  </w:tcBorders>
                  <w:shd w:val="clear" w:color="auto" w:fill="auto"/>
                  <w:noWrap w:val="0"/>
                  <w:vAlign w:val="center"/>
                </w:tcPr>
                <w:p w14:paraId="0E89D8F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1.44</w:t>
                  </w:r>
                </w:p>
              </w:tc>
            </w:tr>
            <w:tr w14:paraId="165E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7" w:hRule="atLeast"/>
              </w:trPr>
              <w:tc>
                <w:tcPr>
                  <w:tcW w:w="240" w:type="pct"/>
                  <w:vMerge w:val="continue"/>
                  <w:tcBorders>
                    <w:tl2br w:val="nil"/>
                    <w:tr2bl w:val="nil"/>
                  </w:tcBorders>
                  <w:noWrap w:val="0"/>
                  <w:vAlign w:val="center"/>
                </w:tcPr>
                <w:p w14:paraId="3E474899">
                  <w:pPr>
                    <w:jc w:val="center"/>
                    <w:rPr>
                      <w:rFonts w:hint="default" w:ascii="Times New Roman" w:hAnsi="Times New Roman" w:cs="Times New Roman"/>
                      <w:sz w:val="21"/>
                      <w:szCs w:val="21"/>
                      <w:highlight w:val="yellow"/>
                    </w:rPr>
                  </w:pPr>
                </w:p>
              </w:tc>
              <w:tc>
                <w:tcPr>
                  <w:tcW w:w="407" w:type="pct"/>
                  <w:vMerge w:val="continue"/>
                  <w:tcBorders>
                    <w:tl2br w:val="nil"/>
                    <w:tr2bl w:val="nil"/>
                  </w:tcBorders>
                  <w:shd w:val="clear" w:color="auto" w:fill="auto"/>
                  <w:noWrap w:val="0"/>
                  <w:vAlign w:val="center"/>
                </w:tcPr>
                <w:p w14:paraId="55E0E6B4">
                  <w:pPr>
                    <w:jc w:val="center"/>
                    <w:rPr>
                      <w:rFonts w:hint="default" w:ascii="Times New Roman" w:hAnsi="Times New Roman" w:cs="Times New Roman"/>
                      <w:sz w:val="21"/>
                      <w:szCs w:val="21"/>
                      <w:highlight w:val="none"/>
                    </w:rPr>
                  </w:pPr>
                </w:p>
              </w:tc>
              <w:tc>
                <w:tcPr>
                  <w:tcW w:w="386" w:type="pct"/>
                  <w:tcBorders>
                    <w:tl2br w:val="nil"/>
                    <w:tr2bl w:val="nil"/>
                  </w:tcBorders>
                  <w:shd w:val="clear" w:color="auto" w:fill="auto"/>
                  <w:noWrap w:val="0"/>
                  <w:vAlign w:val="center"/>
                </w:tcPr>
                <w:p w14:paraId="6E87786F">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臭气浓度</w:t>
                  </w:r>
                </w:p>
              </w:tc>
              <w:tc>
                <w:tcPr>
                  <w:tcW w:w="223" w:type="pct"/>
                  <w:tcBorders>
                    <w:tl2br w:val="nil"/>
                    <w:tr2bl w:val="nil"/>
                  </w:tcBorders>
                  <w:shd w:val="clear" w:color="auto" w:fill="auto"/>
                  <w:noWrap w:val="0"/>
                  <w:vAlign w:val="center"/>
                </w:tcPr>
                <w:p w14:paraId="722D954F">
                  <w:pPr>
                    <w:pStyle w:val="27"/>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有组织</w:t>
                  </w:r>
                </w:p>
              </w:tc>
              <w:tc>
                <w:tcPr>
                  <w:tcW w:w="220" w:type="pct"/>
                  <w:tcBorders>
                    <w:tl2br w:val="nil"/>
                    <w:tr2bl w:val="nil"/>
                  </w:tcBorders>
                  <w:shd w:val="clear" w:color="auto" w:fill="auto"/>
                  <w:noWrap w:val="0"/>
                  <w:vAlign w:val="center"/>
                </w:tcPr>
                <w:p w14:paraId="5ACB0BF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类比法</w:t>
                  </w:r>
                </w:p>
              </w:tc>
              <w:tc>
                <w:tcPr>
                  <w:tcW w:w="401" w:type="pct"/>
                  <w:tcBorders>
                    <w:tl2br w:val="nil"/>
                    <w:tr2bl w:val="nil"/>
                  </w:tcBorders>
                  <w:shd w:val="clear" w:color="auto" w:fill="auto"/>
                  <w:noWrap w:val="0"/>
                  <w:vAlign w:val="center"/>
                </w:tcPr>
                <w:p w14:paraId="15738208">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733（无量纲）</w:t>
                  </w:r>
                </w:p>
              </w:tc>
              <w:tc>
                <w:tcPr>
                  <w:tcW w:w="424" w:type="pct"/>
                  <w:tcBorders>
                    <w:tl2br w:val="nil"/>
                    <w:tr2bl w:val="nil"/>
                  </w:tcBorders>
                  <w:shd w:val="clear" w:color="auto" w:fill="auto"/>
                  <w:noWrap w:val="0"/>
                  <w:vAlign w:val="center"/>
                </w:tcPr>
                <w:p w14:paraId="750F4E1F">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tcBorders>
                    <w:tl2br w:val="nil"/>
                    <w:tr2bl w:val="nil"/>
                  </w:tcBorders>
                  <w:shd w:val="clear" w:color="auto" w:fill="auto"/>
                  <w:noWrap w:val="0"/>
                  <w:vAlign w:val="center"/>
                </w:tcPr>
                <w:p w14:paraId="516D8827">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集中收集</w:t>
                  </w:r>
                </w:p>
              </w:tc>
              <w:tc>
                <w:tcPr>
                  <w:tcW w:w="205" w:type="pct"/>
                  <w:tcBorders>
                    <w:tl2br w:val="nil"/>
                    <w:tr2bl w:val="nil"/>
                  </w:tcBorders>
                  <w:shd w:val="clear" w:color="auto" w:fill="auto"/>
                  <w:noWrap w:val="0"/>
                  <w:vAlign w:val="center"/>
                </w:tcPr>
                <w:p w14:paraId="3A4944C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87" w:type="pct"/>
                  <w:tcBorders>
                    <w:tl2br w:val="nil"/>
                    <w:tr2bl w:val="nil"/>
                  </w:tcBorders>
                  <w:shd w:val="clear" w:color="auto" w:fill="auto"/>
                  <w:noWrap w:val="0"/>
                  <w:vAlign w:val="center"/>
                </w:tcPr>
                <w:p w14:paraId="32469448">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60" w:type="pct"/>
                  <w:tcBorders>
                    <w:tl2br w:val="nil"/>
                    <w:tr2bl w:val="nil"/>
                  </w:tcBorders>
                  <w:shd w:val="clear" w:color="auto" w:fill="auto"/>
                  <w:noWrap w:val="0"/>
                  <w:vAlign w:val="center"/>
                </w:tcPr>
                <w:p w14:paraId="25438560">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447A28D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733（无量纲）</w:t>
                  </w:r>
                </w:p>
              </w:tc>
              <w:tc>
                <w:tcPr>
                  <w:tcW w:w="464" w:type="pct"/>
                  <w:tcBorders>
                    <w:tl2br w:val="nil"/>
                    <w:tr2bl w:val="nil"/>
                  </w:tcBorders>
                  <w:shd w:val="clear" w:color="auto" w:fill="auto"/>
                  <w:noWrap w:val="0"/>
                  <w:vAlign w:val="center"/>
                </w:tcPr>
                <w:p w14:paraId="04EF5A4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55" w:type="pct"/>
                  <w:tcBorders>
                    <w:tl2br w:val="nil"/>
                    <w:tr2bl w:val="nil"/>
                  </w:tcBorders>
                  <w:shd w:val="clear" w:color="auto" w:fill="auto"/>
                  <w:noWrap w:val="0"/>
                  <w:vAlign w:val="center"/>
                </w:tcPr>
                <w:p w14:paraId="517C96E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r>
            <w:tr w14:paraId="5F3CF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6" w:hRule="atLeast"/>
              </w:trPr>
              <w:tc>
                <w:tcPr>
                  <w:tcW w:w="240" w:type="pct"/>
                  <w:vMerge w:val="continue"/>
                  <w:tcBorders>
                    <w:tl2br w:val="nil"/>
                    <w:tr2bl w:val="nil"/>
                  </w:tcBorders>
                  <w:shd w:val="clear" w:color="auto" w:fill="auto"/>
                  <w:noWrap w:val="0"/>
                  <w:vAlign w:val="center"/>
                </w:tcPr>
                <w:p w14:paraId="6F3EFA1B">
                  <w:pPr>
                    <w:jc w:val="center"/>
                    <w:rPr>
                      <w:rFonts w:hint="default" w:ascii="Times New Roman" w:hAnsi="Times New Roman" w:cs="Times New Roman"/>
                      <w:sz w:val="21"/>
                      <w:szCs w:val="21"/>
                      <w:highlight w:val="none"/>
                    </w:rPr>
                  </w:pPr>
                </w:p>
              </w:tc>
              <w:tc>
                <w:tcPr>
                  <w:tcW w:w="407" w:type="pct"/>
                  <w:tcBorders>
                    <w:tl2br w:val="nil"/>
                    <w:tr2bl w:val="nil"/>
                  </w:tcBorders>
                  <w:shd w:val="clear" w:color="auto" w:fill="auto"/>
                  <w:noWrap w:val="0"/>
                  <w:vAlign w:val="center"/>
                </w:tcPr>
                <w:p w14:paraId="42BCA523">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浸出车间</w:t>
                  </w:r>
                </w:p>
              </w:tc>
              <w:tc>
                <w:tcPr>
                  <w:tcW w:w="386" w:type="pct"/>
                  <w:tcBorders>
                    <w:tl2br w:val="nil"/>
                    <w:tr2bl w:val="nil"/>
                  </w:tcBorders>
                  <w:shd w:val="clear" w:color="auto" w:fill="auto"/>
                  <w:noWrap w:val="0"/>
                  <w:vAlign w:val="center"/>
                </w:tcPr>
                <w:p w14:paraId="0C0DF998">
                  <w:pPr>
                    <w:jc w:val="center"/>
                    <w:rPr>
                      <w:rFonts w:hint="default" w:cs="Times New Roman"/>
                      <w:sz w:val="21"/>
                      <w:szCs w:val="21"/>
                      <w:highlight w:val="none"/>
                      <w:lang w:val="en-US" w:eastAsia="zh-CN"/>
                    </w:rPr>
                  </w:pPr>
                  <w:r>
                    <w:rPr>
                      <w:rFonts w:hint="eastAsia" w:cs="Times New Roman"/>
                      <w:sz w:val="21"/>
                      <w:szCs w:val="21"/>
                      <w:highlight w:val="none"/>
                      <w:lang w:val="en-US" w:eastAsia="zh-CN"/>
                    </w:rPr>
                    <w:t>非甲烷总烃</w:t>
                  </w:r>
                </w:p>
              </w:tc>
              <w:tc>
                <w:tcPr>
                  <w:tcW w:w="223" w:type="pct"/>
                  <w:tcBorders>
                    <w:tl2br w:val="nil"/>
                    <w:tr2bl w:val="nil"/>
                  </w:tcBorders>
                  <w:shd w:val="clear" w:color="auto" w:fill="auto"/>
                  <w:noWrap w:val="0"/>
                  <w:vAlign w:val="center"/>
                </w:tcPr>
                <w:p w14:paraId="33AAFC00">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有组织</w:t>
                  </w:r>
                </w:p>
              </w:tc>
              <w:tc>
                <w:tcPr>
                  <w:tcW w:w="220" w:type="pct"/>
                  <w:tcBorders>
                    <w:tl2br w:val="nil"/>
                    <w:tr2bl w:val="nil"/>
                  </w:tcBorders>
                  <w:shd w:val="clear" w:color="auto" w:fill="auto"/>
                  <w:noWrap w:val="0"/>
                  <w:vAlign w:val="center"/>
                </w:tcPr>
                <w:p w14:paraId="46CD4FC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类比法</w:t>
                  </w:r>
                </w:p>
              </w:tc>
              <w:tc>
                <w:tcPr>
                  <w:tcW w:w="401" w:type="pct"/>
                  <w:tcBorders>
                    <w:tl2br w:val="nil"/>
                    <w:tr2bl w:val="nil"/>
                  </w:tcBorders>
                  <w:shd w:val="clear" w:color="auto" w:fill="auto"/>
                  <w:noWrap w:val="0"/>
                  <w:vAlign w:val="center"/>
                </w:tcPr>
                <w:p w14:paraId="6A861885">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40.18</w:t>
                  </w:r>
                </w:p>
              </w:tc>
              <w:tc>
                <w:tcPr>
                  <w:tcW w:w="424" w:type="pct"/>
                  <w:tcBorders>
                    <w:tl2br w:val="nil"/>
                    <w:tr2bl w:val="nil"/>
                  </w:tcBorders>
                  <w:shd w:val="clear" w:color="auto" w:fill="auto"/>
                  <w:noWrap w:val="0"/>
                  <w:vAlign w:val="center"/>
                </w:tcPr>
                <w:p w14:paraId="26B6779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289</w:t>
                  </w:r>
                </w:p>
              </w:tc>
              <w:tc>
                <w:tcPr>
                  <w:tcW w:w="651" w:type="pct"/>
                  <w:tcBorders>
                    <w:tl2br w:val="nil"/>
                    <w:tr2bl w:val="nil"/>
                  </w:tcBorders>
                  <w:shd w:val="clear" w:color="auto" w:fill="auto"/>
                  <w:noWrap w:val="0"/>
                  <w:vAlign w:val="center"/>
                </w:tcPr>
                <w:p w14:paraId="2DD22E8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冷冻回收+15m高排气筒</w:t>
                  </w:r>
                </w:p>
              </w:tc>
              <w:tc>
                <w:tcPr>
                  <w:tcW w:w="205" w:type="pct"/>
                  <w:tcBorders>
                    <w:tl2br w:val="nil"/>
                    <w:tr2bl w:val="nil"/>
                  </w:tcBorders>
                  <w:shd w:val="clear" w:color="auto" w:fill="auto"/>
                  <w:noWrap w:val="0"/>
                  <w:vAlign w:val="center"/>
                </w:tcPr>
                <w:p w14:paraId="5CE8539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99</w:t>
                  </w:r>
                </w:p>
              </w:tc>
              <w:tc>
                <w:tcPr>
                  <w:tcW w:w="287" w:type="pct"/>
                  <w:tcBorders>
                    <w:tl2br w:val="nil"/>
                    <w:tr2bl w:val="nil"/>
                  </w:tcBorders>
                  <w:shd w:val="clear" w:color="auto" w:fill="auto"/>
                  <w:noWrap w:val="0"/>
                  <w:vAlign w:val="center"/>
                </w:tcPr>
                <w:p w14:paraId="5536FA8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99.7</w:t>
                  </w:r>
                </w:p>
              </w:tc>
              <w:tc>
                <w:tcPr>
                  <w:tcW w:w="260" w:type="pct"/>
                  <w:tcBorders>
                    <w:tl2br w:val="nil"/>
                    <w:tr2bl w:val="nil"/>
                  </w:tcBorders>
                  <w:shd w:val="clear" w:color="auto" w:fill="auto"/>
                  <w:noWrap w:val="0"/>
                  <w:vAlign w:val="center"/>
                </w:tcPr>
                <w:p w14:paraId="6F246920">
                  <w:pPr>
                    <w:pStyle w:val="27"/>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5D27EFE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w:t>
                  </w:r>
                </w:p>
              </w:tc>
              <w:tc>
                <w:tcPr>
                  <w:tcW w:w="464" w:type="pct"/>
                  <w:tcBorders>
                    <w:tl2br w:val="nil"/>
                    <w:tr2bl w:val="nil"/>
                  </w:tcBorders>
                  <w:shd w:val="clear" w:color="auto" w:fill="auto"/>
                  <w:noWrap w:val="0"/>
                  <w:vAlign w:val="center"/>
                </w:tcPr>
                <w:p w14:paraId="57C30C1F">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455" w:type="pct"/>
                  <w:tcBorders>
                    <w:tl2br w:val="nil"/>
                    <w:tr2bl w:val="nil"/>
                  </w:tcBorders>
                  <w:shd w:val="clear" w:color="auto" w:fill="auto"/>
                  <w:noWrap w:val="0"/>
                  <w:vAlign w:val="center"/>
                </w:tcPr>
                <w:p w14:paraId="782270D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0.867</w:t>
                  </w:r>
                </w:p>
              </w:tc>
            </w:tr>
            <w:tr w14:paraId="4478C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9" w:hRule="atLeast"/>
              </w:trPr>
              <w:tc>
                <w:tcPr>
                  <w:tcW w:w="240" w:type="pct"/>
                  <w:vMerge w:val="continue"/>
                  <w:tcBorders>
                    <w:tl2br w:val="nil"/>
                    <w:tr2bl w:val="nil"/>
                  </w:tcBorders>
                  <w:noWrap w:val="0"/>
                  <w:vAlign w:val="center"/>
                </w:tcPr>
                <w:p w14:paraId="1ED0615F">
                  <w:pPr>
                    <w:jc w:val="center"/>
                    <w:rPr>
                      <w:rFonts w:hint="default" w:ascii="Times New Roman" w:hAnsi="Times New Roman" w:cs="Times New Roman"/>
                      <w:sz w:val="21"/>
                      <w:szCs w:val="21"/>
                      <w:highlight w:val="yellow"/>
                    </w:rPr>
                  </w:pPr>
                </w:p>
              </w:tc>
              <w:tc>
                <w:tcPr>
                  <w:tcW w:w="407" w:type="pct"/>
                  <w:vMerge w:val="restart"/>
                  <w:tcBorders>
                    <w:tl2br w:val="nil"/>
                    <w:tr2bl w:val="nil"/>
                  </w:tcBorders>
                  <w:shd w:val="clear" w:color="auto" w:fill="auto"/>
                  <w:noWrap w:val="0"/>
                  <w:vAlign w:val="center"/>
                </w:tcPr>
                <w:p w14:paraId="66CF8631">
                  <w:pPr>
                    <w:jc w:val="center"/>
                    <w:rPr>
                      <w:rFonts w:hint="default" w:cs="Times New Roman"/>
                      <w:sz w:val="21"/>
                      <w:szCs w:val="21"/>
                      <w:highlight w:val="none"/>
                      <w:lang w:val="en-US" w:eastAsia="zh-CN"/>
                    </w:rPr>
                  </w:pPr>
                  <w:r>
                    <w:rPr>
                      <w:rFonts w:hint="eastAsia" w:cs="Times New Roman"/>
                      <w:sz w:val="21"/>
                      <w:szCs w:val="21"/>
                      <w:highlight w:val="none"/>
                      <w:lang w:val="en-US" w:eastAsia="zh-CN"/>
                    </w:rPr>
                    <w:t>15t燃气锅炉</w:t>
                  </w:r>
                </w:p>
              </w:tc>
              <w:tc>
                <w:tcPr>
                  <w:tcW w:w="386" w:type="pct"/>
                  <w:tcBorders>
                    <w:tl2br w:val="nil"/>
                    <w:tr2bl w:val="nil"/>
                  </w:tcBorders>
                  <w:shd w:val="clear" w:color="auto" w:fill="auto"/>
                  <w:noWrap w:val="0"/>
                  <w:vAlign w:val="center"/>
                </w:tcPr>
                <w:p w14:paraId="01363366">
                  <w:pPr>
                    <w:jc w:val="center"/>
                    <w:rPr>
                      <w:rFonts w:hint="default" w:cs="Times New Roman"/>
                      <w:sz w:val="21"/>
                      <w:szCs w:val="21"/>
                      <w:highlight w:val="none"/>
                      <w:lang w:val="en-US" w:eastAsia="zh-CN"/>
                    </w:rPr>
                  </w:pPr>
                  <w:r>
                    <w:rPr>
                      <w:rFonts w:hint="eastAsia" w:cs="Times New Roman"/>
                      <w:sz w:val="21"/>
                      <w:szCs w:val="21"/>
                      <w:highlight w:val="none"/>
                      <w:lang w:val="en-US" w:eastAsia="zh-CN"/>
                    </w:rPr>
                    <w:t>颗粒物</w:t>
                  </w:r>
                </w:p>
              </w:tc>
              <w:tc>
                <w:tcPr>
                  <w:tcW w:w="223" w:type="pct"/>
                  <w:vMerge w:val="restart"/>
                  <w:tcBorders>
                    <w:tl2br w:val="nil"/>
                    <w:tr2bl w:val="nil"/>
                  </w:tcBorders>
                  <w:shd w:val="clear" w:color="auto" w:fill="auto"/>
                  <w:noWrap w:val="0"/>
                  <w:vAlign w:val="center"/>
                </w:tcPr>
                <w:p w14:paraId="3F87852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有组织</w:t>
                  </w:r>
                </w:p>
              </w:tc>
              <w:tc>
                <w:tcPr>
                  <w:tcW w:w="220" w:type="pct"/>
                  <w:vMerge w:val="restart"/>
                  <w:tcBorders>
                    <w:tl2br w:val="nil"/>
                    <w:tr2bl w:val="nil"/>
                  </w:tcBorders>
                  <w:shd w:val="clear" w:color="auto" w:fill="auto"/>
                  <w:noWrap w:val="0"/>
                  <w:vAlign w:val="center"/>
                </w:tcPr>
                <w:p w14:paraId="1BA89CC7">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产污系数发</w:t>
                  </w:r>
                </w:p>
              </w:tc>
              <w:tc>
                <w:tcPr>
                  <w:tcW w:w="401" w:type="pct"/>
                  <w:tcBorders>
                    <w:tl2br w:val="nil"/>
                    <w:tr2bl w:val="nil"/>
                  </w:tcBorders>
                  <w:shd w:val="clear" w:color="auto" w:fill="auto"/>
                  <w:noWrap w:val="0"/>
                  <w:vAlign w:val="center"/>
                </w:tcPr>
                <w:p w14:paraId="25668915">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0BC8A75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vMerge w:val="restart"/>
                  <w:tcBorders>
                    <w:tl2br w:val="nil"/>
                    <w:tr2bl w:val="nil"/>
                  </w:tcBorders>
                  <w:shd w:val="clear" w:color="auto" w:fill="auto"/>
                  <w:noWrap w:val="0"/>
                  <w:vAlign w:val="center"/>
                </w:tcPr>
                <w:p w14:paraId="58EE7AFA">
                  <w:pPr>
                    <w:pStyle w:val="27"/>
                    <w:jc w:val="center"/>
                    <w:rPr>
                      <w:rFonts w:hint="default"/>
                      <w:color w:val="auto"/>
                      <w:sz w:val="21"/>
                      <w:szCs w:val="21"/>
                      <w:highlight w:val="none"/>
                      <w:lang w:val="en-US" w:eastAsia="zh-CN"/>
                    </w:rPr>
                  </w:pPr>
                  <w:r>
                    <w:rPr>
                      <w:rFonts w:hint="eastAsia" w:ascii="Times New Roman" w:hAnsi="Times New Roman" w:eastAsia="宋体" w:cs="Times New Roman"/>
                      <w:sz w:val="21"/>
                      <w:szCs w:val="21"/>
                      <w:highlight w:val="none"/>
                      <w:lang w:val="en-US" w:eastAsia="zh-CN"/>
                    </w:rPr>
                    <w:t>低氮燃烧器+烟气再循环技术+8m高排气筒</w:t>
                  </w:r>
                </w:p>
              </w:tc>
              <w:tc>
                <w:tcPr>
                  <w:tcW w:w="205" w:type="pct"/>
                  <w:vMerge w:val="restart"/>
                  <w:tcBorders>
                    <w:tl2br w:val="nil"/>
                    <w:tr2bl w:val="nil"/>
                  </w:tcBorders>
                  <w:shd w:val="clear" w:color="auto" w:fill="auto"/>
                  <w:noWrap w:val="0"/>
                  <w:vAlign w:val="center"/>
                </w:tcPr>
                <w:p w14:paraId="69AD6CF6">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99</w:t>
                  </w:r>
                </w:p>
              </w:tc>
              <w:tc>
                <w:tcPr>
                  <w:tcW w:w="287" w:type="pct"/>
                  <w:vMerge w:val="restart"/>
                  <w:tcBorders>
                    <w:tl2br w:val="nil"/>
                    <w:tr2bl w:val="nil"/>
                  </w:tcBorders>
                  <w:shd w:val="clear" w:color="auto" w:fill="auto"/>
                  <w:noWrap w:val="0"/>
                  <w:vAlign w:val="center"/>
                </w:tcPr>
                <w:p w14:paraId="0911050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约60</w:t>
                  </w:r>
                </w:p>
              </w:tc>
              <w:tc>
                <w:tcPr>
                  <w:tcW w:w="260" w:type="pct"/>
                  <w:vMerge w:val="restart"/>
                  <w:tcBorders>
                    <w:tl2br w:val="nil"/>
                    <w:tr2bl w:val="nil"/>
                  </w:tcBorders>
                  <w:shd w:val="clear" w:color="auto" w:fill="auto"/>
                  <w:noWrap w:val="0"/>
                  <w:vAlign w:val="center"/>
                </w:tcPr>
                <w:p w14:paraId="3E759875">
                  <w:pPr>
                    <w:pStyle w:val="27"/>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6706EC8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0.106</w:t>
                  </w:r>
                </w:p>
              </w:tc>
              <w:tc>
                <w:tcPr>
                  <w:tcW w:w="464" w:type="pct"/>
                  <w:tcBorders>
                    <w:tl2br w:val="nil"/>
                    <w:tr2bl w:val="nil"/>
                  </w:tcBorders>
                  <w:shd w:val="clear" w:color="auto" w:fill="auto"/>
                  <w:noWrap w:val="0"/>
                  <w:vAlign w:val="center"/>
                </w:tcPr>
                <w:p w14:paraId="2E62F35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14.53</w:t>
                  </w:r>
                </w:p>
              </w:tc>
              <w:tc>
                <w:tcPr>
                  <w:tcW w:w="455" w:type="pct"/>
                  <w:tcBorders>
                    <w:tl2br w:val="nil"/>
                    <w:tr2bl w:val="nil"/>
                  </w:tcBorders>
                  <w:shd w:val="clear" w:color="auto" w:fill="auto"/>
                  <w:noWrap w:val="0"/>
                  <w:vAlign w:val="center"/>
                </w:tcPr>
                <w:p w14:paraId="6582A4B7">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0.765</w:t>
                  </w:r>
                </w:p>
              </w:tc>
            </w:tr>
            <w:tr w14:paraId="6CF1D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40" w:type="pct"/>
                  <w:vMerge w:val="continue"/>
                  <w:tcBorders>
                    <w:tl2br w:val="nil"/>
                    <w:tr2bl w:val="nil"/>
                  </w:tcBorders>
                  <w:noWrap w:val="0"/>
                  <w:vAlign w:val="center"/>
                </w:tcPr>
                <w:p w14:paraId="25D2B5CF">
                  <w:pPr>
                    <w:jc w:val="center"/>
                    <w:rPr>
                      <w:rFonts w:hint="default" w:ascii="Times New Roman" w:hAnsi="Times New Roman" w:cs="Times New Roman"/>
                      <w:sz w:val="21"/>
                      <w:szCs w:val="21"/>
                      <w:highlight w:val="yellow"/>
                    </w:rPr>
                  </w:pPr>
                </w:p>
              </w:tc>
              <w:tc>
                <w:tcPr>
                  <w:tcW w:w="407" w:type="pct"/>
                  <w:vMerge w:val="continue"/>
                  <w:tcBorders>
                    <w:tl2br w:val="nil"/>
                    <w:tr2bl w:val="nil"/>
                  </w:tcBorders>
                  <w:shd w:val="clear" w:color="auto" w:fill="auto"/>
                  <w:noWrap w:val="0"/>
                  <w:vAlign w:val="center"/>
                </w:tcPr>
                <w:p w14:paraId="22AE2163">
                  <w:pPr>
                    <w:jc w:val="center"/>
                    <w:rPr>
                      <w:rFonts w:hint="eastAsia" w:cs="Times New Roman"/>
                      <w:sz w:val="21"/>
                      <w:szCs w:val="21"/>
                      <w:highlight w:val="none"/>
                      <w:lang w:val="en-US" w:eastAsia="zh-CN"/>
                    </w:rPr>
                  </w:pPr>
                </w:p>
              </w:tc>
              <w:tc>
                <w:tcPr>
                  <w:tcW w:w="386" w:type="pct"/>
                  <w:tcBorders>
                    <w:tl2br w:val="nil"/>
                    <w:tr2bl w:val="nil"/>
                  </w:tcBorders>
                  <w:shd w:val="clear" w:color="auto" w:fill="auto"/>
                  <w:noWrap w:val="0"/>
                  <w:vAlign w:val="center"/>
                </w:tcPr>
                <w:p w14:paraId="498E5B26">
                  <w:pPr>
                    <w:jc w:val="center"/>
                    <w:rPr>
                      <w:rFonts w:hint="eastAsia" w:cs="Times New Roman"/>
                      <w:sz w:val="21"/>
                      <w:szCs w:val="21"/>
                      <w:highlight w:val="none"/>
                      <w:lang w:val="en-US" w:eastAsia="zh-CN"/>
                    </w:rPr>
                  </w:pPr>
                  <w:r>
                    <w:rPr>
                      <w:rFonts w:ascii="Times New Roman" w:hAnsi="Times New Roman" w:cs="Times New Roman"/>
                      <w:color w:val="auto"/>
                      <w:sz w:val="21"/>
                      <w:szCs w:val="21"/>
                      <w:highlight w:val="none"/>
                    </w:rPr>
                    <w:t>SO</w:t>
                  </w:r>
                  <w:r>
                    <w:rPr>
                      <w:rFonts w:ascii="Times New Roman" w:hAnsi="Times New Roman" w:cs="Times New Roman"/>
                      <w:color w:val="auto"/>
                      <w:sz w:val="21"/>
                      <w:szCs w:val="21"/>
                      <w:highlight w:val="none"/>
                      <w:vertAlign w:val="subscript"/>
                    </w:rPr>
                    <w:t>2</w:t>
                  </w:r>
                </w:p>
              </w:tc>
              <w:tc>
                <w:tcPr>
                  <w:tcW w:w="223" w:type="pct"/>
                  <w:vMerge w:val="continue"/>
                  <w:tcBorders>
                    <w:tl2br w:val="nil"/>
                    <w:tr2bl w:val="nil"/>
                  </w:tcBorders>
                  <w:shd w:val="clear" w:color="auto" w:fill="auto"/>
                  <w:noWrap w:val="0"/>
                  <w:vAlign w:val="center"/>
                </w:tcPr>
                <w:p w14:paraId="7FA89CAF">
                  <w:pPr>
                    <w:pStyle w:val="27"/>
                    <w:jc w:val="center"/>
                    <w:rPr>
                      <w:rFonts w:hint="eastAsia" w:ascii="Times New Roman" w:hAnsi="Times New Roman" w:eastAsia="宋体" w:cs="Times New Roman"/>
                      <w:sz w:val="21"/>
                      <w:szCs w:val="21"/>
                      <w:highlight w:val="none"/>
                      <w:lang w:val="en-US" w:eastAsia="zh-CN"/>
                    </w:rPr>
                  </w:pPr>
                </w:p>
              </w:tc>
              <w:tc>
                <w:tcPr>
                  <w:tcW w:w="220" w:type="pct"/>
                  <w:vMerge w:val="continue"/>
                  <w:tcBorders>
                    <w:tl2br w:val="nil"/>
                    <w:tr2bl w:val="nil"/>
                  </w:tcBorders>
                  <w:shd w:val="clear" w:color="auto" w:fill="auto"/>
                  <w:noWrap w:val="0"/>
                  <w:vAlign w:val="center"/>
                </w:tcPr>
                <w:p w14:paraId="44A46C20">
                  <w:pPr>
                    <w:pStyle w:val="27"/>
                    <w:jc w:val="center"/>
                    <w:rPr>
                      <w:rFonts w:hint="eastAsia" w:ascii="Times New Roman" w:hAnsi="Times New Roman" w:eastAsia="宋体" w:cs="Times New Roman"/>
                      <w:sz w:val="21"/>
                      <w:szCs w:val="21"/>
                      <w:highlight w:val="none"/>
                      <w:lang w:val="en-US" w:eastAsia="zh-CN"/>
                    </w:rPr>
                  </w:pPr>
                </w:p>
              </w:tc>
              <w:tc>
                <w:tcPr>
                  <w:tcW w:w="401" w:type="pct"/>
                  <w:tcBorders>
                    <w:tl2br w:val="nil"/>
                    <w:tr2bl w:val="nil"/>
                  </w:tcBorders>
                  <w:shd w:val="clear" w:color="auto" w:fill="auto"/>
                  <w:noWrap w:val="0"/>
                  <w:vAlign w:val="center"/>
                </w:tcPr>
                <w:p w14:paraId="1DA43CB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50D7A1C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vMerge w:val="continue"/>
                  <w:tcBorders>
                    <w:tl2br w:val="nil"/>
                    <w:tr2bl w:val="nil"/>
                  </w:tcBorders>
                  <w:shd w:val="clear" w:color="auto" w:fill="auto"/>
                  <w:noWrap w:val="0"/>
                  <w:vAlign w:val="center"/>
                </w:tcPr>
                <w:p w14:paraId="788AAF9C">
                  <w:pPr>
                    <w:pStyle w:val="27"/>
                    <w:jc w:val="center"/>
                    <w:rPr>
                      <w:rFonts w:hint="eastAsia" w:ascii="Times New Roman" w:hAnsi="Times New Roman" w:eastAsia="宋体" w:cs="Times New Roman"/>
                      <w:sz w:val="21"/>
                      <w:szCs w:val="21"/>
                      <w:highlight w:val="none"/>
                      <w:lang w:val="en-US" w:eastAsia="zh-CN"/>
                    </w:rPr>
                  </w:pPr>
                </w:p>
              </w:tc>
              <w:tc>
                <w:tcPr>
                  <w:tcW w:w="205" w:type="pct"/>
                  <w:vMerge w:val="continue"/>
                  <w:tcBorders>
                    <w:tl2br w:val="nil"/>
                    <w:tr2bl w:val="nil"/>
                  </w:tcBorders>
                  <w:shd w:val="clear" w:color="auto" w:fill="auto"/>
                  <w:noWrap w:val="0"/>
                  <w:vAlign w:val="center"/>
                </w:tcPr>
                <w:p w14:paraId="5010905D">
                  <w:pPr>
                    <w:pStyle w:val="27"/>
                    <w:jc w:val="center"/>
                    <w:rPr>
                      <w:rFonts w:hint="eastAsia" w:ascii="Times New Roman" w:hAnsi="Times New Roman" w:eastAsia="宋体" w:cs="Times New Roman"/>
                      <w:sz w:val="21"/>
                      <w:szCs w:val="21"/>
                      <w:highlight w:val="none"/>
                      <w:lang w:val="en-US" w:eastAsia="zh-CN"/>
                    </w:rPr>
                  </w:pPr>
                </w:p>
              </w:tc>
              <w:tc>
                <w:tcPr>
                  <w:tcW w:w="287" w:type="pct"/>
                  <w:vMerge w:val="continue"/>
                  <w:tcBorders>
                    <w:tl2br w:val="nil"/>
                    <w:tr2bl w:val="nil"/>
                  </w:tcBorders>
                  <w:shd w:val="clear" w:color="auto" w:fill="auto"/>
                  <w:noWrap w:val="0"/>
                  <w:vAlign w:val="center"/>
                </w:tcPr>
                <w:p w14:paraId="5149CE36">
                  <w:pPr>
                    <w:pStyle w:val="27"/>
                    <w:jc w:val="center"/>
                    <w:rPr>
                      <w:rFonts w:hint="eastAsia" w:ascii="Times New Roman" w:hAnsi="Times New Roman" w:eastAsia="宋体" w:cs="Times New Roman"/>
                      <w:sz w:val="21"/>
                      <w:szCs w:val="21"/>
                      <w:highlight w:val="none"/>
                      <w:lang w:val="en-US" w:eastAsia="zh-CN"/>
                    </w:rPr>
                  </w:pPr>
                </w:p>
              </w:tc>
              <w:tc>
                <w:tcPr>
                  <w:tcW w:w="260" w:type="pct"/>
                  <w:vMerge w:val="continue"/>
                  <w:tcBorders>
                    <w:tl2br w:val="nil"/>
                    <w:tr2bl w:val="nil"/>
                  </w:tcBorders>
                  <w:shd w:val="clear" w:color="auto" w:fill="auto"/>
                  <w:noWrap w:val="0"/>
                  <w:vAlign w:val="center"/>
                </w:tcPr>
                <w:p w14:paraId="1285EF94">
                  <w:pPr>
                    <w:pStyle w:val="27"/>
                    <w:jc w:val="center"/>
                    <w:rPr>
                      <w:rFonts w:hint="eastAsia" w:ascii="Times New Roman" w:hAnsi="Times New Roman" w:eastAsia="宋体" w:cs="Times New Roman"/>
                      <w:sz w:val="21"/>
                      <w:szCs w:val="21"/>
                      <w:highlight w:val="none"/>
                      <w:lang w:val="en-US" w:eastAsia="zh-CN"/>
                    </w:rPr>
                  </w:pPr>
                </w:p>
              </w:tc>
              <w:tc>
                <w:tcPr>
                  <w:tcW w:w="369" w:type="pct"/>
                  <w:tcBorders>
                    <w:tl2br w:val="nil"/>
                    <w:tr2bl w:val="nil"/>
                  </w:tcBorders>
                  <w:shd w:val="clear" w:color="auto" w:fill="auto"/>
                  <w:noWrap w:val="0"/>
                  <w:vAlign w:val="center"/>
                </w:tcPr>
                <w:p w14:paraId="3F36134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0.00093</w:t>
                  </w:r>
                </w:p>
              </w:tc>
              <w:tc>
                <w:tcPr>
                  <w:tcW w:w="464" w:type="pct"/>
                  <w:tcBorders>
                    <w:tl2br w:val="nil"/>
                    <w:tr2bl w:val="nil"/>
                  </w:tcBorders>
                  <w:shd w:val="clear" w:color="auto" w:fill="auto"/>
                  <w:noWrap w:val="0"/>
                  <w:vAlign w:val="center"/>
                </w:tcPr>
                <w:p w14:paraId="68E274CC">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0.128</w:t>
                  </w:r>
                </w:p>
              </w:tc>
              <w:tc>
                <w:tcPr>
                  <w:tcW w:w="455" w:type="pct"/>
                  <w:tcBorders>
                    <w:tl2br w:val="nil"/>
                    <w:tr2bl w:val="nil"/>
                  </w:tcBorders>
                  <w:shd w:val="clear" w:color="auto" w:fill="auto"/>
                  <w:noWrap w:val="0"/>
                  <w:vAlign w:val="center"/>
                </w:tcPr>
                <w:p w14:paraId="087EAC00">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0.006732</w:t>
                  </w:r>
                </w:p>
              </w:tc>
            </w:tr>
            <w:tr w14:paraId="774BA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240" w:type="pct"/>
                  <w:vMerge w:val="continue"/>
                  <w:tcBorders>
                    <w:tl2br w:val="nil"/>
                    <w:tr2bl w:val="nil"/>
                  </w:tcBorders>
                  <w:noWrap w:val="0"/>
                  <w:vAlign w:val="center"/>
                </w:tcPr>
                <w:p w14:paraId="2165068E">
                  <w:pPr>
                    <w:jc w:val="center"/>
                    <w:rPr>
                      <w:rFonts w:hint="default" w:ascii="Times New Roman" w:hAnsi="Times New Roman" w:cs="Times New Roman"/>
                      <w:sz w:val="21"/>
                      <w:szCs w:val="21"/>
                      <w:highlight w:val="yellow"/>
                    </w:rPr>
                  </w:pPr>
                </w:p>
              </w:tc>
              <w:tc>
                <w:tcPr>
                  <w:tcW w:w="407" w:type="pct"/>
                  <w:vMerge w:val="continue"/>
                  <w:tcBorders>
                    <w:tl2br w:val="nil"/>
                    <w:tr2bl w:val="nil"/>
                  </w:tcBorders>
                  <w:shd w:val="clear" w:color="auto" w:fill="auto"/>
                  <w:noWrap w:val="0"/>
                  <w:vAlign w:val="center"/>
                </w:tcPr>
                <w:p w14:paraId="144B0C7F">
                  <w:pPr>
                    <w:jc w:val="center"/>
                    <w:rPr>
                      <w:rFonts w:hint="eastAsia" w:cs="Times New Roman"/>
                      <w:sz w:val="21"/>
                      <w:szCs w:val="21"/>
                      <w:highlight w:val="none"/>
                      <w:lang w:val="en-US" w:eastAsia="zh-CN"/>
                    </w:rPr>
                  </w:pPr>
                </w:p>
              </w:tc>
              <w:tc>
                <w:tcPr>
                  <w:tcW w:w="386" w:type="pct"/>
                  <w:tcBorders>
                    <w:tl2br w:val="nil"/>
                    <w:tr2bl w:val="nil"/>
                  </w:tcBorders>
                  <w:shd w:val="clear" w:color="auto" w:fill="auto"/>
                  <w:noWrap w:val="0"/>
                  <w:vAlign w:val="center"/>
                </w:tcPr>
                <w:p w14:paraId="685C8D45">
                  <w:pPr>
                    <w:jc w:val="center"/>
                    <w:rPr>
                      <w:rFonts w:hint="eastAsia" w:cs="Times New Roman"/>
                      <w:sz w:val="21"/>
                      <w:szCs w:val="21"/>
                      <w:highlight w:val="none"/>
                      <w:lang w:val="en-US" w:eastAsia="zh-CN"/>
                    </w:rPr>
                  </w:pPr>
                  <w:r>
                    <w:rPr>
                      <w:rFonts w:ascii="Times New Roman" w:hAnsi="Times New Roman" w:cs="Times New Roman"/>
                      <w:color w:val="auto"/>
                      <w:sz w:val="21"/>
                      <w:szCs w:val="21"/>
                      <w:highlight w:val="none"/>
                    </w:rPr>
                    <w:t>NOx</w:t>
                  </w:r>
                </w:p>
              </w:tc>
              <w:tc>
                <w:tcPr>
                  <w:tcW w:w="223" w:type="pct"/>
                  <w:vMerge w:val="continue"/>
                  <w:tcBorders>
                    <w:tl2br w:val="nil"/>
                    <w:tr2bl w:val="nil"/>
                  </w:tcBorders>
                  <w:shd w:val="clear" w:color="auto" w:fill="auto"/>
                  <w:noWrap w:val="0"/>
                  <w:vAlign w:val="center"/>
                </w:tcPr>
                <w:p w14:paraId="4739B8A4">
                  <w:pPr>
                    <w:pStyle w:val="27"/>
                    <w:jc w:val="center"/>
                    <w:rPr>
                      <w:rFonts w:hint="eastAsia" w:ascii="Times New Roman" w:hAnsi="Times New Roman" w:eastAsia="宋体" w:cs="Times New Roman"/>
                      <w:sz w:val="21"/>
                      <w:szCs w:val="21"/>
                      <w:highlight w:val="none"/>
                      <w:lang w:val="en-US" w:eastAsia="zh-CN"/>
                    </w:rPr>
                  </w:pPr>
                </w:p>
              </w:tc>
              <w:tc>
                <w:tcPr>
                  <w:tcW w:w="220" w:type="pct"/>
                  <w:vMerge w:val="continue"/>
                  <w:tcBorders>
                    <w:tl2br w:val="nil"/>
                    <w:tr2bl w:val="nil"/>
                  </w:tcBorders>
                  <w:shd w:val="clear" w:color="auto" w:fill="auto"/>
                  <w:noWrap w:val="0"/>
                  <w:vAlign w:val="center"/>
                </w:tcPr>
                <w:p w14:paraId="308A9285">
                  <w:pPr>
                    <w:pStyle w:val="27"/>
                    <w:jc w:val="center"/>
                    <w:rPr>
                      <w:rFonts w:hint="eastAsia" w:ascii="Times New Roman" w:hAnsi="Times New Roman" w:eastAsia="宋体" w:cs="Times New Roman"/>
                      <w:sz w:val="21"/>
                      <w:szCs w:val="21"/>
                      <w:highlight w:val="none"/>
                      <w:lang w:val="en-US" w:eastAsia="zh-CN"/>
                    </w:rPr>
                  </w:pPr>
                </w:p>
              </w:tc>
              <w:tc>
                <w:tcPr>
                  <w:tcW w:w="401" w:type="pct"/>
                  <w:tcBorders>
                    <w:tl2br w:val="nil"/>
                    <w:tr2bl w:val="nil"/>
                  </w:tcBorders>
                  <w:shd w:val="clear" w:color="auto" w:fill="auto"/>
                  <w:noWrap w:val="0"/>
                  <w:vAlign w:val="center"/>
                </w:tcPr>
                <w:p w14:paraId="3F807EC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0F5C1A7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vMerge w:val="continue"/>
                  <w:tcBorders>
                    <w:tl2br w:val="nil"/>
                    <w:tr2bl w:val="nil"/>
                  </w:tcBorders>
                  <w:shd w:val="clear" w:color="auto" w:fill="auto"/>
                  <w:noWrap w:val="0"/>
                  <w:vAlign w:val="center"/>
                </w:tcPr>
                <w:p w14:paraId="07412FE5">
                  <w:pPr>
                    <w:pStyle w:val="27"/>
                    <w:jc w:val="center"/>
                    <w:rPr>
                      <w:rFonts w:hint="eastAsia" w:ascii="Times New Roman" w:hAnsi="Times New Roman" w:eastAsia="宋体" w:cs="Times New Roman"/>
                      <w:sz w:val="21"/>
                      <w:szCs w:val="21"/>
                      <w:highlight w:val="none"/>
                      <w:lang w:val="en-US" w:eastAsia="zh-CN"/>
                    </w:rPr>
                  </w:pPr>
                </w:p>
              </w:tc>
              <w:tc>
                <w:tcPr>
                  <w:tcW w:w="205" w:type="pct"/>
                  <w:vMerge w:val="continue"/>
                  <w:tcBorders>
                    <w:tl2br w:val="nil"/>
                    <w:tr2bl w:val="nil"/>
                  </w:tcBorders>
                  <w:shd w:val="clear" w:color="auto" w:fill="auto"/>
                  <w:noWrap w:val="0"/>
                  <w:vAlign w:val="center"/>
                </w:tcPr>
                <w:p w14:paraId="0DCE5EC0">
                  <w:pPr>
                    <w:pStyle w:val="27"/>
                    <w:jc w:val="center"/>
                    <w:rPr>
                      <w:rFonts w:hint="eastAsia" w:ascii="Times New Roman" w:hAnsi="Times New Roman" w:eastAsia="宋体" w:cs="Times New Roman"/>
                      <w:sz w:val="21"/>
                      <w:szCs w:val="21"/>
                      <w:highlight w:val="none"/>
                      <w:lang w:val="en-US" w:eastAsia="zh-CN"/>
                    </w:rPr>
                  </w:pPr>
                </w:p>
              </w:tc>
              <w:tc>
                <w:tcPr>
                  <w:tcW w:w="287" w:type="pct"/>
                  <w:vMerge w:val="continue"/>
                  <w:tcBorders>
                    <w:tl2br w:val="nil"/>
                    <w:tr2bl w:val="nil"/>
                  </w:tcBorders>
                  <w:shd w:val="clear" w:color="auto" w:fill="auto"/>
                  <w:noWrap w:val="0"/>
                  <w:vAlign w:val="center"/>
                </w:tcPr>
                <w:p w14:paraId="26C5F55C">
                  <w:pPr>
                    <w:pStyle w:val="27"/>
                    <w:jc w:val="center"/>
                    <w:rPr>
                      <w:rFonts w:hint="eastAsia" w:ascii="Times New Roman" w:hAnsi="Times New Roman" w:eastAsia="宋体" w:cs="Times New Roman"/>
                      <w:sz w:val="21"/>
                      <w:szCs w:val="21"/>
                      <w:highlight w:val="none"/>
                      <w:lang w:val="en-US" w:eastAsia="zh-CN"/>
                    </w:rPr>
                  </w:pPr>
                </w:p>
              </w:tc>
              <w:tc>
                <w:tcPr>
                  <w:tcW w:w="260" w:type="pct"/>
                  <w:vMerge w:val="continue"/>
                  <w:tcBorders>
                    <w:tl2br w:val="nil"/>
                    <w:tr2bl w:val="nil"/>
                  </w:tcBorders>
                  <w:shd w:val="clear" w:color="auto" w:fill="auto"/>
                  <w:noWrap w:val="0"/>
                  <w:vAlign w:val="center"/>
                </w:tcPr>
                <w:p w14:paraId="66A200C1">
                  <w:pPr>
                    <w:pStyle w:val="27"/>
                    <w:jc w:val="center"/>
                    <w:rPr>
                      <w:rFonts w:hint="eastAsia" w:ascii="Times New Roman" w:hAnsi="Times New Roman" w:eastAsia="宋体" w:cs="Times New Roman"/>
                      <w:sz w:val="21"/>
                      <w:szCs w:val="21"/>
                      <w:highlight w:val="none"/>
                      <w:lang w:val="en-US" w:eastAsia="zh-CN"/>
                    </w:rPr>
                  </w:pPr>
                </w:p>
              </w:tc>
              <w:tc>
                <w:tcPr>
                  <w:tcW w:w="369" w:type="pct"/>
                  <w:tcBorders>
                    <w:tl2br w:val="nil"/>
                    <w:tr2bl w:val="nil"/>
                  </w:tcBorders>
                  <w:shd w:val="clear" w:color="auto" w:fill="auto"/>
                  <w:noWrap w:val="0"/>
                  <w:vAlign w:val="center"/>
                </w:tcPr>
                <w:p w14:paraId="66639F8F">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0.332</w:t>
                  </w:r>
                </w:p>
              </w:tc>
              <w:tc>
                <w:tcPr>
                  <w:tcW w:w="464" w:type="pct"/>
                  <w:tcBorders>
                    <w:tl2br w:val="nil"/>
                    <w:tr2bl w:val="nil"/>
                  </w:tcBorders>
                  <w:shd w:val="clear" w:color="auto" w:fill="auto"/>
                  <w:noWrap w:val="0"/>
                  <w:vAlign w:val="center"/>
                </w:tcPr>
                <w:p w14:paraId="3F8978E5">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45.33</w:t>
                  </w:r>
                </w:p>
              </w:tc>
              <w:tc>
                <w:tcPr>
                  <w:tcW w:w="455" w:type="pct"/>
                  <w:tcBorders>
                    <w:tl2br w:val="nil"/>
                    <w:tr2bl w:val="nil"/>
                  </w:tcBorders>
                  <w:shd w:val="clear" w:color="auto" w:fill="auto"/>
                  <w:noWrap w:val="0"/>
                  <w:vAlign w:val="center"/>
                </w:tcPr>
                <w:p w14:paraId="5F66F1B8">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2.39</w:t>
                  </w:r>
                </w:p>
              </w:tc>
            </w:tr>
            <w:tr w14:paraId="303CA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8" w:hRule="atLeast"/>
              </w:trPr>
              <w:tc>
                <w:tcPr>
                  <w:tcW w:w="240" w:type="pct"/>
                  <w:vMerge w:val="continue"/>
                  <w:tcBorders>
                    <w:tl2br w:val="nil"/>
                    <w:tr2bl w:val="nil"/>
                  </w:tcBorders>
                  <w:noWrap w:val="0"/>
                  <w:vAlign w:val="center"/>
                </w:tcPr>
                <w:p w14:paraId="384DF6EB">
                  <w:pPr>
                    <w:jc w:val="center"/>
                    <w:rPr>
                      <w:rFonts w:hint="default" w:ascii="Times New Roman" w:hAnsi="Times New Roman" w:cs="Times New Roman"/>
                      <w:sz w:val="21"/>
                      <w:szCs w:val="21"/>
                      <w:highlight w:val="yellow"/>
                    </w:rPr>
                  </w:pPr>
                </w:p>
              </w:tc>
              <w:tc>
                <w:tcPr>
                  <w:tcW w:w="407" w:type="pct"/>
                  <w:vMerge w:val="restart"/>
                  <w:tcBorders>
                    <w:tl2br w:val="nil"/>
                    <w:tr2bl w:val="nil"/>
                  </w:tcBorders>
                  <w:shd w:val="clear" w:color="auto" w:fill="auto"/>
                  <w:noWrap w:val="0"/>
                  <w:vAlign w:val="center"/>
                </w:tcPr>
                <w:p w14:paraId="1A3B08AB">
                  <w:pPr>
                    <w:jc w:val="center"/>
                    <w:rPr>
                      <w:rFonts w:hint="eastAsia" w:cs="Times New Roman"/>
                      <w:sz w:val="21"/>
                      <w:szCs w:val="21"/>
                      <w:highlight w:val="none"/>
                      <w:lang w:val="en-US" w:eastAsia="zh-CN"/>
                    </w:rPr>
                  </w:pPr>
                  <w:r>
                    <w:rPr>
                      <w:rFonts w:hint="eastAsia" w:cs="Times New Roman"/>
                      <w:sz w:val="21"/>
                      <w:szCs w:val="21"/>
                      <w:highlight w:val="none"/>
                      <w:lang w:val="en-US" w:eastAsia="zh-CN"/>
                    </w:rPr>
                    <w:t>10t燃气锅炉</w:t>
                  </w:r>
                </w:p>
              </w:tc>
              <w:tc>
                <w:tcPr>
                  <w:tcW w:w="386" w:type="pct"/>
                  <w:tcBorders>
                    <w:tl2br w:val="nil"/>
                    <w:tr2bl w:val="nil"/>
                  </w:tcBorders>
                  <w:shd w:val="clear" w:color="auto" w:fill="auto"/>
                  <w:noWrap w:val="0"/>
                  <w:vAlign w:val="center"/>
                </w:tcPr>
                <w:p w14:paraId="0C01E055">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颗粒物</w:t>
                  </w:r>
                </w:p>
              </w:tc>
              <w:tc>
                <w:tcPr>
                  <w:tcW w:w="223" w:type="pct"/>
                  <w:vMerge w:val="restart"/>
                  <w:tcBorders>
                    <w:tl2br w:val="nil"/>
                    <w:tr2bl w:val="nil"/>
                  </w:tcBorders>
                  <w:shd w:val="clear" w:color="auto" w:fill="auto"/>
                  <w:noWrap w:val="0"/>
                  <w:vAlign w:val="center"/>
                </w:tcPr>
                <w:p w14:paraId="31D8EF5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有组织</w:t>
                  </w:r>
                </w:p>
              </w:tc>
              <w:tc>
                <w:tcPr>
                  <w:tcW w:w="220" w:type="pct"/>
                  <w:vMerge w:val="restart"/>
                  <w:tcBorders>
                    <w:tl2br w:val="nil"/>
                    <w:tr2bl w:val="nil"/>
                  </w:tcBorders>
                  <w:shd w:val="clear" w:color="auto" w:fill="auto"/>
                  <w:noWrap w:val="0"/>
                  <w:vAlign w:val="center"/>
                </w:tcPr>
                <w:p w14:paraId="265A2416">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实测法</w:t>
                  </w:r>
                </w:p>
              </w:tc>
              <w:tc>
                <w:tcPr>
                  <w:tcW w:w="401" w:type="pct"/>
                  <w:tcBorders>
                    <w:tl2br w:val="nil"/>
                    <w:tr2bl w:val="nil"/>
                  </w:tcBorders>
                  <w:shd w:val="clear" w:color="auto" w:fill="auto"/>
                  <w:noWrap w:val="0"/>
                  <w:vAlign w:val="center"/>
                </w:tcPr>
                <w:p w14:paraId="70608BD5">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256E744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vMerge w:val="restart"/>
                  <w:tcBorders>
                    <w:tl2br w:val="nil"/>
                    <w:tr2bl w:val="nil"/>
                  </w:tcBorders>
                  <w:shd w:val="clear" w:color="auto" w:fill="auto"/>
                  <w:noWrap w:val="0"/>
                  <w:vAlign w:val="center"/>
                </w:tcPr>
                <w:p w14:paraId="0CFBB368">
                  <w:pPr>
                    <w:pStyle w:val="27"/>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低氮燃烧器+烟气再循环技术+8m高排气筒</w:t>
                  </w:r>
                </w:p>
              </w:tc>
              <w:tc>
                <w:tcPr>
                  <w:tcW w:w="205" w:type="pct"/>
                  <w:vMerge w:val="restart"/>
                  <w:tcBorders>
                    <w:tl2br w:val="nil"/>
                    <w:tr2bl w:val="nil"/>
                  </w:tcBorders>
                  <w:shd w:val="clear" w:color="auto" w:fill="auto"/>
                  <w:noWrap w:val="0"/>
                  <w:vAlign w:val="center"/>
                </w:tcPr>
                <w:p w14:paraId="25D239BC">
                  <w:pPr>
                    <w:pStyle w:val="27"/>
                    <w:jc w:val="center"/>
                    <w:rPr>
                      <w:rFonts w:hint="eastAsia" w:ascii="Times New Roman" w:hAnsi="Times New Roman" w:eastAsia="宋体" w:cs="Times New Roman"/>
                      <w:sz w:val="21"/>
                      <w:szCs w:val="21"/>
                      <w:highlight w:val="none"/>
                      <w:lang w:val="en-US" w:eastAsia="zh-CN"/>
                    </w:rPr>
                  </w:pPr>
                </w:p>
              </w:tc>
              <w:tc>
                <w:tcPr>
                  <w:tcW w:w="287" w:type="pct"/>
                  <w:vMerge w:val="restart"/>
                  <w:tcBorders>
                    <w:tl2br w:val="nil"/>
                    <w:tr2bl w:val="nil"/>
                  </w:tcBorders>
                  <w:shd w:val="clear" w:color="auto" w:fill="auto"/>
                  <w:noWrap w:val="0"/>
                  <w:vAlign w:val="center"/>
                </w:tcPr>
                <w:p w14:paraId="1B03235D">
                  <w:pPr>
                    <w:pStyle w:val="27"/>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约60</w:t>
                  </w:r>
                </w:p>
              </w:tc>
              <w:tc>
                <w:tcPr>
                  <w:tcW w:w="260" w:type="pct"/>
                  <w:vMerge w:val="restart"/>
                  <w:tcBorders>
                    <w:tl2br w:val="nil"/>
                    <w:tr2bl w:val="nil"/>
                  </w:tcBorders>
                  <w:shd w:val="clear" w:color="auto" w:fill="auto"/>
                  <w:noWrap w:val="0"/>
                  <w:vAlign w:val="center"/>
                </w:tcPr>
                <w:p w14:paraId="02B9ECB5">
                  <w:pPr>
                    <w:pStyle w:val="27"/>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c>
                <w:tcPr>
                  <w:tcW w:w="369" w:type="pct"/>
                  <w:tcBorders>
                    <w:tl2br w:val="nil"/>
                    <w:tr2bl w:val="nil"/>
                  </w:tcBorders>
                  <w:shd w:val="clear" w:color="auto" w:fill="auto"/>
                  <w:noWrap w:val="0"/>
                  <w:vAlign w:val="center"/>
                </w:tcPr>
                <w:p w14:paraId="6997355F">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w:t>
                  </w:r>
                </w:p>
              </w:tc>
              <w:tc>
                <w:tcPr>
                  <w:tcW w:w="464" w:type="pct"/>
                  <w:tcBorders>
                    <w:tl2br w:val="nil"/>
                    <w:tr2bl w:val="nil"/>
                  </w:tcBorders>
                  <w:shd w:val="clear" w:color="auto" w:fill="auto"/>
                  <w:noWrap w:val="0"/>
                  <w:vAlign w:val="center"/>
                </w:tcPr>
                <w:p w14:paraId="1C14F6D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2.03</w:t>
                  </w:r>
                </w:p>
              </w:tc>
              <w:tc>
                <w:tcPr>
                  <w:tcW w:w="455" w:type="pct"/>
                  <w:tcBorders>
                    <w:tl2br w:val="nil"/>
                    <w:tr2bl w:val="nil"/>
                  </w:tcBorders>
                  <w:shd w:val="clear" w:color="auto" w:fill="auto"/>
                  <w:noWrap w:val="0"/>
                  <w:vAlign w:val="center"/>
                </w:tcPr>
                <w:p w14:paraId="29B6A389">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0.13</w:t>
                  </w:r>
                </w:p>
              </w:tc>
            </w:tr>
            <w:tr w14:paraId="56D6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8" w:hRule="atLeast"/>
              </w:trPr>
              <w:tc>
                <w:tcPr>
                  <w:tcW w:w="240" w:type="pct"/>
                  <w:vMerge w:val="continue"/>
                  <w:tcBorders>
                    <w:tl2br w:val="nil"/>
                    <w:tr2bl w:val="nil"/>
                  </w:tcBorders>
                  <w:noWrap w:val="0"/>
                  <w:vAlign w:val="center"/>
                </w:tcPr>
                <w:p w14:paraId="50662AEE">
                  <w:pPr>
                    <w:jc w:val="center"/>
                    <w:rPr>
                      <w:rFonts w:hint="default" w:ascii="Times New Roman" w:hAnsi="Times New Roman" w:cs="Times New Roman"/>
                      <w:sz w:val="21"/>
                      <w:szCs w:val="21"/>
                      <w:highlight w:val="yellow"/>
                    </w:rPr>
                  </w:pPr>
                </w:p>
              </w:tc>
              <w:tc>
                <w:tcPr>
                  <w:tcW w:w="407" w:type="pct"/>
                  <w:vMerge w:val="continue"/>
                  <w:tcBorders>
                    <w:tl2br w:val="nil"/>
                    <w:tr2bl w:val="nil"/>
                  </w:tcBorders>
                  <w:shd w:val="clear" w:color="auto" w:fill="auto"/>
                  <w:noWrap w:val="0"/>
                  <w:vAlign w:val="center"/>
                </w:tcPr>
                <w:p w14:paraId="5F8275C1">
                  <w:pPr>
                    <w:jc w:val="center"/>
                    <w:rPr>
                      <w:rFonts w:hint="eastAsia" w:cs="Times New Roman"/>
                      <w:sz w:val="21"/>
                      <w:szCs w:val="21"/>
                      <w:highlight w:val="none"/>
                      <w:lang w:val="en-US" w:eastAsia="zh-CN"/>
                    </w:rPr>
                  </w:pPr>
                </w:p>
              </w:tc>
              <w:tc>
                <w:tcPr>
                  <w:tcW w:w="386" w:type="pct"/>
                  <w:tcBorders>
                    <w:tl2br w:val="nil"/>
                    <w:tr2bl w:val="nil"/>
                  </w:tcBorders>
                  <w:shd w:val="clear" w:color="auto" w:fill="auto"/>
                  <w:noWrap w:val="0"/>
                  <w:vAlign w:val="center"/>
                </w:tcPr>
                <w:p w14:paraId="338EC9E8">
                  <w:pPr>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cs="Times New Roman"/>
                      <w:color w:val="auto"/>
                      <w:sz w:val="21"/>
                      <w:szCs w:val="21"/>
                      <w:highlight w:val="none"/>
                    </w:rPr>
                    <w:t>SO</w:t>
                  </w:r>
                  <w:r>
                    <w:rPr>
                      <w:rFonts w:ascii="Times New Roman" w:hAnsi="Times New Roman" w:cs="Times New Roman"/>
                      <w:color w:val="auto"/>
                      <w:sz w:val="21"/>
                      <w:szCs w:val="21"/>
                      <w:highlight w:val="none"/>
                      <w:vertAlign w:val="subscript"/>
                    </w:rPr>
                    <w:t>2</w:t>
                  </w:r>
                </w:p>
              </w:tc>
              <w:tc>
                <w:tcPr>
                  <w:tcW w:w="223" w:type="pct"/>
                  <w:vMerge w:val="continue"/>
                  <w:tcBorders>
                    <w:tl2br w:val="nil"/>
                    <w:tr2bl w:val="nil"/>
                  </w:tcBorders>
                  <w:shd w:val="clear" w:color="auto" w:fill="auto"/>
                  <w:noWrap w:val="0"/>
                  <w:vAlign w:val="center"/>
                </w:tcPr>
                <w:p w14:paraId="5F7D8106">
                  <w:pPr>
                    <w:pStyle w:val="27"/>
                    <w:jc w:val="center"/>
                    <w:rPr>
                      <w:rFonts w:hint="eastAsia" w:ascii="Times New Roman" w:hAnsi="Times New Roman" w:eastAsia="宋体" w:cs="Times New Roman"/>
                      <w:sz w:val="21"/>
                      <w:szCs w:val="21"/>
                      <w:highlight w:val="none"/>
                      <w:lang w:val="en-US" w:eastAsia="zh-CN"/>
                    </w:rPr>
                  </w:pPr>
                </w:p>
              </w:tc>
              <w:tc>
                <w:tcPr>
                  <w:tcW w:w="220" w:type="pct"/>
                  <w:vMerge w:val="continue"/>
                  <w:tcBorders>
                    <w:tl2br w:val="nil"/>
                    <w:tr2bl w:val="nil"/>
                  </w:tcBorders>
                  <w:shd w:val="clear" w:color="auto" w:fill="auto"/>
                  <w:noWrap w:val="0"/>
                  <w:vAlign w:val="center"/>
                </w:tcPr>
                <w:p w14:paraId="32C99802">
                  <w:pPr>
                    <w:pStyle w:val="27"/>
                    <w:jc w:val="center"/>
                    <w:rPr>
                      <w:rFonts w:hint="eastAsia" w:ascii="Times New Roman" w:hAnsi="Times New Roman" w:eastAsia="宋体" w:cs="Times New Roman"/>
                      <w:sz w:val="21"/>
                      <w:szCs w:val="21"/>
                      <w:highlight w:val="none"/>
                      <w:lang w:val="en-US" w:eastAsia="zh-CN"/>
                    </w:rPr>
                  </w:pPr>
                </w:p>
              </w:tc>
              <w:tc>
                <w:tcPr>
                  <w:tcW w:w="401" w:type="pct"/>
                  <w:tcBorders>
                    <w:tl2br w:val="nil"/>
                    <w:tr2bl w:val="nil"/>
                  </w:tcBorders>
                  <w:shd w:val="clear" w:color="auto" w:fill="auto"/>
                  <w:noWrap w:val="0"/>
                  <w:vAlign w:val="center"/>
                </w:tcPr>
                <w:p w14:paraId="3711CE17">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744A58A6">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vMerge w:val="continue"/>
                  <w:tcBorders>
                    <w:tl2br w:val="nil"/>
                    <w:tr2bl w:val="nil"/>
                  </w:tcBorders>
                  <w:shd w:val="clear" w:color="auto" w:fill="auto"/>
                  <w:noWrap w:val="0"/>
                  <w:vAlign w:val="center"/>
                </w:tcPr>
                <w:p w14:paraId="245B50CF">
                  <w:pPr>
                    <w:pStyle w:val="27"/>
                    <w:jc w:val="center"/>
                    <w:rPr>
                      <w:rFonts w:hint="eastAsia" w:ascii="Times New Roman" w:hAnsi="Times New Roman" w:eastAsia="宋体" w:cs="Times New Roman"/>
                      <w:sz w:val="21"/>
                      <w:szCs w:val="21"/>
                      <w:highlight w:val="none"/>
                      <w:lang w:val="en-US" w:eastAsia="zh-CN"/>
                    </w:rPr>
                  </w:pPr>
                </w:p>
              </w:tc>
              <w:tc>
                <w:tcPr>
                  <w:tcW w:w="205" w:type="pct"/>
                  <w:vMerge w:val="continue"/>
                  <w:tcBorders>
                    <w:tl2br w:val="nil"/>
                    <w:tr2bl w:val="nil"/>
                  </w:tcBorders>
                  <w:shd w:val="clear" w:color="auto" w:fill="auto"/>
                  <w:noWrap w:val="0"/>
                  <w:vAlign w:val="center"/>
                </w:tcPr>
                <w:p w14:paraId="506EDAD4">
                  <w:pPr>
                    <w:pStyle w:val="27"/>
                    <w:jc w:val="center"/>
                    <w:rPr>
                      <w:rFonts w:hint="eastAsia" w:ascii="Times New Roman" w:hAnsi="Times New Roman" w:eastAsia="宋体" w:cs="Times New Roman"/>
                      <w:sz w:val="21"/>
                      <w:szCs w:val="21"/>
                      <w:highlight w:val="none"/>
                      <w:lang w:val="en-US" w:eastAsia="zh-CN"/>
                    </w:rPr>
                  </w:pPr>
                </w:p>
              </w:tc>
              <w:tc>
                <w:tcPr>
                  <w:tcW w:w="287" w:type="pct"/>
                  <w:vMerge w:val="continue"/>
                  <w:tcBorders>
                    <w:tl2br w:val="nil"/>
                    <w:tr2bl w:val="nil"/>
                  </w:tcBorders>
                  <w:shd w:val="clear" w:color="auto" w:fill="auto"/>
                  <w:noWrap w:val="0"/>
                  <w:vAlign w:val="center"/>
                </w:tcPr>
                <w:p w14:paraId="16E3E8CA">
                  <w:pPr>
                    <w:pStyle w:val="27"/>
                    <w:jc w:val="center"/>
                    <w:rPr>
                      <w:rFonts w:hint="eastAsia" w:ascii="Times New Roman" w:hAnsi="Times New Roman" w:eastAsia="宋体" w:cs="Times New Roman"/>
                      <w:sz w:val="21"/>
                      <w:szCs w:val="21"/>
                      <w:highlight w:val="none"/>
                      <w:lang w:val="en-US" w:eastAsia="zh-CN"/>
                    </w:rPr>
                  </w:pPr>
                </w:p>
              </w:tc>
              <w:tc>
                <w:tcPr>
                  <w:tcW w:w="260" w:type="pct"/>
                  <w:vMerge w:val="continue"/>
                  <w:tcBorders>
                    <w:tl2br w:val="nil"/>
                    <w:tr2bl w:val="nil"/>
                  </w:tcBorders>
                  <w:shd w:val="clear" w:color="auto" w:fill="auto"/>
                  <w:noWrap w:val="0"/>
                  <w:vAlign w:val="center"/>
                </w:tcPr>
                <w:p w14:paraId="7B05FF2E">
                  <w:pPr>
                    <w:pStyle w:val="27"/>
                    <w:jc w:val="center"/>
                    <w:rPr>
                      <w:rFonts w:hint="eastAsia" w:ascii="Times New Roman" w:hAnsi="Times New Roman" w:eastAsia="宋体" w:cs="Times New Roman"/>
                      <w:sz w:val="21"/>
                      <w:szCs w:val="21"/>
                      <w:highlight w:val="none"/>
                      <w:lang w:val="en-US" w:eastAsia="zh-CN"/>
                    </w:rPr>
                  </w:pPr>
                </w:p>
              </w:tc>
              <w:tc>
                <w:tcPr>
                  <w:tcW w:w="369" w:type="pct"/>
                  <w:tcBorders>
                    <w:tl2br w:val="nil"/>
                    <w:tr2bl w:val="nil"/>
                  </w:tcBorders>
                  <w:shd w:val="clear" w:color="auto" w:fill="auto"/>
                  <w:noWrap w:val="0"/>
                  <w:vAlign w:val="center"/>
                </w:tcPr>
                <w:p w14:paraId="7F2ACE7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0.0034</w:t>
                  </w:r>
                </w:p>
              </w:tc>
              <w:tc>
                <w:tcPr>
                  <w:tcW w:w="464" w:type="pct"/>
                  <w:tcBorders>
                    <w:tl2br w:val="nil"/>
                    <w:tr2bl w:val="nil"/>
                  </w:tcBorders>
                  <w:shd w:val="clear" w:color="auto" w:fill="auto"/>
                  <w:noWrap w:val="0"/>
                  <w:vAlign w:val="center"/>
                </w:tcPr>
                <w:p w14:paraId="1B5AFEC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55" w:type="pct"/>
                  <w:tcBorders>
                    <w:tl2br w:val="nil"/>
                    <w:tr2bl w:val="nil"/>
                  </w:tcBorders>
                  <w:shd w:val="clear" w:color="auto" w:fill="auto"/>
                  <w:noWrap w:val="0"/>
                  <w:vAlign w:val="center"/>
                </w:tcPr>
                <w:p w14:paraId="6C8D3473">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w:t>
                  </w:r>
                </w:p>
              </w:tc>
            </w:tr>
            <w:tr w14:paraId="63B5F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8" w:hRule="atLeast"/>
              </w:trPr>
              <w:tc>
                <w:tcPr>
                  <w:tcW w:w="240" w:type="pct"/>
                  <w:vMerge w:val="continue"/>
                  <w:tcBorders>
                    <w:tl2br w:val="nil"/>
                    <w:tr2bl w:val="nil"/>
                  </w:tcBorders>
                  <w:noWrap w:val="0"/>
                  <w:vAlign w:val="center"/>
                </w:tcPr>
                <w:p w14:paraId="269DC51E">
                  <w:pPr>
                    <w:jc w:val="center"/>
                    <w:rPr>
                      <w:rFonts w:hint="default" w:ascii="Times New Roman" w:hAnsi="Times New Roman" w:cs="Times New Roman"/>
                      <w:sz w:val="21"/>
                      <w:szCs w:val="21"/>
                      <w:highlight w:val="yellow"/>
                    </w:rPr>
                  </w:pPr>
                </w:p>
              </w:tc>
              <w:tc>
                <w:tcPr>
                  <w:tcW w:w="407" w:type="pct"/>
                  <w:vMerge w:val="continue"/>
                  <w:tcBorders>
                    <w:tl2br w:val="nil"/>
                    <w:tr2bl w:val="nil"/>
                  </w:tcBorders>
                  <w:shd w:val="clear" w:color="auto" w:fill="auto"/>
                  <w:noWrap w:val="0"/>
                  <w:vAlign w:val="center"/>
                </w:tcPr>
                <w:p w14:paraId="5F5055A5">
                  <w:pPr>
                    <w:jc w:val="center"/>
                    <w:rPr>
                      <w:rFonts w:hint="eastAsia" w:cs="Times New Roman"/>
                      <w:sz w:val="21"/>
                      <w:szCs w:val="21"/>
                      <w:highlight w:val="none"/>
                      <w:lang w:val="en-US" w:eastAsia="zh-CN"/>
                    </w:rPr>
                  </w:pPr>
                </w:p>
              </w:tc>
              <w:tc>
                <w:tcPr>
                  <w:tcW w:w="386" w:type="pct"/>
                  <w:tcBorders>
                    <w:tl2br w:val="nil"/>
                    <w:tr2bl w:val="nil"/>
                  </w:tcBorders>
                  <w:shd w:val="clear" w:color="auto" w:fill="auto"/>
                  <w:noWrap w:val="0"/>
                  <w:vAlign w:val="center"/>
                </w:tcPr>
                <w:p w14:paraId="7B764622">
                  <w:pPr>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cs="Times New Roman"/>
                      <w:color w:val="auto"/>
                      <w:sz w:val="21"/>
                      <w:szCs w:val="21"/>
                      <w:highlight w:val="none"/>
                    </w:rPr>
                    <w:t>NOx</w:t>
                  </w:r>
                </w:p>
              </w:tc>
              <w:tc>
                <w:tcPr>
                  <w:tcW w:w="223" w:type="pct"/>
                  <w:vMerge w:val="continue"/>
                  <w:tcBorders>
                    <w:tl2br w:val="nil"/>
                    <w:tr2bl w:val="nil"/>
                  </w:tcBorders>
                  <w:shd w:val="clear" w:color="auto" w:fill="auto"/>
                  <w:noWrap w:val="0"/>
                  <w:vAlign w:val="center"/>
                </w:tcPr>
                <w:p w14:paraId="1C98E936">
                  <w:pPr>
                    <w:pStyle w:val="27"/>
                    <w:jc w:val="center"/>
                    <w:rPr>
                      <w:rFonts w:hint="eastAsia" w:ascii="Times New Roman" w:hAnsi="Times New Roman" w:eastAsia="宋体" w:cs="Times New Roman"/>
                      <w:sz w:val="21"/>
                      <w:szCs w:val="21"/>
                      <w:highlight w:val="none"/>
                      <w:lang w:val="en-US" w:eastAsia="zh-CN"/>
                    </w:rPr>
                  </w:pPr>
                </w:p>
              </w:tc>
              <w:tc>
                <w:tcPr>
                  <w:tcW w:w="220" w:type="pct"/>
                  <w:vMerge w:val="continue"/>
                  <w:tcBorders>
                    <w:tl2br w:val="nil"/>
                    <w:tr2bl w:val="nil"/>
                  </w:tcBorders>
                  <w:shd w:val="clear" w:color="auto" w:fill="auto"/>
                  <w:noWrap w:val="0"/>
                  <w:vAlign w:val="center"/>
                </w:tcPr>
                <w:p w14:paraId="3C118C1F">
                  <w:pPr>
                    <w:pStyle w:val="27"/>
                    <w:jc w:val="center"/>
                    <w:rPr>
                      <w:rFonts w:hint="eastAsia" w:ascii="Times New Roman" w:hAnsi="Times New Roman" w:eastAsia="宋体" w:cs="Times New Roman"/>
                      <w:sz w:val="21"/>
                      <w:szCs w:val="21"/>
                      <w:highlight w:val="none"/>
                      <w:lang w:val="en-US" w:eastAsia="zh-CN"/>
                    </w:rPr>
                  </w:pPr>
                </w:p>
              </w:tc>
              <w:tc>
                <w:tcPr>
                  <w:tcW w:w="401" w:type="pct"/>
                  <w:tcBorders>
                    <w:tl2br w:val="nil"/>
                    <w:tr2bl w:val="nil"/>
                  </w:tcBorders>
                  <w:shd w:val="clear" w:color="auto" w:fill="auto"/>
                  <w:noWrap w:val="0"/>
                  <w:vAlign w:val="center"/>
                </w:tcPr>
                <w:p w14:paraId="57A9B2A4">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1BDA25C1">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651" w:type="pct"/>
                  <w:vMerge w:val="continue"/>
                  <w:tcBorders>
                    <w:tl2br w:val="nil"/>
                    <w:tr2bl w:val="nil"/>
                  </w:tcBorders>
                  <w:shd w:val="clear" w:color="auto" w:fill="auto"/>
                  <w:noWrap w:val="0"/>
                  <w:vAlign w:val="center"/>
                </w:tcPr>
                <w:p w14:paraId="2B33508B">
                  <w:pPr>
                    <w:pStyle w:val="27"/>
                    <w:jc w:val="center"/>
                    <w:rPr>
                      <w:rFonts w:hint="eastAsia" w:ascii="Times New Roman" w:hAnsi="Times New Roman" w:eastAsia="宋体" w:cs="Times New Roman"/>
                      <w:sz w:val="21"/>
                      <w:szCs w:val="21"/>
                      <w:highlight w:val="none"/>
                      <w:lang w:val="en-US" w:eastAsia="zh-CN"/>
                    </w:rPr>
                  </w:pPr>
                </w:p>
              </w:tc>
              <w:tc>
                <w:tcPr>
                  <w:tcW w:w="205" w:type="pct"/>
                  <w:vMerge w:val="continue"/>
                  <w:tcBorders>
                    <w:tl2br w:val="nil"/>
                    <w:tr2bl w:val="nil"/>
                  </w:tcBorders>
                  <w:shd w:val="clear" w:color="auto" w:fill="auto"/>
                  <w:noWrap w:val="0"/>
                  <w:vAlign w:val="center"/>
                </w:tcPr>
                <w:p w14:paraId="0B1AD56B">
                  <w:pPr>
                    <w:pStyle w:val="27"/>
                    <w:jc w:val="center"/>
                    <w:rPr>
                      <w:rFonts w:hint="eastAsia" w:ascii="Times New Roman" w:hAnsi="Times New Roman" w:eastAsia="宋体" w:cs="Times New Roman"/>
                      <w:sz w:val="21"/>
                      <w:szCs w:val="21"/>
                      <w:highlight w:val="none"/>
                      <w:lang w:val="en-US" w:eastAsia="zh-CN"/>
                    </w:rPr>
                  </w:pPr>
                </w:p>
              </w:tc>
              <w:tc>
                <w:tcPr>
                  <w:tcW w:w="287" w:type="pct"/>
                  <w:vMerge w:val="continue"/>
                  <w:tcBorders>
                    <w:tl2br w:val="nil"/>
                    <w:tr2bl w:val="nil"/>
                  </w:tcBorders>
                  <w:shd w:val="clear" w:color="auto" w:fill="auto"/>
                  <w:noWrap w:val="0"/>
                  <w:vAlign w:val="center"/>
                </w:tcPr>
                <w:p w14:paraId="102CEE67">
                  <w:pPr>
                    <w:pStyle w:val="27"/>
                    <w:jc w:val="center"/>
                    <w:rPr>
                      <w:rFonts w:hint="eastAsia" w:ascii="Times New Roman" w:hAnsi="Times New Roman" w:eastAsia="宋体" w:cs="Times New Roman"/>
                      <w:sz w:val="21"/>
                      <w:szCs w:val="21"/>
                      <w:highlight w:val="none"/>
                      <w:lang w:val="en-US" w:eastAsia="zh-CN"/>
                    </w:rPr>
                  </w:pPr>
                </w:p>
              </w:tc>
              <w:tc>
                <w:tcPr>
                  <w:tcW w:w="260" w:type="pct"/>
                  <w:vMerge w:val="continue"/>
                  <w:tcBorders>
                    <w:tl2br w:val="nil"/>
                    <w:tr2bl w:val="nil"/>
                  </w:tcBorders>
                  <w:shd w:val="clear" w:color="auto" w:fill="auto"/>
                  <w:noWrap w:val="0"/>
                  <w:vAlign w:val="center"/>
                </w:tcPr>
                <w:p w14:paraId="54257AF5">
                  <w:pPr>
                    <w:pStyle w:val="27"/>
                    <w:jc w:val="center"/>
                    <w:rPr>
                      <w:rFonts w:hint="eastAsia" w:ascii="Times New Roman" w:hAnsi="Times New Roman" w:eastAsia="宋体" w:cs="Times New Roman"/>
                      <w:sz w:val="21"/>
                      <w:szCs w:val="21"/>
                      <w:highlight w:val="none"/>
                      <w:lang w:val="en-US" w:eastAsia="zh-CN"/>
                    </w:rPr>
                  </w:pPr>
                </w:p>
              </w:tc>
              <w:tc>
                <w:tcPr>
                  <w:tcW w:w="369" w:type="pct"/>
                  <w:tcBorders>
                    <w:tl2br w:val="nil"/>
                    <w:tr2bl w:val="nil"/>
                  </w:tcBorders>
                  <w:shd w:val="clear" w:color="auto" w:fill="auto"/>
                  <w:noWrap w:val="0"/>
                  <w:vAlign w:val="center"/>
                </w:tcPr>
                <w:p w14:paraId="0050159B">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0.42</w:t>
                  </w:r>
                </w:p>
              </w:tc>
              <w:tc>
                <w:tcPr>
                  <w:tcW w:w="464" w:type="pct"/>
                  <w:tcBorders>
                    <w:tl2br w:val="nil"/>
                    <w:tr2bl w:val="nil"/>
                  </w:tcBorders>
                  <w:shd w:val="clear" w:color="auto" w:fill="auto"/>
                  <w:noWrap w:val="0"/>
                  <w:vAlign w:val="center"/>
                </w:tcPr>
                <w:p w14:paraId="61F5F78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45.66</w:t>
                  </w:r>
                </w:p>
              </w:tc>
              <w:tc>
                <w:tcPr>
                  <w:tcW w:w="455" w:type="pct"/>
                  <w:tcBorders>
                    <w:tl2br w:val="nil"/>
                    <w:tr2bl w:val="nil"/>
                  </w:tcBorders>
                  <w:shd w:val="clear" w:color="auto" w:fill="auto"/>
                  <w:noWrap w:val="0"/>
                  <w:vAlign w:val="center"/>
                </w:tcPr>
                <w:p w14:paraId="747571E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3.03</w:t>
                  </w:r>
                </w:p>
              </w:tc>
            </w:tr>
            <w:tr w14:paraId="51E09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0" w:type="pct"/>
                  <w:vMerge w:val="continue"/>
                  <w:tcBorders>
                    <w:tl2br w:val="nil"/>
                    <w:tr2bl w:val="nil"/>
                  </w:tcBorders>
                  <w:noWrap w:val="0"/>
                  <w:vAlign w:val="center"/>
                </w:tcPr>
                <w:p w14:paraId="53160E82">
                  <w:pPr>
                    <w:jc w:val="center"/>
                    <w:rPr>
                      <w:rFonts w:hint="default" w:ascii="Times New Roman" w:hAnsi="Times New Roman" w:cs="Times New Roman"/>
                      <w:sz w:val="21"/>
                      <w:szCs w:val="21"/>
                      <w:highlight w:val="yellow"/>
                    </w:rPr>
                  </w:pPr>
                </w:p>
              </w:tc>
              <w:tc>
                <w:tcPr>
                  <w:tcW w:w="407" w:type="pct"/>
                  <w:tcBorders>
                    <w:tl2br w:val="nil"/>
                    <w:tr2bl w:val="nil"/>
                  </w:tcBorders>
                  <w:shd w:val="clear" w:color="auto" w:fill="auto"/>
                  <w:noWrap w:val="0"/>
                  <w:vAlign w:val="center"/>
                </w:tcPr>
                <w:p w14:paraId="3C3BB0D2">
                  <w:pPr>
                    <w:jc w:val="center"/>
                    <w:rPr>
                      <w:rFonts w:hint="default" w:cs="Times New Roman"/>
                      <w:sz w:val="21"/>
                      <w:szCs w:val="21"/>
                      <w:highlight w:val="none"/>
                      <w:lang w:val="en-US" w:eastAsia="zh-CN"/>
                    </w:rPr>
                  </w:pPr>
                  <w:r>
                    <w:rPr>
                      <w:rFonts w:hint="eastAsia" w:cs="Times New Roman"/>
                      <w:sz w:val="21"/>
                      <w:szCs w:val="21"/>
                      <w:highlight w:val="none"/>
                      <w:lang w:val="en-US" w:eastAsia="zh-CN"/>
                    </w:rPr>
                    <w:t>无组织粉尘</w:t>
                  </w:r>
                </w:p>
              </w:tc>
              <w:tc>
                <w:tcPr>
                  <w:tcW w:w="386" w:type="pct"/>
                  <w:tcBorders>
                    <w:tl2br w:val="nil"/>
                    <w:tr2bl w:val="nil"/>
                  </w:tcBorders>
                  <w:shd w:val="clear" w:color="auto" w:fill="auto"/>
                  <w:noWrap w:val="0"/>
                  <w:vAlign w:val="center"/>
                </w:tcPr>
                <w:p w14:paraId="221105BB">
                  <w:pPr>
                    <w:jc w:val="center"/>
                    <w:rPr>
                      <w:rFonts w:hint="default" w:cs="Times New Roman"/>
                      <w:sz w:val="21"/>
                      <w:szCs w:val="21"/>
                      <w:highlight w:val="none"/>
                      <w:lang w:val="en-US" w:eastAsia="zh-CN"/>
                    </w:rPr>
                  </w:pPr>
                  <w:r>
                    <w:rPr>
                      <w:rFonts w:hint="eastAsia" w:cs="Times New Roman"/>
                      <w:sz w:val="21"/>
                      <w:szCs w:val="21"/>
                      <w:highlight w:val="none"/>
                      <w:lang w:val="en-US" w:eastAsia="zh-CN"/>
                    </w:rPr>
                    <w:t>颗粒物</w:t>
                  </w:r>
                </w:p>
              </w:tc>
              <w:tc>
                <w:tcPr>
                  <w:tcW w:w="223" w:type="pct"/>
                  <w:tcBorders>
                    <w:tl2br w:val="nil"/>
                    <w:tr2bl w:val="nil"/>
                  </w:tcBorders>
                  <w:shd w:val="clear" w:color="auto" w:fill="auto"/>
                  <w:noWrap w:val="0"/>
                  <w:vAlign w:val="center"/>
                </w:tcPr>
                <w:p w14:paraId="6EBF68D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有组织</w:t>
                  </w:r>
                </w:p>
              </w:tc>
              <w:tc>
                <w:tcPr>
                  <w:tcW w:w="220" w:type="pct"/>
                  <w:tcBorders>
                    <w:tl2br w:val="nil"/>
                    <w:tr2bl w:val="nil"/>
                  </w:tcBorders>
                  <w:shd w:val="clear" w:color="auto" w:fill="auto"/>
                  <w:noWrap w:val="0"/>
                  <w:vAlign w:val="center"/>
                </w:tcPr>
                <w:p w14:paraId="12F267EC">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经验系数法</w:t>
                  </w:r>
                </w:p>
              </w:tc>
              <w:tc>
                <w:tcPr>
                  <w:tcW w:w="401" w:type="pct"/>
                  <w:tcBorders>
                    <w:tl2br w:val="nil"/>
                    <w:tr2bl w:val="nil"/>
                  </w:tcBorders>
                  <w:shd w:val="clear" w:color="auto" w:fill="auto"/>
                  <w:noWrap w:val="0"/>
                  <w:vAlign w:val="center"/>
                </w:tcPr>
                <w:p w14:paraId="5B6D769E">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24" w:type="pct"/>
                  <w:tcBorders>
                    <w:tl2br w:val="nil"/>
                    <w:tr2bl w:val="nil"/>
                  </w:tcBorders>
                  <w:shd w:val="clear" w:color="auto" w:fill="auto"/>
                  <w:noWrap w:val="0"/>
                  <w:vAlign w:val="center"/>
                </w:tcPr>
                <w:p w14:paraId="79EAF6DD">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651" w:type="pct"/>
                  <w:tcBorders>
                    <w:tl2br w:val="nil"/>
                    <w:tr2bl w:val="nil"/>
                  </w:tcBorders>
                  <w:shd w:val="clear" w:color="auto" w:fill="auto"/>
                  <w:noWrap w:val="0"/>
                  <w:vAlign w:val="center"/>
                </w:tcPr>
                <w:p w14:paraId="1139446A">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下料安装棚，储存棉壳、棉絮上方加盖防火</w:t>
                  </w:r>
                </w:p>
              </w:tc>
              <w:tc>
                <w:tcPr>
                  <w:tcW w:w="205" w:type="pct"/>
                  <w:tcBorders>
                    <w:tl2br w:val="nil"/>
                    <w:tr2bl w:val="nil"/>
                  </w:tcBorders>
                  <w:shd w:val="clear" w:color="auto" w:fill="auto"/>
                  <w:noWrap w:val="0"/>
                  <w:vAlign w:val="center"/>
                </w:tcPr>
                <w:p w14:paraId="6158C669">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87" w:type="pct"/>
                  <w:tcBorders>
                    <w:tl2br w:val="nil"/>
                    <w:tr2bl w:val="nil"/>
                  </w:tcBorders>
                  <w:shd w:val="clear" w:color="auto" w:fill="auto"/>
                  <w:noWrap w:val="0"/>
                  <w:vAlign w:val="center"/>
                </w:tcPr>
                <w:p w14:paraId="3BAC2BE8">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260" w:type="pct"/>
                  <w:tcBorders>
                    <w:tl2br w:val="nil"/>
                    <w:tr2bl w:val="nil"/>
                  </w:tcBorders>
                  <w:shd w:val="clear" w:color="auto" w:fill="auto"/>
                  <w:noWrap w:val="0"/>
                  <w:vAlign w:val="center"/>
                </w:tcPr>
                <w:p w14:paraId="48EDDE2C">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369" w:type="pct"/>
                  <w:tcBorders>
                    <w:tl2br w:val="nil"/>
                    <w:tr2bl w:val="nil"/>
                  </w:tcBorders>
                  <w:shd w:val="clear" w:color="auto" w:fill="auto"/>
                  <w:noWrap w:val="0"/>
                  <w:vAlign w:val="center"/>
                </w:tcPr>
                <w:p w14:paraId="52C73105">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0.133</w:t>
                  </w:r>
                </w:p>
              </w:tc>
              <w:tc>
                <w:tcPr>
                  <w:tcW w:w="464" w:type="pct"/>
                  <w:tcBorders>
                    <w:tl2br w:val="nil"/>
                    <w:tr2bl w:val="nil"/>
                  </w:tcBorders>
                  <w:shd w:val="clear" w:color="auto" w:fill="auto"/>
                  <w:noWrap w:val="0"/>
                  <w:vAlign w:val="center"/>
                </w:tcPr>
                <w:p w14:paraId="78DB9790">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55" w:type="pct"/>
                  <w:tcBorders>
                    <w:tl2br w:val="nil"/>
                    <w:tr2bl w:val="nil"/>
                  </w:tcBorders>
                  <w:shd w:val="clear" w:color="auto" w:fill="auto"/>
                  <w:noWrap w:val="0"/>
                  <w:vAlign w:val="center"/>
                </w:tcPr>
                <w:p w14:paraId="50BF2DE8">
                  <w:pPr>
                    <w:pStyle w:val="27"/>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0.96</w:t>
                  </w:r>
                </w:p>
              </w:tc>
            </w:tr>
            <w:tr w14:paraId="6EC6D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trPr>
              <w:tc>
                <w:tcPr>
                  <w:tcW w:w="240" w:type="pct"/>
                  <w:vMerge w:val="continue"/>
                  <w:tcBorders>
                    <w:tl2br w:val="nil"/>
                    <w:tr2bl w:val="nil"/>
                  </w:tcBorders>
                  <w:noWrap w:val="0"/>
                  <w:vAlign w:val="center"/>
                </w:tcPr>
                <w:p w14:paraId="0D7C25F0">
                  <w:pPr>
                    <w:jc w:val="center"/>
                    <w:rPr>
                      <w:rFonts w:hint="default" w:ascii="Times New Roman" w:hAnsi="Times New Roman" w:cs="Times New Roman"/>
                      <w:sz w:val="21"/>
                      <w:szCs w:val="21"/>
                      <w:highlight w:val="yellow"/>
                    </w:rPr>
                  </w:pPr>
                </w:p>
              </w:tc>
              <w:tc>
                <w:tcPr>
                  <w:tcW w:w="407" w:type="pct"/>
                  <w:vMerge w:val="restart"/>
                  <w:tcBorders>
                    <w:tl2br w:val="nil"/>
                    <w:tr2bl w:val="nil"/>
                  </w:tcBorders>
                  <w:shd w:val="clear" w:color="auto" w:fill="auto"/>
                  <w:noWrap w:val="0"/>
                  <w:vAlign w:val="center"/>
                </w:tcPr>
                <w:p w14:paraId="70082C53">
                  <w:pPr>
                    <w:jc w:val="center"/>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污水处理设备</w:t>
                  </w:r>
                </w:p>
              </w:tc>
              <w:tc>
                <w:tcPr>
                  <w:tcW w:w="386" w:type="pct"/>
                  <w:tcBorders>
                    <w:tl2br w:val="nil"/>
                    <w:tr2bl w:val="nil"/>
                  </w:tcBorders>
                  <w:shd w:val="clear" w:color="auto" w:fill="auto"/>
                  <w:noWrap w:val="0"/>
                  <w:vAlign w:val="center"/>
                </w:tcPr>
                <w:p w14:paraId="4A021EA4">
                  <w:pPr>
                    <w:jc w:val="center"/>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氨</w:t>
                  </w:r>
                </w:p>
              </w:tc>
              <w:tc>
                <w:tcPr>
                  <w:tcW w:w="223" w:type="pct"/>
                  <w:vMerge w:val="restart"/>
                  <w:tcBorders>
                    <w:tl2br w:val="nil"/>
                    <w:tr2bl w:val="nil"/>
                  </w:tcBorders>
                  <w:shd w:val="clear" w:color="auto" w:fill="auto"/>
                  <w:noWrap w:val="0"/>
                  <w:vAlign w:val="center"/>
                </w:tcPr>
                <w:p w14:paraId="3C2BC426">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无组织</w:t>
                  </w:r>
                </w:p>
              </w:tc>
              <w:tc>
                <w:tcPr>
                  <w:tcW w:w="220" w:type="pct"/>
                  <w:vMerge w:val="restart"/>
                  <w:tcBorders>
                    <w:tl2br w:val="nil"/>
                    <w:tr2bl w:val="nil"/>
                  </w:tcBorders>
                  <w:shd w:val="clear" w:color="auto" w:fill="auto"/>
                  <w:noWrap w:val="0"/>
                  <w:vAlign w:val="center"/>
                </w:tcPr>
                <w:p w14:paraId="6288A5E8">
                  <w:pPr>
                    <w:jc w:val="center"/>
                    <w:rPr>
                      <w:rFonts w:hint="eastAsia"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sz w:val="21"/>
                      <w:szCs w:val="21"/>
                      <w:highlight w:val="none"/>
                      <w:lang w:val="en-US" w:eastAsia="zh-CN"/>
                    </w:rPr>
                    <w:t>经验系数法</w:t>
                  </w:r>
                </w:p>
              </w:tc>
              <w:tc>
                <w:tcPr>
                  <w:tcW w:w="401" w:type="pct"/>
                  <w:tcBorders>
                    <w:tl2br w:val="nil"/>
                    <w:tr2bl w:val="nil"/>
                  </w:tcBorders>
                  <w:shd w:val="clear" w:color="auto" w:fill="auto"/>
                  <w:noWrap w:val="0"/>
                  <w:vAlign w:val="center"/>
                </w:tcPr>
                <w:p w14:paraId="484DF9BE">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w:t>
                  </w:r>
                </w:p>
              </w:tc>
              <w:tc>
                <w:tcPr>
                  <w:tcW w:w="424" w:type="pct"/>
                  <w:tcBorders>
                    <w:tl2br w:val="nil"/>
                    <w:tr2bl w:val="nil"/>
                  </w:tcBorders>
                  <w:shd w:val="clear" w:color="auto" w:fill="auto"/>
                  <w:noWrap w:val="0"/>
                  <w:vAlign w:val="center"/>
                </w:tcPr>
                <w:p w14:paraId="14580583">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b w:val="0"/>
                      <w:bCs/>
                      <w:snapToGrid w:val="0"/>
                      <w:kern w:val="0"/>
                      <w:sz w:val="21"/>
                      <w:szCs w:val="21"/>
                      <w:highlight w:val="none"/>
                      <w:lang w:val="en-US" w:eastAsia="zh-CN"/>
                    </w:rPr>
                    <w:t>0.452</w:t>
                  </w:r>
                </w:p>
              </w:tc>
              <w:tc>
                <w:tcPr>
                  <w:tcW w:w="651" w:type="pct"/>
                  <w:vMerge w:val="restart"/>
                  <w:tcBorders>
                    <w:tl2br w:val="nil"/>
                    <w:tr2bl w:val="nil"/>
                  </w:tcBorders>
                  <w:shd w:val="clear" w:color="auto" w:fill="auto"/>
                  <w:noWrap w:val="0"/>
                  <w:vAlign w:val="center"/>
                </w:tcPr>
                <w:p w14:paraId="5DAF3A97">
                  <w:pPr>
                    <w:jc w:val="center"/>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定期</w:t>
                  </w:r>
                  <w:r>
                    <w:rPr>
                      <w:rFonts w:hint="eastAsia" w:cs="Times New Roman"/>
                      <w:kern w:val="2"/>
                      <w:sz w:val="21"/>
                      <w:szCs w:val="21"/>
                      <w:highlight w:val="none"/>
                      <w:lang w:val="en-US" w:eastAsia="zh-CN" w:bidi="zh-CN"/>
                    </w:rPr>
                    <w:t>喷洒</w:t>
                  </w:r>
                  <w:r>
                    <w:rPr>
                      <w:rFonts w:hint="eastAsia" w:ascii="Times New Roman" w:hAnsi="Times New Roman" w:eastAsia="宋体" w:cs="Times New Roman"/>
                      <w:kern w:val="2"/>
                      <w:sz w:val="21"/>
                      <w:szCs w:val="21"/>
                      <w:highlight w:val="none"/>
                      <w:lang w:val="en-US" w:eastAsia="zh-CN" w:bidi="zh-CN"/>
                    </w:rPr>
                    <w:t>除臭剂</w:t>
                  </w:r>
                  <w:r>
                    <w:rPr>
                      <w:rFonts w:hint="eastAsia" w:cs="Times New Roman"/>
                      <w:kern w:val="2"/>
                      <w:sz w:val="21"/>
                      <w:szCs w:val="21"/>
                      <w:highlight w:val="none"/>
                      <w:lang w:val="en-US" w:eastAsia="zh-CN" w:bidi="zh-CN"/>
                    </w:rPr>
                    <w:t>、生物除臭</w:t>
                  </w:r>
                </w:p>
              </w:tc>
              <w:tc>
                <w:tcPr>
                  <w:tcW w:w="205" w:type="pct"/>
                  <w:vMerge w:val="restart"/>
                  <w:tcBorders>
                    <w:tl2br w:val="nil"/>
                    <w:tr2bl w:val="nil"/>
                  </w:tcBorders>
                  <w:shd w:val="clear" w:color="auto" w:fill="auto"/>
                  <w:noWrap w:val="0"/>
                  <w:vAlign w:val="center"/>
                </w:tcPr>
                <w:p w14:paraId="6952AB14">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w:t>
                  </w:r>
                </w:p>
              </w:tc>
              <w:tc>
                <w:tcPr>
                  <w:tcW w:w="287" w:type="pct"/>
                  <w:vMerge w:val="restart"/>
                  <w:tcBorders>
                    <w:tl2br w:val="nil"/>
                    <w:tr2bl w:val="nil"/>
                  </w:tcBorders>
                  <w:shd w:val="clear" w:color="auto" w:fill="auto"/>
                  <w:noWrap w:val="0"/>
                  <w:vAlign w:val="center"/>
                </w:tcPr>
                <w:p w14:paraId="7EADB38D">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30</w:t>
                  </w:r>
                </w:p>
              </w:tc>
              <w:tc>
                <w:tcPr>
                  <w:tcW w:w="260" w:type="pct"/>
                  <w:vMerge w:val="restart"/>
                  <w:tcBorders>
                    <w:tl2br w:val="nil"/>
                    <w:tr2bl w:val="nil"/>
                  </w:tcBorders>
                  <w:shd w:val="clear" w:color="auto" w:fill="auto"/>
                  <w:noWrap w:val="0"/>
                  <w:vAlign w:val="center"/>
                </w:tcPr>
                <w:p w14:paraId="1A74FE8C">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是</w:t>
                  </w:r>
                </w:p>
              </w:tc>
              <w:tc>
                <w:tcPr>
                  <w:tcW w:w="369" w:type="pct"/>
                  <w:tcBorders>
                    <w:tl2br w:val="nil"/>
                    <w:tr2bl w:val="nil"/>
                  </w:tcBorders>
                  <w:shd w:val="clear" w:color="auto" w:fill="auto"/>
                  <w:noWrap w:val="0"/>
                  <w:vAlign w:val="center"/>
                </w:tcPr>
                <w:p w14:paraId="4FBF1DB0">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w:t>
                  </w:r>
                </w:p>
              </w:tc>
              <w:tc>
                <w:tcPr>
                  <w:tcW w:w="464" w:type="pct"/>
                  <w:tcBorders>
                    <w:tl2br w:val="nil"/>
                    <w:tr2bl w:val="nil"/>
                  </w:tcBorders>
                  <w:shd w:val="clear" w:color="auto" w:fill="auto"/>
                  <w:noWrap w:val="0"/>
                  <w:vAlign w:val="center"/>
                </w:tcPr>
                <w:p w14:paraId="3C455CF5">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0.044</w:t>
                  </w:r>
                </w:p>
              </w:tc>
              <w:tc>
                <w:tcPr>
                  <w:tcW w:w="455" w:type="pct"/>
                  <w:tcBorders>
                    <w:tl2br w:val="nil"/>
                    <w:tr2bl w:val="nil"/>
                  </w:tcBorders>
                  <w:shd w:val="clear" w:color="auto" w:fill="auto"/>
                  <w:noWrap w:val="0"/>
                  <w:vAlign w:val="center"/>
                </w:tcPr>
                <w:p w14:paraId="30CA5024">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color w:val="auto"/>
                      <w:sz w:val="21"/>
                      <w:szCs w:val="21"/>
                      <w:highlight w:val="none"/>
                      <w:lang w:val="en-US" w:eastAsia="zh-CN"/>
                    </w:rPr>
                    <w:t>0.316</w:t>
                  </w:r>
                </w:p>
              </w:tc>
            </w:tr>
            <w:tr w14:paraId="76DD0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34" w:hRule="atLeast"/>
              </w:trPr>
              <w:tc>
                <w:tcPr>
                  <w:tcW w:w="240" w:type="pct"/>
                  <w:vMerge w:val="continue"/>
                  <w:tcBorders>
                    <w:tl2br w:val="nil"/>
                    <w:tr2bl w:val="nil"/>
                  </w:tcBorders>
                  <w:noWrap w:val="0"/>
                  <w:vAlign w:val="center"/>
                </w:tcPr>
                <w:p w14:paraId="3675C338">
                  <w:pPr>
                    <w:jc w:val="center"/>
                    <w:rPr>
                      <w:rFonts w:hint="default" w:ascii="Times New Roman" w:hAnsi="Times New Roman" w:cs="Times New Roman"/>
                      <w:sz w:val="21"/>
                      <w:szCs w:val="21"/>
                      <w:highlight w:val="yellow"/>
                    </w:rPr>
                  </w:pPr>
                </w:p>
              </w:tc>
              <w:tc>
                <w:tcPr>
                  <w:tcW w:w="407" w:type="pct"/>
                  <w:vMerge w:val="continue"/>
                  <w:tcBorders>
                    <w:tl2br w:val="nil"/>
                    <w:tr2bl w:val="nil"/>
                  </w:tcBorders>
                  <w:shd w:val="clear" w:color="auto" w:fill="auto"/>
                  <w:noWrap w:val="0"/>
                  <w:vAlign w:val="center"/>
                </w:tcPr>
                <w:p w14:paraId="10552069">
                  <w:pPr>
                    <w:jc w:val="center"/>
                    <w:rPr>
                      <w:rFonts w:hint="eastAsia" w:ascii="Times New Roman" w:hAnsi="Times New Roman" w:eastAsia="宋体" w:cs="Times New Roman"/>
                      <w:kern w:val="2"/>
                      <w:sz w:val="21"/>
                      <w:szCs w:val="21"/>
                      <w:highlight w:val="none"/>
                      <w:lang w:val="en-US" w:eastAsia="zh-CN" w:bidi="zh-CN"/>
                    </w:rPr>
                  </w:pPr>
                </w:p>
              </w:tc>
              <w:tc>
                <w:tcPr>
                  <w:tcW w:w="386" w:type="pct"/>
                  <w:tcBorders>
                    <w:tl2br w:val="nil"/>
                    <w:tr2bl w:val="nil"/>
                  </w:tcBorders>
                  <w:shd w:val="clear" w:color="auto" w:fill="auto"/>
                  <w:noWrap w:val="0"/>
                  <w:vAlign w:val="center"/>
                </w:tcPr>
                <w:p w14:paraId="0753D41D">
                  <w:pPr>
                    <w:jc w:val="center"/>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硫化氢</w:t>
                  </w:r>
                </w:p>
              </w:tc>
              <w:tc>
                <w:tcPr>
                  <w:tcW w:w="223" w:type="pct"/>
                  <w:vMerge w:val="continue"/>
                  <w:tcBorders>
                    <w:tl2br w:val="nil"/>
                    <w:tr2bl w:val="nil"/>
                  </w:tcBorders>
                  <w:shd w:val="clear" w:color="auto" w:fill="auto"/>
                  <w:noWrap w:val="0"/>
                  <w:vAlign w:val="center"/>
                </w:tcPr>
                <w:p w14:paraId="3B00767D">
                  <w:pPr>
                    <w:jc w:val="center"/>
                    <w:rPr>
                      <w:rFonts w:hint="eastAsia" w:ascii="Times New Roman" w:hAnsi="Times New Roman" w:eastAsia="宋体" w:cs="Times New Roman"/>
                      <w:kern w:val="2"/>
                      <w:sz w:val="21"/>
                      <w:szCs w:val="21"/>
                      <w:highlight w:val="none"/>
                      <w:lang w:val="en-US" w:eastAsia="zh-CN" w:bidi="zh-CN"/>
                    </w:rPr>
                  </w:pPr>
                </w:p>
              </w:tc>
              <w:tc>
                <w:tcPr>
                  <w:tcW w:w="220" w:type="pct"/>
                  <w:vMerge w:val="continue"/>
                  <w:tcBorders>
                    <w:tl2br w:val="nil"/>
                    <w:tr2bl w:val="nil"/>
                  </w:tcBorders>
                  <w:shd w:val="clear" w:color="auto" w:fill="auto"/>
                  <w:noWrap w:val="0"/>
                  <w:vAlign w:val="center"/>
                </w:tcPr>
                <w:p w14:paraId="4CFC7AB4">
                  <w:pPr>
                    <w:jc w:val="center"/>
                    <w:rPr>
                      <w:rFonts w:hint="eastAsia" w:ascii="Times New Roman" w:hAnsi="Times New Roman" w:eastAsia="宋体" w:cs="Times New Roman"/>
                      <w:kern w:val="2"/>
                      <w:sz w:val="21"/>
                      <w:szCs w:val="21"/>
                      <w:highlight w:val="none"/>
                      <w:lang w:val="en-US" w:eastAsia="zh-CN" w:bidi="zh-CN"/>
                    </w:rPr>
                  </w:pPr>
                </w:p>
              </w:tc>
              <w:tc>
                <w:tcPr>
                  <w:tcW w:w="401" w:type="pct"/>
                  <w:tcBorders>
                    <w:tl2br w:val="nil"/>
                    <w:tr2bl w:val="nil"/>
                  </w:tcBorders>
                  <w:shd w:val="clear" w:color="auto" w:fill="auto"/>
                  <w:noWrap w:val="0"/>
                  <w:vAlign w:val="center"/>
                </w:tcPr>
                <w:p w14:paraId="203DDD61">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w:t>
                  </w:r>
                </w:p>
              </w:tc>
              <w:tc>
                <w:tcPr>
                  <w:tcW w:w="424" w:type="pct"/>
                  <w:tcBorders>
                    <w:tl2br w:val="nil"/>
                    <w:tr2bl w:val="nil"/>
                  </w:tcBorders>
                  <w:shd w:val="clear" w:color="auto" w:fill="auto"/>
                  <w:noWrap w:val="0"/>
                  <w:vAlign w:val="center"/>
                </w:tcPr>
                <w:p w14:paraId="14789E0F">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b w:val="0"/>
                      <w:bCs/>
                      <w:snapToGrid w:val="0"/>
                      <w:kern w:val="0"/>
                      <w:sz w:val="21"/>
                      <w:szCs w:val="21"/>
                      <w:highlight w:val="none"/>
                      <w:lang w:val="en-US" w:eastAsia="zh-CN"/>
                    </w:rPr>
                    <w:t>0.0098</w:t>
                  </w:r>
                </w:p>
              </w:tc>
              <w:tc>
                <w:tcPr>
                  <w:tcW w:w="651" w:type="pct"/>
                  <w:vMerge w:val="continue"/>
                  <w:tcBorders>
                    <w:tl2br w:val="nil"/>
                    <w:tr2bl w:val="nil"/>
                  </w:tcBorders>
                  <w:shd w:val="clear" w:color="auto" w:fill="auto"/>
                  <w:noWrap w:val="0"/>
                  <w:vAlign w:val="center"/>
                </w:tcPr>
                <w:p w14:paraId="55C7682B">
                  <w:pPr>
                    <w:jc w:val="center"/>
                    <w:rPr>
                      <w:rFonts w:hint="default" w:ascii="Times New Roman" w:hAnsi="Times New Roman" w:eastAsia="宋体" w:cs="Times New Roman"/>
                      <w:kern w:val="2"/>
                      <w:sz w:val="21"/>
                      <w:szCs w:val="21"/>
                      <w:highlight w:val="none"/>
                      <w:lang w:val="en-US" w:eastAsia="zh-CN" w:bidi="zh-CN"/>
                    </w:rPr>
                  </w:pPr>
                </w:p>
              </w:tc>
              <w:tc>
                <w:tcPr>
                  <w:tcW w:w="205" w:type="pct"/>
                  <w:vMerge w:val="continue"/>
                  <w:tcBorders>
                    <w:tl2br w:val="nil"/>
                    <w:tr2bl w:val="nil"/>
                  </w:tcBorders>
                  <w:shd w:val="clear" w:color="auto" w:fill="auto"/>
                  <w:noWrap w:val="0"/>
                  <w:vAlign w:val="center"/>
                </w:tcPr>
                <w:p w14:paraId="1E487EBF">
                  <w:pPr>
                    <w:jc w:val="center"/>
                    <w:rPr>
                      <w:rFonts w:hint="eastAsia" w:ascii="Times New Roman" w:hAnsi="Times New Roman" w:eastAsia="宋体" w:cs="Times New Roman"/>
                      <w:kern w:val="2"/>
                      <w:sz w:val="21"/>
                      <w:szCs w:val="21"/>
                      <w:highlight w:val="none"/>
                      <w:lang w:val="en-US" w:eastAsia="zh-CN" w:bidi="zh-CN"/>
                    </w:rPr>
                  </w:pPr>
                </w:p>
              </w:tc>
              <w:tc>
                <w:tcPr>
                  <w:tcW w:w="287" w:type="pct"/>
                  <w:vMerge w:val="continue"/>
                  <w:tcBorders>
                    <w:tl2br w:val="nil"/>
                    <w:tr2bl w:val="nil"/>
                  </w:tcBorders>
                  <w:shd w:val="clear" w:color="auto" w:fill="auto"/>
                  <w:noWrap w:val="0"/>
                  <w:vAlign w:val="center"/>
                </w:tcPr>
                <w:p w14:paraId="0A52B1F3">
                  <w:pPr>
                    <w:jc w:val="center"/>
                    <w:rPr>
                      <w:rFonts w:hint="default" w:ascii="Times New Roman" w:hAnsi="Times New Roman" w:eastAsia="宋体" w:cs="Times New Roman"/>
                      <w:kern w:val="2"/>
                      <w:sz w:val="21"/>
                      <w:szCs w:val="21"/>
                      <w:highlight w:val="none"/>
                      <w:lang w:val="en-US" w:eastAsia="zh-CN" w:bidi="zh-CN"/>
                    </w:rPr>
                  </w:pPr>
                </w:p>
              </w:tc>
              <w:tc>
                <w:tcPr>
                  <w:tcW w:w="260" w:type="pct"/>
                  <w:vMerge w:val="continue"/>
                  <w:tcBorders>
                    <w:tl2br w:val="nil"/>
                    <w:tr2bl w:val="nil"/>
                  </w:tcBorders>
                  <w:shd w:val="clear" w:color="auto" w:fill="auto"/>
                  <w:noWrap w:val="0"/>
                  <w:vAlign w:val="center"/>
                </w:tcPr>
                <w:p w14:paraId="5D727E14">
                  <w:pPr>
                    <w:jc w:val="center"/>
                    <w:rPr>
                      <w:rFonts w:hint="default" w:ascii="Times New Roman" w:hAnsi="Times New Roman" w:eastAsia="宋体" w:cs="Times New Roman"/>
                      <w:kern w:val="2"/>
                      <w:sz w:val="21"/>
                      <w:szCs w:val="21"/>
                      <w:highlight w:val="none"/>
                      <w:lang w:val="en-US" w:eastAsia="zh-CN" w:bidi="zh-CN"/>
                    </w:rPr>
                  </w:pPr>
                </w:p>
              </w:tc>
              <w:tc>
                <w:tcPr>
                  <w:tcW w:w="369" w:type="pct"/>
                  <w:tcBorders>
                    <w:tl2br w:val="nil"/>
                    <w:tr2bl w:val="nil"/>
                  </w:tcBorders>
                  <w:shd w:val="clear" w:color="auto" w:fill="auto"/>
                  <w:noWrap w:val="0"/>
                  <w:vAlign w:val="center"/>
                </w:tcPr>
                <w:p w14:paraId="205BD634">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 xml:space="preserve">/  </w:t>
                  </w:r>
                </w:p>
              </w:tc>
              <w:tc>
                <w:tcPr>
                  <w:tcW w:w="464" w:type="pct"/>
                  <w:tcBorders>
                    <w:tl2br w:val="nil"/>
                    <w:tr2bl w:val="nil"/>
                  </w:tcBorders>
                  <w:shd w:val="clear" w:color="auto" w:fill="auto"/>
                  <w:noWrap w:val="0"/>
                  <w:vAlign w:val="center"/>
                </w:tcPr>
                <w:p w14:paraId="7493416D">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0.00096</w:t>
                  </w:r>
                </w:p>
              </w:tc>
              <w:tc>
                <w:tcPr>
                  <w:tcW w:w="455" w:type="pct"/>
                  <w:tcBorders>
                    <w:tl2br w:val="nil"/>
                    <w:tr2bl w:val="nil"/>
                  </w:tcBorders>
                  <w:shd w:val="clear" w:color="auto" w:fill="auto"/>
                  <w:noWrap w:val="0"/>
                  <w:vAlign w:val="center"/>
                </w:tcPr>
                <w:p w14:paraId="0361730B">
                  <w:pPr>
                    <w:jc w:val="center"/>
                    <w:rPr>
                      <w:rFonts w:hint="default" w:ascii="Times New Roman" w:hAnsi="Times New Roman" w:eastAsia="宋体" w:cs="Times New Roman"/>
                      <w:kern w:val="2"/>
                      <w:sz w:val="21"/>
                      <w:szCs w:val="21"/>
                      <w:highlight w:val="none"/>
                      <w:lang w:val="en-US" w:eastAsia="zh-CN" w:bidi="zh-CN"/>
                    </w:rPr>
                  </w:pPr>
                  <w:r>
                    <w:rPr>
                      <w:rFonts w:hint="eastAsia" w:cs="Times New Roman"/>
                      <w:kern w:val="2"/>
                      <w:sz w:val="21"/>
                      <w:szCs w:val="21"/>
                      <w:highlight w:val="none"/>
                      <w:lang w:val="en-US" w:eastAsia="zh-CN" w:bidi="zh-CN"/>
                    </w:rPr>
                    <w:t>0.0069</w:t>
                  </w:r>
                </w:p>
              </w:tc>
            </w:tr>
          </w:tbl>
          <w:p w14:paraId="5E78ED94">
            <w:pPr>
              <w:pStyle w:val="30"/>
              <w:rPr>
                <w:rFonts w:hint="eastAsia" w:ascii="Times New Roman" w:hAnsi="Times New Roman" w:eastAsia="宋体" w:cs="Times New Roman"/>
                <w:highlight w:val="none"/>
                <w:lang w:eastAsia="zh-CN"/>
              </w:rPr>
            </w:pPr>
            <w:r>
              <w:rPr>
                <w:rFonts w:hint="eastAsia" w:cs="Times New Roman"/>
                <w:highlight w:val="none"/>
                <w:lang w:val="en-US" w:eastAsia="zh-CN"/>
              </w:rPr>
              <w:t>1.4 大气</w:t>
            </w:r>
            <w:r>
              <w:rPr>
                <w:rFonts w:hint="default" w:ascii="Times New Roman" w:hAnsi="Times New Roman" w:eastAsia="宋体" w:cs="Times New Roman"/>
                <w:highlight w:val="none"/>
              </w:rPr>
              <w:t>污染防治措施可行性</w:t>
            </w:r>
            <w:r>
              <w:rPr>
                <w:rFonts w:hint="eastAsia" w:cs="Times New Roman"/>
                <w:highlight w:val="none"/>
                <w:lang w:val="en-US" w:eastAsia="zh-CN"/>
              </w:rPr>
              <w:t>分析</w:t>
            </w:r>
          </w:p>
          <w:p w14:paraId="3BB5D03A">
            <w:pPr>
              <w:pStyle w:val="26"/>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480" w:firstLineChars="200"/>
              <w:jc w:val="left"/>
              <w:textAlignment w:val="auto"/>
              <w:rPr>
                <w:rFonts w:hint="eastAsia"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本项目</w:t>
            </w:r>
            <w:r>
              <w:rPr>
                <w:rFonts w:hint="eastAsia" w:ascii="Times New Roman" w:hAnsi="Times New Roman" w:eastAsia="宋体" w:cs="Times New Roman"/>
                <w:color w:val="000000"/>
                <w:kern w:val="2"/>
                <w:sz w:val="24"/>
                <w:szCs w:val="24"/>
                <w:highlight w:val="none"/>
                <w:lang w:val="en-US" w:eastAsia="zh-CN" w:bidi="ar-SA"/>
              </w:rPr>
              <w:t>对照《排污许可证申请与核发技术规范 锅炉》（HJ953-2018）表3、</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排污许可证申请与核发技术规范 农副食品加工工业—饲料加工、植物油加工工业</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HJ 1110—2020</w:t>
            </w:r>
            <w:r>
              <w:rPr>
                <w:rFonts w:hint="default"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中“表2及表3”</w:t>
            </w:r>
            <w:r>
              <w:rPr>
                <w:rFonts w:hint="default" w:ascii="Times New Roman" w:hAnsi="Times New Roman" w:eastAsia="宋体" w:cs="Times New Roman"/>
                <w:sz w:val="24"/>
                <w:highlight w:val="none"/>
                <w:lang w:val="en-US" w:eastAsia="zh-CN"/>
              </w:rPr>
              <w:t>饲料加工、植物油加工工业排污单位污染控制项目及污染防治设施一览表</w:t>
            </w:r>
            <w:r>
              <w:rPr>
                <w:rFonts w:hint="eastAsia" w:ascii="Times New Roman" w:hAnsi="Times New Roman" w:eastAsia="宋体" w:cs="Times New Roman"/>
                <w:sz w:val="24"/>
                <w:highlight w:val="none"/>
                <w:lang w:val="en-US" w:eastAsia="zh-CN"/>
              </w:rPr>
              <w:t>，产污环节及污染防治措施</w:t>
            </w:r>
            <w:r>
              <w:rPr>
                <w:rFonts w:hint="default" w:ascii="Times New Roman" w:hAnsi="Times New Roman" w:eastAsia="宋体" w:cs="Times New Roman"/>
                <w:sz w:val="24"/>
                <w:highlight w:val="none"/>
              </w:rPr>
              <w:t>照表</w:t>
            </w:r>
            <w:r>
              <w:rPr>
                <w:rFonts w:hint="eastAsia" w:ascii="Times New Roman" w:hAnsi="Times New Roman" w:eastAsia="宋体" w:cs="Times New Roman"/>
                <w:color w:val="000000"/>
                <w:kern w:val="2"/>
                <w:sz w:val="24"/>
                <w:szCs w:val="24"/>
                <w:highlight w:val="none"/>
                <w:lang w:val="en-US" w:eastAsia="zh-CN" w:bidi="ar-SA"/>
              </w:rPr>
              <w:t>具体见表4-10。</w:t>
            </w:r>
          </w:p>
          <w:p w14:paraId="091071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ascii="黑体" w:hAnsi="黑体" w:eastAsia="黑体" w:cs="黑体"/>
                <w:b w:val="0"/>
                <w:bCs/>
                <w:kern w:val="0"/>
                <w:sz w:val="21"/>
                <w:szCs w:val="21"/>
                <w:highlight w:val="none"/>
                <w:lang w:val="en-US" w:eastAsia="zh-CN" w:bidi="ar-SA"/>
              </w:rPr>
              <w:t>表4-10    本项目大气污染防治工艺可行性分析</w:t>
            </w:r>
          </w:p>
          <w:tbl>
            <w:tblPr>
              <w:tblStyle w:val="22"/>
              <w:tblW w:w="498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0"/>
              <w:gridCol w:w="1302"/>
              <w:gridCol w:w="1214"/>
              <w:gridCol w:w="1872"/>
              <w:gridCol w:w="2773"/>
              <w:gridCol w:w="720"/>
            </w:tblGrid>
            <w:tr w14:paraId="6F4F2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407" w:type="pct"/>
                  <w:tcBorders>
                    <w:tl2br w:val="nil"/>
                    <w:tr2bl w:val="nil"/>
                  </w:tcBorders>
                  <w:vAlign w:val="center"/>
                </w:tcPr>
                <w:p w14:paraId="655B1B49">
                  <w:pPr>
                    <w:pStyle w:val="26"/>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生产单元</w:t>
                  </w:r>
                </w:p>
              </w:tc>
              <w:tc>
                <w:tcPr>
                  <w:tcW w:w="758" w:type="pct"/>
                  <w:tcBorders>
                    <w:tl2br w:val="nil"/>
                    <w:tr2bl w:val="nil"/>
                  </w:tcBorders>
                  <w:vAlign w:val="center"/>
                </w:tcPr>
                <w:p w14:paraId="1D8CFE81">
                  <w:pPr>
                    <w:pStyle w:val="26"/>
                    <w:jc w:val="center"/>
                    <w:rPr>
                      <w:rFonts w:hint="default"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产生环节</w:t>
                  </w:r>
                </w:p>
              </w:tc>
              <w:tc>
                <w:tcPr>
                  <w:tcW w:w="707" w:type="pct"/>
                  <w:tcBorders>
                    <w:tl2br w:val="nil"/>
                    <w:tr2bl w:val="nil"/>
                  </w:tcBorders>
                  <w:vAlign w:val="center"/>
                </w:tcPr>
                <w:p w14:paraId="3B5BCA00">
                  <w:pPr>
                    <w:pStyle w:val="26"/>
                    <w:jc w:val="center"/>
                    <w:rPr>
                      <w:rFonts w:hint="default"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污染物名称</w:t>
                  </w:r>
                </w:p>
              </w:tc>
              <w:tc>
                <w:tcPr>
                  <w:tcW w:w="1090" w:type="pct"/>
                  <w:tcBorders>
                    <w:tl2br w:val="nil"/>
                    <w:tr2bl w:val="nil"/>
                  </w:tcBorders>
                  <w:vAlign w:val="center"/>
                </w:tcPr>
                <w:p w14:paraId="694823B9">
                  <w:pPr>
                    <w:pStyle w:val="26"/>
                    <w:jc w:val="center"/>
                    <w:rPr>
                      <w:rFonts w:hint="default"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排污许可技术规范推荐的污染防治工艺</w:t>
                  </w:r>
                </w:p>
              </w:tc>
              <w:tc>
                <w:tcPr>
                  <w:tcW w:w="1615" w:type="pct"/>
                  <w:tcBorders>
                    <w:tl2br w:val="nil"/>
                    <w:tr2bl w:val="nil"/>
                  </w:tcBorders>
                  <w:vAlign w:val="center"/>
                </w:tcPr>
                <w:p w14:paraId="3CA80AD4">
                  <w:pPr>
                    <w:pStyle w:val="26"/>
                    <w:jc w:val="center"/>
                    <w:rPr>
                      <w:rFonts w:hint="default"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本项目污染防治措施</w:t>
                  </w:r>
                </w:p>
              </w:tc>
              <w:tc>
                <w:tcPr>
                  <w:tcW w:w="419" w:type="pct"/>
                  <w:tcBorders>
                    <w:tl2br w:val="nil"/>
                    <w:tr2bl w:val="nil"/>
                  </w:tcBorders>
                  <w:vAlign w:val="center"/>
                </w:tcPr>
                <w:p w14:paraId="6F240DA5">
                  <w:pPr>
                    <w:pStyle w:val="26"/>
                    <w:jc w:val="center"/>
                    <w:rPr>
                      <w:rFonts w:hint="eastAsia"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是否</w:t>
                  </w:r>
                </w:p>
                <w:p w14:paraId="126AF4AB">
                  <w:pPr>
                    <w:pStyle w:val="26"/>
                    <w:jc w:val="center"/>
                    <w:rPr>
                      <w:rFonts w:hint="default" w:ascii="Times New Roman" w:hAnsi="Times New Roman" w:eastAsia="宋体" w:cs="Times New Roman"/>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可行</w:t>
                  </w:r>
                </w:p>
              </w:tc>
            </w:tr>
            <w:tr w14:paraId="76EC5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7" w:type="pct"/>
                  <w:tcBorders>
                    <w:tl2br w:val="nil"/>
                    <w:tr2bl w:val="nil"/>
                  </w:tcBorders>
                  <w:vAlign w:val="center"/>
                </w:tcPr>
                <w:p w14:paraId="3BED06A2">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剥绒车间</w:t>
                  </w:r>
                </w:p>
              </w:tc>
              <w:tc>
                <w:tcPr>
                  <w:tcW w:w="758" w:type="pct"/>
                  <w:tcBorders>
                    <w:tl2br w:val="nil"/>
                    <w:tr2bl w:val="nil"/>
                  </w:tcBorders>
                  <w:vAlign w:val="center"/>
                </w:tcPr>
                <w:p w14:paraId="289D652D">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清籽</w:t>
                  </w:r>
                </w:p>
              </w:tc>
              <w:tc>
                <w:tcPr>
                  <w:tcW w:w="707" w:type="pct"/>
                  <w:tcBorders>
                    <w:tl2br w:val="nil"/>
                    <w:tr2bl w:val="nil"/>
                  </w:tcBorders>
                  <w:vAlign w:val="center"/>
                </w:tcPr>
                <w:p w14:paraId="45FB09B7">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颗粒物</w:t>
                  </w:r>
                </w:p>
              </w:tc>
              <w:tc>
                <w:tcPr>
                  <w:tcW w:w="1090" w:type="pct"/>
                  <w:tcBorders>
                    <w:tl2br w:val="nil"/>
                    <w:tr2bl w:val="nil"/>
                  </w:tcBorders>
                  <w:vAlign w:val="center"/>
                </w:tcPr>
                <w:p w14:paraId="06706357">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旋风除尘器；袋式除尘器；除尘组合工艺</w:t>
                  </w:r>
                </w:p>
              </w:tc>
              <w:tc>
                <w:tcPr>
                  <w:tcW w:w="1615" w:type="pct"/>
                  <w:tcBorders>
                    <w:tl2br w:val="nil"/>
                    <w:tr2bl w:val="nil"/>
                  </w:tcBorders>
                  <w:vAlign w:val="center"/>
                </w:tcPr>
                <w:p w14:paraId="20185DF4">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lang w:val="en-US" w:eastAsia="zh-CN" w:bidi="ar-SA"/>
                    </w:rPr>
                    <w:t>2套除尘组合系统（旋风除尘器除尘+袋式除尘器）+15m高排气筒</w:t>
                  </w:r>
                </w:p>
              </w:tc>
              <w:tc>
                <w:tcPr>
                  <w:tcW w:w="419" w:type="pct"/>
                  <w:tcBorders>
                    <w:tl2br w:val="nil"/>
                    <w:tr2bl w:val="nil"/>
                  </w:tcBorders>
                  <w:vAlign w:val="center"/>
                </w:tcPr>
                <w:p w14:paraId="5FAB2BBF">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5A224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407" w:type="pct"/>
                  <w:tcBorders>
                    <w:tl2br w:val="nil"/>
                    <w:tr2bl w:val="nil"/>
                  </w:tcBorders>
                  <w:vAlign w:val="center"/>
                </w:tcPr>
                <w:p w14:paraId="44EEFE3E">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粉碎包装车间</w:t>
                  </w:r>
                </w:p>
              </w:tc>
              <w:tc>
                <w:tcPr>
                  <w:tcW w:w="758" w:type="pct"/>
                  <w:tcBorders>
                    <w:tl2br w:val="nil"/>
                    <w:tr2bl w:val="nil"/>
                  </w:tcBorders>
                  <w:vAlign w:val="center"/>
                </w:tcPr>
                <w:p w14:paraId="16335305">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筛分</w:t>
                  </w:r>
                </w:p>
              </w:tc>
              <w:tc>
                <w:tcPr>
                  <w:tcW w:w="707" w:type="pct"/>
                  <w:tcBorders>
                    <w:tl2br w:val="nil"/>
                    <w:tr2bl w:val="nil"/>
                  </w:tcBorders>
                  <w:vAlign w:val="center"/>
                </w:tcPr>
                <w:p w14:paraId="08D341C4">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颗粒物</w:t>
                  </w:r>
                </w:p>
              </w:tc>
              <w:tc>
                <w:tcPr>
                  <w:tcW w:w="1090" w:type="pct"/>
                  <w:tcBorders>
                    <w:tl2br w:val="nil"/>
                    <w:tr2bl w:val="nil"/>
                  </w:tcBorders>
                  <w:vAlign w:val="center"/>
                </w:tcPr>
                <w:p w14:paraId="3D343037">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旋风除尘器；袋式除尘器；电除尘、除尘组合工艺</w:t>
                  </w:r>
                </w:p>
              </w:tc>
              <w:tc>
                <w:tcPr>
                  <w:tcW w:w="1615" w:type="pct"/>
                  <w:tcBorders>
                    <w:tl2br w:val="nil"/>
                    <w:tr2bl w:val="nil"/>
                  </w:tcBorders>
                  <w:vAlign w:val="center"/>
                </w:tcPr>
                <w:p w14:paraId="40378F7D">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脉冲除尘器+15m高排气筒</w:t>
                  </w:r>
                </w:p>
              </w:tc>
              <w:tc>
                <w:tcPr>
                  <w:tcW w:w="419" w:type="pct"/>
                  <w:tcBorders>
                    <w:tl2br w:val="nil"/>
                    <w:tr2bl w:val="nil"/>
                  </w:tcBorders>
                  <w:vAlign w:val="center"/>
                </w:tcPr>
                <w:p w14:paraId="28992F87">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0067B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9" w:hRule="atLeast"/>
              </w:trPr>
              <w:tc>
                <w:tcPr>
                  <w:tcW w:w="407" w:type="pct"/>
                  <w:vMerge w:val="restart"/>
                  <w:tcBorders>
                    <w:tl2br w:val="nil"/>
                    <w:tr2bl w:val="nil"/>
                  </w:tcBorders>
                  <w:vAlign w:val="center"/>
                </w:tcPr>
                <w:p w14:paraId="6A69B1D5">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预处理车间</w:t>
                  </w:r>
                </w:p>
              </w:tc>
              <w:tc>
                <w:tcPr>
                  <w:tcW w:w="758" w:type="pct"/>
                  <w:tcBorders>
                    <w:tl2br w:val="nil"/>
                    <w:tr2bl w:val="nil"/>
                  </w:tcBorders>
                  <w:vAlign w:val="center"/>
                </w:tcPr>
                <w:p w14:paraId="331DB8CE">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lang w:val="en-US" w:eastAsia="zh-CN" w:bidi="ar-SA"/>
                    </w:rPr>
                    <w:t>清籽</w:t>
                  </w:r>
                </w:p>
              </w:tc>
              <w:tc>
                <w:tcPr>
                  <w:tcW w:w="707" w:type="pct"/>
                  <w:tcBorders>
                    <w:tl2br w:val="nil"/>
                    <w:tr2bl w:val="nil"/>
                  </w:tcBorders>
                  <w:vAlign w:val="center"/>
                </w:tcPr>
                <w:p w14:paraId="6E7BDD4B">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颗粒物</w:t>
                  </w:r>
                </w:p>
              </w:tc>
              <w:tc>
                <w:tcPr>
                  <w:tcW w:w="1090" w:type="pct"/>
                  <w:tcBorders>
                    <w:tl2br w:val="nil"/>
                    <w:tr2bl w:val="nil"/>
                  </w:tcBorders>
                  <w:vAlign w:val="center"/>
                </w:tcPr>
                <w:p w14:paraId="2D631497">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旋风除尘器；袋式除尘器；除尘组合工艺</w:t>
                  </w:r>
                </w:p>
              </w:tc>
              <w:tc>
                <w:tcPr>
                  <w:tcW w:w="1615" w:type="pct"/>
                  <w:tcBorders>
                    <w:tl2br w:val="nil"/>
                    <w:tr2bl w:val="nil"/>
                  </w:tcBorders>
                  <w:vAlign w:val="center"/>
                </w:tcPr>
                <w:p w14:paraId="19B4C56E">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除尘组合工艺（多管旋风除尘器组合系统）</w:t>
                  </w:r>
                  <w:r>
                    <w:rPr>
                      <w:rFonts w:hint="eastAsia" w:ascii="Times New Roman" w:hAnsi="Times New Roman" w:eastAsia="宋体" w:cs="Times New Roman"/>
                      <w:sz w:val="21"/>
                      <w:szCs w:val="21"/>
                      <w:highlight w:val="none"/>
                      <w:lang w:val="en-US" w:eastAsia="zh-CN" w:bidi="ar-SA"/>
                    </w:rPr>
                    <w:t>+15m高排气筒</w:t>
                  </w:r>
                </w:p>
              </w:tc>
              <w:tc>
                <w:tcPr>
                  <w:tcW w:w="419" w:type="pct"/>
                  <w:tcBorders>
                    <w:tl2br w:val="nil"/>
                    <w:tr2bl w:val="nil"/>
                  </w:tcBorders>
                  <w:vAlign w:val="center"/>
                </w:tcPr>
                <w:p w14:paraId="79FA415C">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427D4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2" w:hRule="atLeast"/>
              </w:trPr>
              <w:tc>
                <w:tcPr>
                  <w:tcW w:w="407" w:type="pct"/>
                  <w:vMerge w:val="continue"/>
                  <w:tcBorders>
                    <w:tl2br w:val="nil"/>
                    <w:tr2bl w:val="nil"/>
                  </w:tcBorders>
                  <w:vAlign w:val="center"/>
                </w:tcPr>
                <w:p w14:paraId="29046038">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 xml:space="preserve">  </w:t>
                  </w:r>
                </w:p>
              </w:tc>
              <w:tc>
                <w:tcPr>
                  <w:tcW w:w="758" w:type="pct"/>
                  <w:tcBorders>
                    <w:tl2br w:val="nil"/>
                    <w:tr2bl w:val="nil"/>
                  </w:tcBorders>
                  <w:vAlign w:val="center"/>
                </w:tcPr>
                <w:p w14:paraId="1306A2C1">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轧坯</w:t>
                  </w:r>
                </w:p>
              </w:tc>
              <w:tc>
                <w:tcPr>
                  <w:tcW w:w="707" w:type="pct"/>
                  <w:tcBorders>
                    <w:tl2br w:val="nil"/>
                    <w:tr2bl w:val="nil"/>
                  </w:tcBorders>
                  <w:vAlign w:val="center"/>
                </w:tcPr>
                <w:p w14:paraId="66AFD7F7">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臭气浓度</w:t>
                  </w:r>
                </w:p>
              </w:tc>
              <w:tc>
                <w:tcPr>
                  <w:tcW w:w="1090" w:type="pct"/>
                  <w:tcBorders>
                    <w:tl2br w:val="nil"/>
                    <w:tr2bl w:val="nil"/>
                  </w:tcBorders>
                  <w:vAlign w:val="center"/>
                </w:tcPr>
                <w:p w14:paraId="7AF9BEF6">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增加通风次数；恶臭收集处理</w:t>
                  </w:r>
                </w:p>
              </w:tc>
              <w:tc>
                <w:tcPr>
                  <w:tcW w:w="1615" w:type="pct"/>
                  <w:vMerge w:val="restart"/>
                  <w:tcBorders>
                    <w:tl2br w:val="nil"/>
                    <w:tr2bl w:val="nil"/>
                  </w:tcBorders>
                  <w:vAlign w:val="center"/>
                </w:tcPr>
                <w:p w14:paraId="733F0899">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集中收集+15m高排气筒（根据巴州凯米克检测服务有限公司出具的监测报告</w:t>
                  </w:r>
                  <w:r>
                    <w:rPr>
                      <w:rFonts w:hint="default" w:ascii="Times New Roman" w:hAnsi="Times New Roman" w:eastAsia="宋体" w:cs="Times New Roman"/>
                      <w:sz w:val="21"/>
                      <w:szCs w:val="21"/>
                      <w:highlight w:val="none"/>
                      <w:vertAlign w:val="baseline"/>
                      <w:lang w:val="en-US" w:eastAsia="zh-CN" w:bidi="ar-SA"/>
                    </w:rPr>
                    <w:t>CHM/HJC-009-202603-Q039</w:t>
                  </w:r>
                  <w:r>
                    <w:rPr>
                      <w:rFonts w:hint="eastAsia" w:ascii="Times New Roman" w:hAnsi="Times New Roman" w:eastAsia="宋体" w:cs="Times New Roman"/>
                      <w:sz w:val="21"/>
                      <w:szCs w:val="21"/>
                      <w:highlight w:val="none"/>
                      <w:vertAlign w:val="baseline"/>
                      <w:lang w:val="en-US" w:eastAsia="zh-CN" w:bidi="ar-SA"/>
                    </w:rPr>
                    <w:t>，本项目</w:t>
                  </w:r>
                  <w:r>
                    <w:rPr>
                      <w:rFonts w:hint="eastAsia" w:ascii="Times New Roman" w:hAnsi="Times New Roman" w:eastAsia="宋体" w:cs="Times New Roman"/>
                      <w:sz w:val="21"/>
                      <w:szCs w:val="21"/>
                      <w:highlight w:val="none"/>
                      <w:lang w:val="en-US" w:eastAsia="zh-CN" w:bidi="ar-SA"/>
                    </w:rPr>
                    <w:t>轧坯、蒸，臭气浓度检测未超标，有组织废气集中收集均能达标，污染防治措施可行</w:t>
                  </w:r>
                </w:p>
              </w:tc>
              <w:tc>
                <w:tcPr>
                  <w:tcW w:w="419" w:type="pct"/>
                  <w:tcBorders>
                    <w:tl2br w:val="nil"/>
                    <w:tr2bl w:val="nil"/>
                  </w:tcBorders>
                  <w:vAlign w:val="center"/>
                </w:tcPr>
                <w:p w14:paraId="4CE90B16">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72CCD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407" w:type="pct"/>
                  <w:vMerge w:val="continue"/>
                  <w:tcBorders>
                    <w:tl2br w:val="nil"/>
                    <w:tr2bl w:val="nil"/>
                  </w:tcBorders>
                  <w:vAlign w:val="center"/>
                </w:tcPr>
                <w:p w14:paraId="575388AC">
                  <w:pPr>
                    <w:pStyle w:val="26"/>
                    <w:jc w:val="center"/>
                    <w:rPr>
                      <w:rFonts w:hint="eastAsia" w:ascii="Times New Roman" w:hAnsi="Times New Roman" w:eastAsia="宋体" w:cs="Times New Roman"/>
                      <w:sz w:val="21"/>
                      <w:szCs w:val="21"/>
                      <w:highlight w:val="none"/>
                      <w:vertAlign w:val="baseline"/>
                      <w:lang w:val="en-US" w:eastAsia="zh-CN" w:bidi="ar-SA"/>
                    </w:rPr>
                  </w:pPr>
                </w:p>
              </w:tc>
              <w:tc>
                <w:tcPr>
                  <w:tcW w:w="758" w:type="pct"/>
                  <w:tcBorders>
                    <w:tl2br w:val="nil"/>
                    <w:tr2bl w:val="nil"/>
                  </w:tcBorders>
                  <w:vAlign w:val="center"/>
                </w:tcPr>
                <w:p w14:paraId="14547171">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蒸</w:t>
                  </w:r>
                </w:p>
              </w:tc>
              <w:tc>
                <w:tcPr>
                  <w:tcW w:w="707" w:type="pct"/>
                  <w:tcBorders>
                    <w:tl2br w:val="nil"/>
                    <w:tr2bl w:val="nil"/>
                  </w:tcBorders>
                  <w:vAlign w:val="center"/>
                </w:tcPr>
                <w:p w14:paraId="77F6687E">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臭气浓度</w:t>
                  </w:r>
                </w:p>
              </w:tc>
              <w:tc>
                <w:tcPr>
                  <w:tcW w:w="1090" w:type="pct"/>
                  <w:tcBorders>
                    <w:tl2br w:val="nil"/>
                    <w:tr2bl w:val="nil"/>
                  </w:tcBorders>
                  <w:vAlign w:val="center"/>
                </w:tcPr>
                <w:p w14:paraId="0343EE3D">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增加通风次数；恶臭收集处理</w:t>
                  </w:r>
                </w:p>
              </w:tc>
              <w:tc>
                <w:tcPr>
                  <w:tcW w:w="1615" w:type="pct"/>
                  <w:vMerge w:val="continue"/>
                  <w:tcBorders>
                    <w:tl2br w:val="nil"/>
                    <w:tr2bl w:val="nil"/>
                  </w:tcBorders>
                  <w:vAlign w:val="center"/>
                </w:tcPr>
                <w:p w14:paraId="212DC9C4">
                  <w:pPr>
                    <w:pStyle w:val="26"/>
                    <w:jc w:val="center"/>
                    <w:rPr>
                      <w:rFonts w:hint="eastAsia" w:ascii="Times New Roman" w:hAnsi="Times New Roman" w:eastAsia="宋体" w:cs="Times New Roman"/>
                      <w:sz w:val="21"/>
                      <w:szCs w:val="21"/>
                      <w:highlight w:val="none"/>
                      <w:vertAlign w:val="baseline"/>
                      <w:lang w:val="en-US" w:eastAsia="zh-CN" w:bidi="ar-SA"/>
                    </w:rPr>
                  </w:pPr>
                </w:p>
              </w:tc>
              <w:tc>
                <w:tcPr>
                  <w:tcW w:w="419" w:type="pct"/>
                  <w:tcBorders>
                    <w:tl2br w:val="nil"/>
                    <w:tr2bl w:val="nil"/>
                  </w:tcBorders>
                  <w:vAlign w:val="center"/>
                </w:tcPr>
                <w:p w14:paraId="18F5A289">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471B2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407" w:type="pct"/>
                  <w:tcBorders>
                    <w:tl2br w:val="nil"/>
                    <w:tr2bl w:val="nil"/>
                  </w:tcBorders>
                  <w:vAlign w:val="center"/>
                </w:tcPr>
                <w:p w14:paraId="19135C4A">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lang w:val="en-US" w:eastAsia="zh-CN" w:bidi="ar-SA"/>
                    </w:rPr>
                    <w:t>浸出车间</w:t>
                  </w:r>
                </w:p>
              </w:tc>
              <w:tc>
                <w:tcPr>
                  <w:tcW w:w="758" w:type="pct"/>
                  <w:tcBorders>
                    <w:tl2br w:val="nil"/>
                    <w:tr2bl w:val="nil"/>
                  </w:tcBorders>
                  <w:vAlign w:val="center"/>
                </w:tcPr>
                <w:p w14:paraId="0C08220F">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冷凝器</w:t>
                  </w:r>
                </w:p>
              </w:tc>
              <w:tc>
                <w:tcPr>
                  <w:tcW w:w="707" w:type="pct"/>
                  <w:tcBorders>
                    <w:tl2br w:val="nil"/>
                    <w:tr2bl w:val="nil"/>
                  </w:tcBorders>
                  <w:vAlign w:val="center"/>
                </w:tcPr>
                <w:p w14:paraId="0022BBA5">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非甲烷总烃</w:t>
                  </w:r>
                </w:p>
              </w:tc>
              <w:tc>
                <w:tcPr>
                  <w:tcW w:w="1090" w:type="pct"/>
                  <w:tcBorders>
                    <w:tl2br w:val="nil"/>
                    <w:tr2bl w:val="nil"/>
                  </w:tcBorders>
                  <w:vAlign w:val="center"/>
                </w:tcPr>
                <w:p w14:paraId="0AF37AF8">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石蜡吸收法；碱液喷淋；冷冻法</w:t>
                  </w:r>
                </w:p>
              </w:tc>
              <w:tc>
                <w:tcPr>
                  <w:tcW w:w="1615" w:type="pct"/>
                  <w:tcBorders>
                    <w:tl2br w:val="nil"/>
                    <w:tr2bl w:val="nil"/>
                  </w:tcBorders>
                  <w:vAlign w:val="center"/>
                </w:tcPr>
                <w:p w14:paraId="00CB17A7">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冷冻法</w:t>
                  </w:r>
                </w:p>
              </w:tc>
              <w:tc>
                <w:tcPr>
                  <w:tcW w:w="419" w:type="pct"/>
                  <w:tcBorders>
                    <w:tl2br w:val="nil"/>
                    <w:tr2bl w:val="nil"/>
                  </w:tcBorders>
                  <w:vAlign w:val="center"/>
                </w:tcPr>
                <w:p w14:paraId="14F18F86">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089AE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407" w:type="pct"/>
                  <w:tcBorders>
                    <w:tl2br w:val="nil"/>
                    <w:tr2bl w:val="nil"/>
                  </w:tcBorders>
                  <w:vAlign w:val="center"/>
                </w:tcPr>
                <w:p w14:paraId="100477CB">
                  <w:pPr>
                    <w:pStyle w:val="26"/>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bidi="ar-SA"/>
                    </w:rPr>
                    <w:t>15t燃气锅炉</w:t>
                  </w:r>
                </w:p>
              </w:tc>
              <w:tc>
                <w:tcPr>
                  <w:tcW w:w="758" w:type="pct"/>
                  <w:tcBorders>
                    <w:tl2br w:val="nil"/>
                    <w:tr2bl w:val="nil"/>
                  </w:tcBorders>
                  <w:vAlign w:val="center"/>
                </w:tcPr>
                <w:p w14:paraId="779D6DA2">
                  <w:pPr>
                    <w:pStyle w:val="26"/>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color w:val="000000"/>
                      <w:sz w:val="21"/>
                      <w:szCs w:val="21"/>
                      <w:highlight w:val="none"/>
                      <w:vertAlign w:val="baseline"/>
                      <w:lang w:val="en-US" w:eastAsia="zh-CN" w:bidi="ar-SA"/>
                    </w:rPr>
                    <w:t>锅炉</w:t>
                  </w:r>
                </w:p>
              </w:tc>
              <w:tc>
                <w:tcPr>
                  <w:tcW w:w="707" w:type="pct"/>
                  <w:tcBorders>
                    <w:tl2br w:val="nil"/>
                    <w:tr2bl w:val="nil"/>
                  </w:tcBorders>
                  <w:vAlign w:val="center"/>
                </w:tcPr>
                <w:p w14:paraId="3AFB7BBA">
                  <w:pPr>
                    <w:pStyle w:val="26"/>
                    <w:jc w:val="center"/>
                    <w:rPr>
                      <w:rFonts w:hint="default" w:ascii="Times New Roman" w:hAnsi="Times New Roman" w:eastAsia="宋体" w:cs="Times New Roman"/>
                      <w:color w:val="000000"/>
                      <w:kern w:val="0"/>
                      <w:sz w:val="21"/>
                      <w:szCs w:val="21"/>
                      <w:highlight w:val="none"/>
                      <w:vertAlign w:val="baseline"/>
                      <w:lang w:val="en-US" w:eastAsia="zh-CN" w:bidi="ar-SA"/>
                    </w:rPr>
                  </w:pPr>
                  <w:r>
                    <w:rPr>
                      <w:rFonts w:hint="default" w:ascii="Times New Roman" w:hAnsi="Times New Roman" w:eastAsia="宋体" w:cs="Times New Roman"/>
                      <w:color w:val="000000"/>
                      <w:kern w:val="0"/>
                      <w:sz w:val="21"/>
                      <w:szCs w:val="21"/>
                      <w:highlight w:val="none"/>
                      <w:vertAlign w:val="baseline"/>
                      <w:lang w:val="en-US" w:eastAsia="zh-CN" w:bidi="ar-SA"/>
                    </w:rPr>
                    <w:t>SO</w:t>
                  </w:r>
                  <w:r>
                    <w:rPr>
                      <w:rFonts w:hint="default" w:ascii="Times New Roman" w:hAnsi="Times New Roman" w:eastAsia="宋体" w:cs="Times New Roman"/>
                      <w:color w:val="000000"/>
                      <w:kern w:val="0"/>
                      <w:sz w:val="21"/>
                      <w:szCs w:val="21"/>
                      <w:highlight w:val="none"/>
                      <w:vertAlign w:val="subscript"/>
                      <w:lang w:val="en-US" w:eastAsia="zh-CN" w:bidi="ar-SA"/>
                    </w:rPr>
                    <w:t>2</w:t>
                  </w:r>
                  <w:r>
                    <w:rPr>
                      <w:rFonts w:hint="default" w:ascii="Times New Roman" w:hAnsi="Times New Roman" w:eastAsia="宋体" w:cs="Times New Roman"/>
                      <w:color w:val="000000"/>
                      <w:kern w:val="0"/>
                      <w:sz w:val="21"/>
                      <w:szCs w:val="21"/>
                      <w:highlight w:val="none"/>
                      <w:vertAlign w:val="baseline"/>
                      <w:lang w:val="en-US" w:eastAsia="zh-CN" w:bidi="ar-SA"/>
                    </w:rPr>
                    <w:t>、NOx、颗粒物</w:t>
                  </w:r>
                </w:p>
              </w:tc>
              <w:tc>
                <w:tcPr>
                  <w:tcW w:w="1090" w:type="pct"/>
                  <w:tcBorders>
                    <w:tl2br w:val="nil"/>
                    <w:tr2bl w:val="nil"/>
                  </w:tcBorders>
                  <w:vAlign w:val="center"/>
                </w:tcPr>
                <w:p w14:paraId="41650A82">
                  <w:pPr>
                    <w:keepNext w:val="0"/>
                    <w:keepLines w:val="0"/>
                    <w:widowControl/>
                    <w:suppressLineNumbers w:val="0"/>
                    <w:jc w:val="center"/>
                    <w:rPr>
                      <w:rFonts w:hint="default" w:ascii="Times New Roman" w:hAnsi="Times New Roman" w:eastAsia="宋体" w:cs="Times New Roman"/>
                      <w:color w:val="000000"/>
                      <w:kern w:val="0"/>
                      <w:sz w:val="21"/>
                      <w:szCs w:val="21"/>
                      <w:highlight w:val="none"/>
                      <w:vertAlign w:val="baseline"/>
                      <w:lang w:val="en-US" w:eastAsia="zh-CN" w:bidi="ar-SA"/>
                    </w:rPr>
                  </w:pPr>
                  <w:r>
                    <w:rPr>
                      <w:rFonts w:hint="eastAsia" w:ascii="Times New Roman" w:hAnsi="Times New Roman" w:eastAsia="宋体" w:cs="Times New Roman"/>
                      <w:color w:val="000000"/>
                      <w:kern w:val="0"/>
                      <w:sz w:val="21"/>
                      <w:szCs w:val="21"/>
                      <w:highlight w:val="none"/>
                      <w:vertAlign w:val="baseline"/>
                      <w:lang w:val="en-US" w:eastAsia="zh-CN" w:bidi="ar-SA"/>
                    </w:rPr>
                    <w:t>低氮燃烧技术</w:t>
                  </w:r>
                </w:p>
              </w:tc>
              <w:tc>
                <w:tcPr>
                  <w:tcW w:w="1615" w:type="pct"/>
                  <w:tcBorders>
                    <w:tl2br w:val="nil"/>
                    <w:tr2bl w:val="nil"/>
                  </w:tcBorders>
                  <w:vAlign w:val="center"/>
                </w:tcPr>
                <w:p w14:paraId="7426AF4E">
                  <w:pPr>
                    <w:pStyle w:val="26"/>
                    <w:jc w:val="center"/>
                    <w:rPr>
                      <w:rFonts w:hint="default" w:ascii="Times New Roman" w:hAnsi="Times New Roman" w:eastAsia="宋体" w:cs="Times New Roman"/>
                      <w:sz w:val="21"/>
                      <w:szCs w:val="21"/>
                      <w:highlight w:val="yellow"/>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低氮燃烧器+烟气再循环+8m高排气筒</w:t>
                  </w:r>
                </w:p>
              </w:tc>
              <w:tc>
                <w:tcPr>
                  <w:tcW w:w="419" w:type="pct"/>
                  <w:tcBorders>
                    <w:tl2br w:val="nil"/>
                    <w:tr2bl w:val="nil"/>
                  </w:tcBorders>
                  <w:vAlign w:val="center"/>
                </w:tcPr>
                <w:p w14:paraId="030582AA">
                  <w:pPr>
                    <w:pStyle w:val="26"/>
                    <w:jc w:val="center"/>
                    <w:rPr>
                      <w:rFonts w:hint="default" w:ascii="Times New Roman" w:hAnsi="Times New Roman" w:eastAsia="宋体" w:cs="Times New Roman"/>
                      <w:sz w:val="21"/>
                      <w:szCs w:val="21"/>
                      <w:highlight w:val="yellow"/>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5F4D2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407" w:type="pct"/>
                  <w:tcBorders>
                    <w:tl2br w:val="nil"/>
                    <w:tr2bl w:val="nil"/>
                  </w:tcBorders>
                  <w:vAlign w:val="center"/>
                </w:tcPr>
                <w:p w14:paraId="7EFBC15B">
                  <w:pPr>
                    <w:pStyle w:val="26"/>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bidi="ar-SA"/>
                    </w:rPr>
                    <w:t>1</w:t>
                  </w:r>
                  <w:r>
                    <w:rPr>
                      <w:rFonts w:hint="eastAsia" w:ascii="Times New Roman" w:hAnsi="Times New Roman" w:eastAsia="宋体" w:cs="Times New Roman"/>
                      <w:sz w:val="21"/>
                      <w:szCs w:val="21"/>
                      <w:highlight w:val="none"/>
                      <w:lang w:val="en-US" w:eastAsia="zh-CN" w:bidi="ar-SA"/>
                    </w:rPr>
                    <w:t>0</w:t>
                  </w:r>
                  <w:r>
                    <w:rPr>
                      <w:rFonts w:hint="default" w:ascii="Times New Roman" w:hAnsi="Times New Roman" w:eastAsia="宋体" w:cs="Times New Roman"/>
                      <w:sz w:val="21"/>
                      <w:szCs w:val="21"/>
                      <w:highlight w:val="none"/>
                      <w:lang w:val="en-US" w:eastAsia="zh-CN" w:bidi="ar-SA"/>
                    </w:rPr>
                    <w:t>t燃气锅炉</w:t>
                  </w:r>
                </w:p>
              </w:tc>
              <w:tc>
                <w:tcPr>
                  <w:tcW w:w="758" w:type="pct"/>
                  <w:tcBorders>
                    <w:tl2br w:val="nil"/>
                    <w:tr2bl w:val="nil"/>
                  </w:tcBorders>
                  <w:vAlign w:val="center"/>
                </w:tcPr>
                <w:p w14:paraId="1AAF435F">
                  <w:pPr>
                    <w:pStyle w:val="26"/>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color w:val="000000"/>
                      <w:sz w:val="21"/>
                      <w:szCs w:val="21"/>
                      <w:highlight w:val="none"/>
                      <w:vertAlign w:val="baseline"/>
                      <w:lang w:val="en-US" w:eastAsia="zh-CN" w:bidi="ar-SA"/>
                    </w:rPr>
                    <w:t>锅炉</w:t>
                  </w:r>
                </w:p>
              </w:tc>
              <w:tc>
                <w:tcPr>
                  <w:tcW w:w="707" w:type="pct"/>
                  <w:tcBorders>
                    <w:tl2br w:val="nil"/>
                    <w:tr2bl w:val="nil"/>
                  </w:tcBorders>
                  <w:vAlign w:val="center"/>
                </w:tcPr>
                <w:p w14:paraId="49FB4685">
                  <w:pPr>
                    <w:pStyle w:val="26"/>
                    <w:jc w:val="center"/>
                    <w:rPr>
                      <w:rFonts w:hint="default" w:ascii="Times New Roman" w:hAnsi="Times New Roman" w:eastAsia="宋体" w:cs="Times New Roman"/>
                      <w:color w:val="000000"/>
                      <w:kern w:val="0"/>
                      <w:sz w:val="21"/>
                      <w:szCs w:val="21"/>
                      <w:highlight w:val="none"/>
                      <w:vertAlign w:val="baseline"/>
                      <w:lang w:val="en-US" w:eastAsia="zh-CN" w:bidi="ar-SA"/>
                    </w:rPr>
                  </w:pPr>
                  <w:r>
                    <w:rPr>
                      <w:rFonts w:hint="default" w:ascii="Times New Roman" w:hAnsi="Times New Roman" w:eastAsia="宋体" w:cs="Times New Roman"/>
                      <w:color w:val="000000"/>
                      <w:kern w:val="0"/>
                      <w:sz w:val="21"/>
                      <w:szCs w:val="21"/>
                      <w:highlight w:val="none"/>
                      <w:vertAlign w:val="baseline"/>
                      <w:lang w:val="en-US" w:eastAsia="zh-CN" w:bidi="ar-SA"/>
                    </w:rPr>
                    <w:t>SO</w:t>
                  </w:r>
                  <w:r>
                    <w:rPr>
                      <w:rFonts w:hint="default" w:ascii="Times New Roman" w:hAnsi="Times New Roman" w:eastAsia="宋体" w:cs="Times New Roman"/>
                      <w:color w:val="000000"/>
                      <w:kern w:val="0"/>
                      <w:sz w:val="21"/>
                      <w:szCs w:val="21"/>
                      <w:highlight w:val="none"/>
                      <w:vertAlign w:val="subscript"/>
                      <w:lang w:val="en-US" w:eastAsia="zh-CN" w:bidi="ar-SA"/>
                    </w:rPr>
                    <w:t>2</w:t>
                  </w:r>
                  <w:r>
                    <w:rPr>
                      <w:rFonts w:hint="default" w:ascii="Times New Roman" w:hAnsi="Times New Roman" w:eastAsia="宋体" w:cs="Times New Roman"/>
                      <w:color w:val="000000"/>
                      <w:kern w:val="0"/>
                      <w:sz w:val="21"/>
                      <w:szCs w:val="21"/>
                      <w:highlight w:val="none"/>
                      <w:vertAlign w:val="baseline"/>
                      <w:lang w:val="en-US" w:eastAsia="zh-CN" w:bidi="ar-SA"/>
                    </w:rPr>
                    <w:t>、NOx、颗粒物</w:t>
                  </w:r>
                </w:p>
              </w:tc>
              <w:tc>
                <w:tcPr>
                  <w:tcW w:w="1090" w:type="pct"/>
                  <w:tcBorders>
                    <w:tl2br w:val="nil"/>
                    <w:tr2bl w:val="nil"/>
                  </w:tcBorders>
                  <w:vAlign w:val="center"/>
                </w:tcPr>
                <w:p w14:paraId="5E2C648E">
                  <w:pPr>
                    <w:keepNext w:val="0"/>
                    <w:keepLines w:val="0"/>
                    <w:widowControl/>
                    <w:suppressLineNumbers w:val="0"/>
                    <w:jc w:val="center"/>
                    <w:rPr>
                      <w:rFonts w:hint="eastAsia" w:ascii="Times New Roman" w:hAnsi="Times New Roman" w:eastAsia="宋体" w:cs="Times New Roman"/>
                      <w:color w:val="000000"/>
                      <w:kern w:val="0"/>
                      <w:sz w:val="21"/>
                      <w:szCs w:val="21"/>
                      <w:highlight w:val="none"/>
                      <w:vertAlign w:val="baseline"/>
                      <w:lang w:val="en-US" w:eastAsia="zh-CN" w:bidi="ar-SA"/>
                    </w:rPr>
                  </w:pPr>
                  <w:r>
                    <w:rPr>
                      <w:rFonts w:hint="eastAsia" w:ascii="Times New Roman" w:hAnsi="Times New Roman" w:eastAsia="宋体" w:cs="Times New Roman"/>
                      <w:color w:val="000000"/>
                      <w:kern w:val="0"/>
                      <w:sz w:val="21"/>
                      <w:szCs w:val="21"/>
                      <w:highlight w:val="none"/>
                      <w:vertAlign w:val="baseline"/>
                      <w:lang w:val="en-US" w:eastAsia="zh-CN" w:bidi="ar-SA"/>
                    </w:rPr>
                    <w:t>低氮燃烧技术</w:t>
                  </w:r>
                </w:p>
              </w:tc>
              <w:tc>
                <w:tcPr>
                  <w:tcW w:w="1615" w:type="pct"/>
                  <w:tcBorders>
                    <w:tl2br w:val="nil"/>
                    <w:tr2bl w:val="nil"/>
                  </w:tcBorders>
                  <w:vAlign w:val="center"/>
                </w:tcPr>
                <w:p w14:paraId="7E04DDB5">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低氮燃烧器+烟气再循环+8m高排气筒</w:t>
                  </w:r>
                </w:p>
              </w:tc>
              <w:tc>
                <w:tcPr>
                  <w:tcW w:w="419" w:type="pct"/>
                  <w:tcBorders>
                    <w:tl2br w:val="nil"/>
                    <w:tr2bl w:val="nil"/>
                  </w:tcBorders>
                  <w:vAlign w:val="center"/>
                </w:tcPr>
                <w:p w14:paraId="38B44949">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7A0CF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407" w:type="pct"/>
                  <w:tcBorders>
                    <w:tl2br w:val="nil"/>
                    <w:tr2bl w:val="nil"/>
                  </w:tcBorders>
                  <w:vAlign w:val="center"/>
                </w:tcPr>
                <w:p w14:paraId="66F3260F">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贮存</w:t>
                  </w:r>
                </w:p>
              </w:tc>
              <w:tc>
                <w:tcPr>
                  <w:tcW w:w="758" w:type="pct"/>
                  <w:tcBorders>
                    <w:tl2br w:val="nil"/>
                    <w:tr2bl w:val="nil"/>
                  </w:tcBorders>
                  <w:vAlign w:val="center"/>
                </w:tcPr>
                <w:p w14:paraId="543E6650">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溶剂罐</w:t>
                  </w:r>
                </w:p>
              </w:tc>
              <w:tc>
                <w:tcPr>
                  <w:tcW w:w="707" w:type="pct"/>
                  <w:tcBorders>
                    <w:tl2br w:val="nil"/>
                    <w:tr2bl w:val="nil"/>
                  </w:tcBorders>
                  <w:vAlign w:val="center"/>
                </w:tcPr>
                <w:p w14:paraId="48342EB1">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非甲烷总烃</w:t>
                  </w:r>
                </w:p>
              </w:tc>
              <w:tc>
                <w:tcPr>
                  <w:tcW w:w="1090" w:type="pct"/>
                  <w:tcBorders>
                    <w:tl2br w:val="nil"/>
                    <w:tr2bl w:val="nil"/>
                  </w:tcBorders>
                  <w:vAlign w:val="center"/>
                </w:tcPr>
                <w:p w14:paraId="4B0426A4">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w:t>
                  </w:r>
                </w:p>
              </w:tc>
              <w:tc>
                <w:tcPr>
                  <w:tcW w:w="1615" w:type="pct"/>
                  <w:tcBorders>
                    <w:tl2br w:val="nil"/>
                    <w:tr2bl w:val="nil"/>
                  </w:tcBorders>
                  <w:vAlign w:val="center"/>
                </w:tcPr>
                <w:p w14:paraId="1DA14ED0">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符合</w:t>
                  </w:r>
                  <w:r>
                    <w:rPr>
                      <w:rFonts w:hint="default" w:ascii="Times New Roman" w:hAnsi="Times New Roman" w:eastAsia="宋体" w:cs="Times New Roman"/>
                      <w:sz w:val="21"/>
                      <w:szCs w:val="21"/>
                      <w:highlight w:val="none"/>
                      <w:lang w:val="en-US" w:eastAsia="zh-CN" w:bidi="ar-SA"/>
                    </w:rPr>
                    <w:t>（HJ1110—2020）</w:t>
                  </w:r>
                  <w:r>
                    <w:rPr>
                      <w:rFonts w:hint="eastAsia" w:ascii="Times New Roman" w:hAnsi="Times New Roman" w:eastAsia="宋体" w:cs="Times New Roman"/>
                      <w:sz w:val="21"/>
                      <w:szCs w:val="21"/>
                      <w:highlight w:val="none"/>
                      <w:lang w:val="en-US" w:eastAsia="zh-CN" w:bidi="ar-SA"/>
                    </w:rPr>
                    <w:t>中“5.2.4.2”的要求</w:t>
                  </w:r>
                </w:p>
              </w:tc>
              <w:tc>
                <w:tcPr>
                  <w:tcW w:w="419" w:type="pct"/>
                  <w:tcBorders>
                    <w:tl2br w:val="nil"/>
                    <w:tr2bl w:val="nil"/>
                  </w:tcBorders>
                  <w:vAlign w:val="center"/>
                </w:tcPr>
                <w:p w14:paraId="2572EB0E">
                  <w:pPr>
                    <w:pStyle w:val="26"/>
                    <w:jc w:val="center"/>
                    <w:rPr>
                      <w:rFonts w:hint="eastAsia"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符合</w:t>
                  </w:r>
                </w:p>
              </w:tc>
            </w:tr>
            <w:tr w14:paraId="0BD1D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3" w:hRule="atLeast"/>
              </w:trPr>
              <w:tc>
                <w:tcPr>
                  <w:tcW w:w="407" w:type="pct"/>
                  <w:vMerge w:val="restart"/>
                  <w:tcBorders>
                    <w:tl2br w:val="nil"/>
                    <w:tr2bl w:val="nil"/>
                  </w:tcBorders>
                  <w:vAlign w:val="center"/>
                </w:tcPr>
                <w:p w14:paraId="31A07A19">
                  <w:pPr>
                    <w:pStyle w:val="26"/>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污水处理</w:t>
                  </w:r>
                </w:p>
              </w:tc>
              <w:tc>
                <w:tcPr>
                  <w:tcW w:w="758" w:type="pct"/>
                  <w:vMerge w:val="restart"/>
                  <w:tcBorders>
                    <w:tl2br w:val="nil"/>
                    <w:tr2bl w:val="nil"/>
                  </w:tcBorders>
                  <w:vAlign w:val="center"/>
                </w:tcPr>
                <w:p w14:paraId="61749406">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站内污水处理站</w:t>
                  </w:r>
                </w:p>
              </w:tc>
              <w:tc>
                <w:tcPr>
                  <w:tcW w:w="707" w:type="pct"/>
                  <w:tcBorders>
                    <w:tl2br w:val="nil"/>
                    <w:tr2bl w:val="nil"/>
                  </w:tcBorders>
                  <w:vAlign w:val="center"/>
                </w:tcPr>
                <w:p w14:paraId="59C1887C">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氨</w:t>
                  </w:r>
                </w:p>
              </w:tc>
              <w:tc>
                <w:tcPr>
                  <w:tcW w:w="1090" w:type="pct"/>
                  <w:vMerge w:val="restart"/>
                  <w:tcBorders>
                    <w:tl2br w:val="nil"/>
                    <w:tr2bl w:val="nil"/>
                  </w:tcBorders>
                  <w:vAlign w:val="center"/>
                </w:tcPr>
                <w:p w14:paraId="1A8B5FB8">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产生的恶臭区域加罩或加盖密封；投放除臭剂；定期集中收集；其他</w:t>
                  </w:r>
                </w:p>
              </w:tc>
              <w:tc>
                <w:tcPr>
                  <w:tcW w:w="1615" w:type="pct"/>
                  <w:vMerge w:val="restart"/>
                  <w:tcBorders>
                    <w:tl2br w:val="nil"/>
                    <w:tr2bl w:val="nil"/>
                  </w:tcBorders>
                  <w:vAlign w:val="center"/>
                </w:tcPr>
                <w:p w14:paraId="4E01C9D6">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定期喷洒除臭剂</w:t>
                  </w:r>
                </w:p>
              </w:tc>
              <w:tc>
                <w:tcPr>
                  <w:tcW w:w="419" w:type="pct"/>
                  <w:vMerge w:val="restart"/>
                  <w:tcBorders>
                    <w:tl2br w:val="nil"/>
                    <w:tr2bl w:val="nil"/>
                  </w:tcBorders>
                  <w:vAlign w:val="center"/>
                </w:tcPr>
                <w:p w14:paraId="4548D178">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可行</w:t>
                  </w:r>
                </w:p>
              </w:tc>
            </w:tr>
            <w:tr w14:paraId="700DC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9" w:hRule="atLeast"/>
              </w:trPr>
              <w:tc>
                <w:tcPr>
                  <w:tcW w:w="407" w:type="pct"/>
                  <w:vMerge w:val="continue"/>
                  <w:tcBorders>
                    <w:tl2br w:val="nil"/>
                    <w:tr2bl w:val="nil"/>
                  </w:tcBorders>
                  <w:vAlign w:val="center"/>
                </w:tcPr>
                <w:p w14:paraId="21C6065B">
                  <w:pPr>
                    <w:pStyle w:val="26"/>
                    <w:jc w:val="center"/>
                    <w:rPr>
                      <w:rFonts w:hint="eastAsia" w:ascii="Times New Roman" w:hAnsi="Times New Roman" w:eastAsia="宋体" w:cs="Times New Roman"/>
                      <w:sz w:val="21"/>
                      <w:szCs w:val="21"/>
                      <w:highlight w:val="yellow"/>
                      <w:lang w:val="en-US" w:eastAsia="zh-CN" w:bidi="ar-SA"/>
                    </w:rPr>
                  </w:pPr>
                </w:p>
              </w:tc>
              <w:tc>
                <w:tcPr>
                  <w:tcW w:w="758" w:type="pct"/>
                  <w:vMerge w:val="continue"/>
                  <w:tcBorders>
                    <w:tl2br w:val="nil"/>
                    <w:tr2bl w:val="nil"/>
                  </w:tcBorders>
                  <w:vAlign w:val="center"/>
                </w:tcPr>
                <w:p w14:paraId="6AAC1BBD">
                  <w:pPr>
                    <w:pStyle w:val="26"/>
                    <w:jc w:val="center"/>
                    <w:rPr>
                      <w:rFonts w:hint="eastAsia" w:ascii="Times New Roman" w:hAnsi="Times New Roman" w:eastAsia="宋体" w:cs="Times New Roman"/>
                      <w:sz w:val="21"/>
                      <w:szCs w:val="21"/>
                      <w:highlight w:val="yellow"/>
                      <w:vertAlign w:val="baseline"/>
                      <w:lang w:val="en-US" w:eastAsia="zh-CN" w:bidi="ar-SA"/>
                    </w:rPr>
                  </w:pPr>
                </w:p>
              </w:tc>
              <w:tc>
                <w:tcPr>
                  <w:tcW w:w="707" w:type="pct"/>
                  <w:tcBorders>
                    <w:tl2br w:val="nil"/>
                    <w:tr2bl w:val="nil"/>
                  </w:tcBorders>
                  <w:vAlign w:val="center"/>
                </w:tcPr>
                <w:p w14:paraId="0BD89F33">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硫化氢</w:t>
                  </w:r>
                </w:p>
              </w:tc>
              <w:tc>
                <w:tcPr>
                  <w:tcW w:w="1090" w:type="pct"/>
                  <w:vMerge w:val="continue"/>
                  <w:tcBorders>
                    <w:tl2br w:val="nil"/>
                    <w:tr2bl w:val="nil"/>
                  </w:tcBorders>
                  <w:vAlign w:val="center"/>
                </w:tcPr>
                <w:p w14:paraId="127C672F">
                  <w:pPr>
                    <w:pStyle w:val="26"/>
                    <w:jc w:val="center"/>
                    <w:rPr>
                      <w:rFonts w:hint="eastAsia" w:ascii="Times New Roman" w:hAnsi="Times New Roman" w:eastAsia="宋体" w:cs="Times New Roman"/>
                      <w:sz w:val="21"/>
                      <w:szCs w:val="21"/>
                      <w:highlight w:val="yellow"/>
                      <w:vertAlign w:val="baseline"/>
                      <w:lang w:val="en-US" w:eastAsia="zh-CN" w:bidi="ar-SA"/>
                    </w:rPr>
                  </w:pPr>
                </w:p>
              </w:tc>
              <w:tc>
                <w:tcPr>
                  <w:tcW w:w="1615" w:type="pct"/>
                  <w:vMerge w:val="continue"/>
                  <w:tcBorders>
                    <w:tl2br w:val="nil"/>
                    <w:tr2bl w:val="nil"/>
                  </w:tcBorders>
                  <w:vAlign w:val="center"/>
                </w:tcPr>
                <w:p w14:paraId="47F478E6">
                  <w:pPr>
                    <w:pStyle w:val="26"/>
                    <w:jc w:val="center"/>
                    <w:rPr>
                      <w:rFonts w:hint="eastAsia" w:ascii="Times New Roman" w:hAnsi="Times New Roman" w:eastAsia="宋体" w:cs="Times New Roman"/>
                      <w:sz w:val="21"/>
                      <w:szCs w:val="21"/>
                      <w:highlight w:val="yellow"/>
                      <w:vertAlign w:val="baseline"/>
                      <w:lang w:val="en-US" w:eastAsia="zh-CN" w:bidi="ar-SA"/>
                    </w:rPr>
                  </w:pPr>
                </w:p>
              </w:tc>
              <w:tc>
                <w:tcPr>
                  <w:tcW w:w="419" w:type="pct"/>
                  <w:vMerge w:val="continue"/>
                  <w:tcBorders>
                    <w:tl2br w:val="nil"/>
                    <w:tr2bl w:val="nil"/>
                  </w:tcBorders>
                  <w:vAlign w:val="center"/>
                </w:tcPr>
                <w:p w14:paraId="42144012">
                  <w:pPr>
                    <w:pStyle w:val="26"/>
                    <w:jc w:val="center"/>
                    <w:rPr>
                      <w:rFonts w:hint="default" w:ascii="Times New Roman" w:hAnsi="Times New Roman" w:eastAsia="宋体" w:cs="Times New Roman"/>
                      <w:sz w:val="21"/>
                      <w:szCs w:val="21"/>
                      <w:highlight w:val="yellow"/>
                      <w:vertAlign w:val="baseline"/>
                      <w:lang w:val="en-US" w:eastAsia="zh-CN" w:bidi="ar-SA"/>
                    </w:rPr>
                  </w:pPr>
                </w:p>
              </w:tc>
            </w:tr>
            <w:tr w14:paraId="21790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9" w:hRule="atLeast"/>
              </w:trPr>
              <w:tc>
                <w:tcPr>
                  <w:tcW w:w="407" w:type="pct"/>
                  <w:vMerge w:val="continue"/>
                  <w:tcBorders>
                    <w:tl2br w:val="nil"/>
                    <w:tr2bl w:val="nil"/>
                  </w:tcBorders>
                  <w:vAlign w:val="center"/>
                </w:tcPr>
                <w:p w14:paraId="02754AD8">
                  <w:pPr>
                    <w:pStyle w:val="26"/>
                    <w:jc w:val="center"/>
                    <w:rPr>
                      <w:rFonts w:hint="eastAsia" w:ascii="Times New Roman" w:hAnsi="Times New Roman" w:eastAsia="宋体" w:cs="Times New Roman"/>
                      <w:sz w:val="21"/>
                      <w:szCs w:val="21"/>
                      <w:highlight w:val="yellow"/>
                      <w:lang w:val="en-US" w:eastAsia="zh-CN" w:bidi="ar-SA"/>
                    </w:rPr>
                  </w:pPr>
                </w:p>
              </w:tc>
              <w:tc>
                <w:tcPr>
                  <w:tcW w:w="758" w:type="pct"/>
                  <w:vMerge w:val="continue"/>
                  <w:tcBorders>
                    <w:tl2br w:val="nil"/>
                    <w:tr2bl w:val="nil"/>
                  </w:tcBorders>
                  <w:vAlign w:val="center"/>
                </w:tcPr>
                <w:p w14:paraId="0AE0FD52">
                  <w:pPr>
                    <w:pStyle w:val="26"/>
                    <w:jc w:val="center"/>
                    <w:rPr>
                      <w:rFonts w:hint="eastAsia" w:ascii="Times New Roman" w:hAnsi="Times New Roman" w:eastAsia="宋体" w:cs="Times New Roman"/>
                      <w:sz w:val="21"/>
                      <w:szCs w:val="21"/>
                      <w:highlight w:val="yellow"/>
                      <w:vertAlign w:val="baseline"/>
                      <w:lang w:val="en-US" w:eastAsia="zh-CN" w:bidi="ar-SA"/>
                    </w:rPr>
                  </w:pPr>
                </w:p>
              </w:tc>
              <w:tc>
                <w:tcPr>
                  <w:tcW w:w="707" w:type="pct"/>
                  <w:tcBorders>
                    <w:tl2br w:val="nil"/>
                    <w:tr2bl w:val="nil"/>
                  </w:tcBorders>
                  <w:vAlign w:val="center"/>
                </w:tcPr>
                <w:p w14:paraId="0BE1346A">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臭气浓度</w:t>
                  </w:r>
                </w:p>
              </w:tc>
              <w:tc>
                <w:tcPr>
                  <w:tcW w:w="1090" w:type="pct"/>
                  <w:vMerge w:val="continue"/>
                  <w:tcBorders>
                    <w:tl2br w:val="nil"/>
                    <w:tr2bl w:val="nil"/>
                  </w:tcBorders>
                  <w:vAlign w:val="center"/>
                </w:tcPr>
                <w:p w14:paraId="3232E1D4">
                  <w:pPr>
                    <w:pStyle w:val="26"/>
                    <w:jc w:val="center"/>
                    <w:rPr>
                      <w:rFonts w:hint="eastAsia" w:ascii="Times New Roman" w:hAnsi="Times New Roman" w:eastAsia="宋体" w:cs="Times New Roman"/>
                      <w:sz w:val="21"/>
                      <w:szCs w:val="21"/>
                      <w:highlight w:val="yellow"/>
                      <w:vertAlign w:val="baseline"/>
                      <w:lang w:val="en-US" w:eastAsia="zh-CN" w:bidi="ar-SA"/>
                    </w:rPr>
                  </w:pPr>
                </w:p>
              </w:tc>
              <w:tc>
                <w:tcPr>
                  <w:tcW w:w="1615" w:type="pct"/>
                  <w:vMerge w:val="continue"/>
                  <w:tcBorders>
                    <w:tl2br w:val="nil"/>
                    <w:tr2bl w:val="nil"/>
                  </w:tcBorders>
                  <w:vAlign w:val="center"/>
                </w:tcPr>
                <w:p w14:paraId="6001154E">
                  <w:pPr>
                    <w:pStyle w:val="26"/>
                    <w:jc w:val="center"/>
                    <w:rPr>
                      <w:rFonts w:hint="eastAsia" w:ascii="Times New Roman" w:hAnsi="Times New Roman" w:eastAsia="宋体" w:cs="Times New Roman"/>
                      <w:sz w:val="21"/>
                      <w:szCs w:val="21"/>
                      <w:highlight w:val="yellow"/>
                      <w:vertAlign w:val="baseline"/>
                      <w:lang w:val="en-US" w:eastAsia="zh-CN" w:bidi="ar-SA"/>
                    </w:rPr>
                  </w:pPr>
                </w:p>
              </w:tc>
              <w:tc>
                <w:tcPr>
                  <w:tcW w:w="419" w:type="pct"/>
                  <w:vMerge w:val="continue"/>
                  <w:tcBorders>
                    <w:tl2br w:val="nil"/>
                    <w:tr2bl w:val="nil"/>
                  </w:tcBorders>
                  <w:vAlign w:val="center"/>
                </w:tcPr>
                <w:p w14:paraId="490414A2">
                  <w:pPr>
                    <w:pStyle w:val="26"/>
                    <w:jc w:val="center"/>
                    <w:rPr>
                      <w:rFonts w:hint="default" w:ascii="Times New Roman" w:hAnsi="Times New Roman" w:eastAsia="宋体" w:cs="Times New Roman"/>
                      <w:sz w:val="21"/>
                      <w:szCs w:val="21"/>
                      <w:highlight w:val="yellow"/>
                      <w:vertAlign w:val="baseline"/>
                      <w:lang w:val="en-US" w:eastAsia="zh-CN" w:bidi="ar-SA"/>
                    </w:rPr>
                  </w:pPr>
                </w:p>
              </w:tc>
            </w:tr>
          </w:tbl>
          <w:p w14:paraId="17740A31">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w:t>
            </w:r>
            <w:r>
              <w:rPr>
                <w:rFonts w:hint="default" w:ascii="Times New Roman" w:hAnsi="Times New Roman" w:eastAsia="宋体" w:cs="Times New Roman"/>
                <w:sz w:val="24"/>
                <w:highlight w:val="none"/>
                <w:lang w:val="en-US" w:eastAsia="zh-CN"/>
              </w:rPr>
              <w:t>排污许可证申请与核发技术规范 农副食品加工工业—饲料加工、植物油加工工业</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HJ 1110—2020</w:t>
            </w:r>
            <w:r>
              <w:rPr>
                <w:rFonts w:hint="default"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中“表2及表3”</w:t>
            </w:r>
            <w:r>
              <w:rPr>
                <w:rFonts w:hint="default" w:ascii="Times New Roman" w:hAnsi="Times New Roman" w:eastAsia="宋体" w:cs="Times New Roman"/>
                <w:sz w:val="24"/>
                <w:highlight w:val="none"/>
                <w:lang w:val="en-US" w:eastAsia="zh-CN"/>
              </w:rPr>
              <w:t>饲料加工、植物油加工工业排污单位污染控制项目及污染防治设施一览表</w:t>
            </w:r>
            <w:r>
              <w:rPr>
                <w:rFonts w:hint="default" w:ascii="Times New Roman" w:hAnsi="Times New Roman" w:eastAsia="宋体" w:cs="Times New Roman"/>
                <w:sz w:val="24"/>
                <w:highlight w:val="none"/>
              </w:rPr>
              <w:t>污染防治可行技术参照表，</w:t>
            </w:r>
            <w:r>
              <w:rPr>
                <w:rFonts w:hint="eastAsia" w:cs="Times New Roman"/>
                <w:sz w:val="24"/>
                <w:highlight w:val="none"/>
                <w:lang w:val="en-US" w:eastAsia="zh-CN"/>
              </w:rPr>
              <w:t>及</w:t>
            </w:r>
            <w:r>
              <w:rPr>
                <w:rFonts w:hint="eastAsia" w:ascii="Times New Roman" w:hAnsi="Times New Roman" w:eastAsia="宋体" w:cs="Times New Roman"/>
                <w:color w:val="000000"/>
                <w:kern w:val="2"/>
                <w:sz w:val="24"/>
                <w:szCs w:val="24"/>
                <w:highlight w:val="none"/>
                <w:lang w:val="en-US" w:eastAsia="zh-CN" w:bidi="ar-SA"/>
              </w:rPr>
              <w:t>《排污许可证申请与核发技术规范 锅炉》（HJ953-2018）</w:t>
            </w:r>
            <w:r>
              <w:rPr>
                <w:rFonts w:hint="eastAsia" w:cs="Times New Roman"/>
                <w:color w:val="000000"/>
                <w:kern w:val="2"/>
                <w:sz w:val="24"/>
                <w:szCs w:val="24"/>
                <w:highlight w:val="none"/>
                <w:lang w:val="en-US" w:eastAsia="zh-CN" w:bidi="ar-SA"/>
              </w:rPr>
              <w:t>表7规定。</w:t>
            </w:r>
            <w:r>
              <w:rPr>
                <w:rFonts w:hint="eastAsia" w:ascii="Times New Roman" w:hAnsi="Times New Roman" w:eastAsia="宋体" w:cs="Times New Roman"/>
                <w:sz w:val="24"/>
                <w:highlight w:val="none"/>
                <w:lang w:val="en-US" w:eastAsia="zh-CN"/>
              </w:rPr>
              <w:t>使用以上工艺为可行性技术，因此本项目</w:t>
            </w:r>
            <w:r>
              <w:rPr>
                <w:rFonts w:hint="default" w:ascii="Times New Roman" w:hAnsi="Times New Roman" w:eastAsia="宋体" w:cs="Times New Roman"/>
                <w:sz w:val="24"/>
                <w:highlight w:val="none"/>
              </w:rPr>
              <w:t>污染防治措施可行。</w:t>
            </w:r>
          </w:p>
          <w:p w14:paraId="3919FC0E">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right"/>
              <w:textAlignment w:val="auto"/>
              <w:rPr>
                <w:rFonts w:hint="default" w:ascii="Times New Roman" w:hAnsi="Times New Roman" w:eastAsia="宋体" w:cs="Times New Roman"/>
                <w:sz w:val="24"/>
                <w:highlight w:val="none"/>
              </w:rPr>
            </w:pPr>
            <w:r>
              <w:rPr>
                <w:rFonts w:hint="eastAsia" w:ascii="黑体" w:hAnsi="黑体" w:eastAsia="黑体" w:cs="黑体"/>
                <w:b w:val="0"/>
                <w:bCs/>
                <w:kern w:val="0"/>
                <w:sz w:val="21"/>
                <w:szCs w:val="21"/>
                <w:highlight w:val="none"/>
                <w:lang w:val="en-US" w:eastAsia="zh-CN" w:bidi="ar-SA"/>
              </w:rPr>
              <w:t>表4-11   排放口基本情况一览表        臭气浓度单位：无量纲</w:t>
            </w:r>
          </w:p>
          <w:tbl>
            <w:tblPr>
              <w:tblStyle w:val="21"/>
              <w:tblW w:w="497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8"/>
              <w:gridCol w:w="779"/>
              <w:gridCol w:w="749"/>
              <w:gridCol w:w="715"/>
              <w:gridCol w:w="444"/>
              <w:gridCol w:w="374"/>
              <w:gridCol w:w="334"/>
              <w:gridCol w:w="3174"/>
              <w:gridCol w:w="1600"/>
            </w:tblGrid>
            <w:tr w14:paraId="3B4B2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32" w:type="pct"/>
                  <w:vMerge w:val="restart"/>
                  <w:tcBorders>
                    <w:tl2br w:val="nil"/>
                    <w:tr2bl w:val="nil"/>
                  </w:tcBorders>
                  <w:noWrap w:val="0"/>
                  <w:vAlign w:val="center"/>
                </w:tcPr>
                <w:p w14:paraId="01738C1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污染源类别</w:t>
                  </w:r>
                </w:p>
              </w:tc>
              <w:tc>
                <w:tcPr>
                  <w:tcW w:w="454" w:type="pct"/>
                  <w:vMerge w:val="restart"/>
                  <w:tcBorders>
                    <w:tl2br w:val="nil"/>
                    <w:tr2bl w:val="nil"/>
                  </w:tcBorders>
                  <w:noWrap w:val="0"/>
                  <w:vAlign w:val="center"/>
                </w:tcPr>
                <w:p w14:paraId="73ABDDC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污染物产生情况</w:t>
                  </w:r>
                </w:p>
              </w:tc>
              <w:tc>
                <w:tcPr>
                  <w:tcW w:w="437" w:type="pct"/>
                  <w:vMerge w:val="restart"/>
                  <w:tcBorders>
                    <w:tl2br w:val="nil"/>
                    <w:tr2bl w:val="nil"/>
                  </w:tcBorders>
                  <w:noWrap w:val="0"/>
                  <w:vAlign w:val="center"/>
                </w:tcPr>
                <w:p w14:paraId="70166C8F">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污染物名称</w:t>
                  </w:r>
                </w:p>
              </w:tc>
              <w:tc>
                <w:tcPr>
                  <w:tcW w:w="417" w:type="pct"/>
                  <w:vMerge w:val="restart"/>
                  <w:tcBorders>
                    <w:tl2br w:val="nil"/>
                    <w:tr2bl w:val="nil"/>
                  </w:tcBorders>
                  <w:noWrap w:val="0"/>
                  <w:vAlign w:val="center"/>
                </w:tcPr>
                <w:p w14:paraId="0BEC0C3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排污口编号及名称</w:t>
                  </w:r>
                </w:p>
              </w:tc>
              <w:tc>
                <w:tcPr>
                  <w:tcW w:w="2525" w:type="pct"/>
                  <w:gridSpan w:val="4"/>
                  <w:tcBorders>
                    <w:tl2br w:val="nil"/>
                    <w:tr2bl w:val="nil"/>
                  </w:tcBorders>
                  <w:noWrap w:val="0"/>
                  <w:vAlign w:val="center"/>
                </w:tcPr>
                <w:p w14:paraId="3E62844A">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排放口设置情况</w:t>
                  </w:r>
                </w:p>
              </w:tc>
              <w:tc>
                <w:tcPr>
                  <w:tcW w:w="933" w:type="pct"/>
                  <w:tcBorders>
                    <w:tl2br w:val="nil"/>
                    <w:tr2bl w:val="nil"/>
                  </w:tcBorders>
                  <w:noWrap w:val="0"/>
                  <w:vAlign w:val="center"/>
                </w:tcPr>
                <w:p w14:paraId="35AD9A8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p>
              </w:tc>
            </w:tr>
            <w:tr w14:paraId="438B6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1" w:hRule="atLeast"/>
              </w:trPr>
              <w:tc>
                <w:tcPr>
                  <w:tcW w:w="232" w:type="pct"/>
                  <w:vMerge w:val="continue"/>
                  <w:tcBorders>
                    <w:tl2br w:val="nil"/>
                    <w:tr2bl w:val="nil"/>
                  </w:tcBorders>
                  <w:noWrap w:val="0"/>
                  <w:vAlign w:val="center"/>
                </w:tcPr>
                <w:p w14:paraId="39D201E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454" w:type="pct"/>
                  <w:vMerge w:val="continue"/>
                  <w:tcBorders>
                    <w:tl2br w:val="nil"/>
                    <w:tr2bl w:val="nil"/>
                  </w:tcBorders>
                  <w:noWrap w:val="0"/>
                  <w:vAlign w:val="center"/>
                </w:tcPr>
                <w:p w14:paraId="62E3D59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p>
              </w:tc>
              <w:tc>
                <w:tcPr>
                  <w:tcW w:w="437" w:type="pct"/>
                  <w:vMerge w:val="continue"/>
                  <w:tcBorders>
                    <w:tl2br w:val="nil"/>
                    <w:tr2bl w:val="nil"/>
                  </w:tcBorders>
                  <w:noWrap w:val="0"/>
                  <w:vAlign w:val="center"/>
                </w:tcPr>
                <w:p w14:paraId="7D29793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noWrap w:val="0"/>
                  <w:vAlign w:val="center"/>
                </w:tcPr>
                <w:p w14:paraId="0E2460D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259" w:type="pct"/>
                  <w:tcBorders>
                    <w:tl2br w:val="nil"/>
                    <w:tr2bl w:val="nil"/>
                  </w:tcBorders>
                  <w:noWrap w:val="0"/>
                  <w:vAlign w:val="center"/>
                </w:tcPr>
                <w:p w14:paraId="1D6160A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高度</w:t>
                  </w:r>
                </w:p>
                <w:p w14:paraId="5973D0A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w w:val="99"/>
                      <w:sz w:val="21"/>
                      <w:szCs w:val="21"/>
                      <w:highlight w:val="none"/>
                    </w:rPr>
                    <w:t>m</w:t>
                  </w:r>
                </w:p>
              </w:tc>
              <w:tc>
                <w:tcPr>
                  <w:tcW w:w="218" w:type="pct"/>
                  <w:tcBorders>
                    <w:tl2br w:val="nil"/>
                    <w:tr2bl w:val="nil"/>
                  </w:tcBorders>
                  <w:noWrap w:val="0"/>
                  <w:vAlign w:val="center"/>
                </w:tcPr>
                <w:p w14:paraId="0E439D0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内径</w:t>
                  </w:r>
                </w:p>
                <w:p w14:paraId="21EA91E3">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w w:val="99"/>
                      <w:sz w:val="21"/>
                      <w:szCs w:val="21"/>
                      <w:highlight w:val="none"/>
                    </w:rPr>
                    <w:t>m</w:t>
                  </w:r>
                </w:p>
              </w:tc>
              <w:tc>
                <w:tcPr>
                  <w:tcW w:w="194" w:type="pct"/>
                  <w:tcBorders>
                    <w:tl2br w:val="nil"/>
                    <w:tr2bl w:val="nil"/>
                  </w:tcBorders>
                  <w:noWrap w:val="0"/>
                  <w:vAlign w:val="center"/>
                </w:tcPr>
                <w:p w14:paraId="0BFEAA4B">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温度°C</w:t>
                  </w:r>
                </w:p>
              </w:tc>
              <w:tc>
                <w:tcPr>
                  <w:tcW w:w="1852" w:type="pct"/>
                  <w:tcBorders>
                    <w:tl2br w:val="nil"/>
                    <w:tr2bl w:val="nil"/>
                  </w:tcBorders>
                  <w:noWrap w:val="0"/>
                  <w:vAlign w:val="center"/>
                </w:tcPr>
                <w:p w14:paraId="3F7213A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坐标</w:t>
                  </w:r>
                </w:p>
              </w:tc>
              <w:tc>
                <w:tcPr>
                  <w:tcW w:w="933" w:type="pct"/>
                  <w:tcBorders>
                    <w:tl2br w:val="nil"/>
                    <w:tr2bl w:val="nil"/>
                  </w:tcBorders>
                  <w:noWrap w:val="0"/>
                  <w:vAlign w:val="center"/>
                </w:tcPr>
                <w:p w14:paraId="339EBA41">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类型</w:t>
                  </w:r>
                </w:p>
              </w:tc>
            </w:tr>
            <w:tr w14:paraId="67B0A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232" w:type="pct"/>
                  <w:vMerge w:val="restart"/>
                  <w:tcBorders>
                    <w:tl2br w:val="nil"/>
                    <w:tr2bl w:val="nil"/>
                  </w:tcBorders>
                  <w:noWrap w:val="0"/>
                  <w:vAlign w:val="center"/>
                </w:tcPr>
                <w:p w14:paraId="7E3AEB2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有组织</w:t>
                  </w:r>
                </w:p>
              </w:tc>
              <w:tc>
                <w:tcPr>
                  <w:tcW w:w="454" w:type="pct"/>
                  <w:tcBorders>
                    <w:tl2br w:val="nil"/>
                    <w:tr2bl w:val="nil"/>
                  </w:tcBorders>
                  <w:noWrap w:val="0"/>
                  <w:vAlign w:val="center"/>
                </w:tcPr>
                <w:p w14:paraId="19A67E8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剥绒</w:t>
                  </w:r>
                </w:p>
                <w:p w14:paraId="018858D4">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车间</w:t>
                  </w:r>
                </w:p>
              </w:tc>
              <w:tc>
                <w:tcPr>
                  <w:tcW w:w="437" w:type="pct"/>
                  <w:tcBorders>
                    <w:tl2br w:val="nil"/>
                    <w:tr2bl w:val="nil"/>
                  </w:tcBorders>
                  <w:noWrap w:val="0"/>
                  <w:vAlign w:val="center"/>
                </w:tcPr>
                <w:p w14:paraId="0794073C">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颗粒物</w:t>
                  </w:r>
                </w:p>
              </w:tc>
              <w:tc>
                <w:tcPr>
                  <w:tcW w:w="417" w:type="pct"/>
                  <w:tcBorders>
                    <w:tl2br w:val="nil"/>
                    <w:tr2bl w:val="nil"/>
                  </w:tcBorders>
                  <w:noWrap w:val="0"/>
                  <w:vAlign w:val="center"/>
                </w:tcPr>
                <w:p w14:paraId="2FD34492">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DA001</w:t>
                  </w:r>
                </w:p>
              </w:tc>
              <w:tc>
                <w:tcPr>
                  <w:tcW w:w="259" w:type="pct"/>
                  <w:vMerge w:val="restart"/>
                  <w:tcBorders>
                    <w:tl2br w:val="nil"/>
                    <w:tr2bl w:val="nil"/>
                  </w:tcBorders>
                  <w:noWrap w:val="0"/>
                  <w:vAlign w:val="center"/>
                </w:tcPr>
                <w:p w14:paraId="39505FD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15</w:t>
                  </w:r>
                </w:p>
              </w:tc>
              <w:tc>
                <w:tcPr>
                  <w:tcW w:w="218" w:type="pct"/>
                  <w:vMerge w:val="restart"/>
                  <w:tcBorders>
                    <w:tl2br w:val="nil"/>
                    <w:tr2bl w:val="nil"/>
                  </w:tcBorders>
                  <w:noWrap w:val="0"/>
                  <w:vAlign w:val="center"/>
                </w:tcPr>
                <w:p w14:paraId="4D35AFB5">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0.2</w:t>
                  </w:r>
                </w:p>
              </w:tc>
              <w:tc>
                <w:tcPr>
                  <w:tcW w:w="194" w:type="pct"/>
                  <w:vMerge w:val="restart"/>
                  <w:tcBorders>
                    <w:tl2br w:val="nil"/>
                    <w:tr2bl w:val="nil"/>
                  </w:tcBorders>
                  <w:noWrap w:val="0"/>
                  <w:vAlign w:val="center"/>
                </w:tcPr>
                <w:p w14:paraId="4C3636B4">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25</w:t>
                  </w:r>
                </w:p>
              </w:tc>
              <w:tc>
                <w:tcPr>
                  <w:tcW w:w="1852" w:type="pct"/>
                  <w:tcBorders>
                    <w:tl2br w:val="nil"/>
                    <w:tr2bl w:val="nil"/>
                  </w:tcBorders>
                  <w:noWrap w:val="0"/>
                  <w:vAlign w:val="center"/>
                </w:tcPr>
                <w:p w14:paraId="750AB672">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eastAsia="宋体" w:cs="Times New Roman"/>
                      <w:w w:val="99"/>
                      <w:sz w:val="21"/>
                      <w:szCs w:val="21"/>
                      <w:highlight w:val="yellow"/>
                    </w:rPr>
                  </w:pPr>
                  <w:r>
                    <w:rPr>
                      <w:rFonts w:hint="default" w:ascii="Times New Roman" w:hAnsi="Times New Roman" w:cs="Times New Roman"/>
                      <w:sz w:val="21"/>
                      <w:szCs w:val="21"/>
                      <w:lang w:val="en-US" w:eastAsia="zh-CN"/>
                    </w:rPr>
                    <w:t>E84°18'12.377"，N41°47'54.540"</w:t>
                  </w:r>
                </w:p>
              </w:tc>
              <w:tc>
                <w:tcPr>
                  <w:tcW w:w="933" w:type="pct"/>
                  <w:vMerge w:val="restart"/>
                  <w:tcBorders>
                    <w:tl2br w:val="nil"/>
                    <w:tr2bl w:val="nil"/>
                  </w:tcBorders>
                  <w:noWrap w:val="0"/>
                  <w:vAlign w:val="center"/>
                </w:tcPr>
                <w:p w14:paraId="79CD494C">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w w:val="99"/>
                      <w:sz w:val="21"/>
                      <w:szCs w:val="21"/>
                      <w:highlight w:val="none"/>
                    </w:rPr>
                    <w:t>一般排放口</w:t>
                  </w:r>
                </w:p>
              </w:tc>
            </w:tr>
            <w:tr w14:paraId="208CD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232" w:type="pct"/>
                  <w:vMerge w:val="continue"/>
                  <w:tcBorders>
                    <w:tl2br w:val="nil"/>
                    <w:tr2bl w:val="nil"/>
                  </w:tcBorders>
                  <w:noWrap w:val="0"/>
                  <w:vAlign w:val="center"/>
                </w:tcPr>
                <w:p w14:paraId="2A5E363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rPr>
                  </w:pPr>
                </w:p>
              </w:tc>
              <w:tc>
                <w:tcPr>
                  <w:tcW w:w="454" w:type="pct"/>
                  <w:tcBorders>
                    <w:tl2br w:val="nil"/>
                    <w:tr2bl w:val="nil"/>
                  </w:tcBorders>
                  <w:noWrap w:val="0"/>
                  <w:vAlign w:val="center"/>
                </w:tcPr>
                <w:p w14:paraId="23530C02">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剥绒</w:t>
                  </w:r>
                </w:p>
                <w:p w14:paraId="192A3B9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车间</w:t>
                  </w:r>
                </w:p>
              </w:tc>
              <w:tc>
                <w:tcPr>
                  <w:tcW w:w="437" w:type="pct"/>
                  <w:tcBorders>
                    <w:tl2br w:val="nil"/>
                    <w:tr2bl w:val="nil"/>
                  </w:tcBorders>
                  <w:shd w:val="clear" w:color="auto" w:fill="auto"/>
                  <w:noWrap w:val="0"/>
                  <w:vAlign w:val="center"/>
                </w:tcPr>
                <w:p w14:paraId="4A1860E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颗粒物</w:t>
                  </w:r>
                </w:p>
              </w:tc>
              <w:tc>
                <w:tcPr>
                  <w:tcW w:w="417" w:type="pct"/>
                  <w:tcBorders>
                    <w:tl2br w:val="nil"/>
                    <w:tr2bl w:val="nil"/>
                  </w:tcBorders>
                  <w:shd w:val="clear" w:color="auto" w:fill="auto"/>
                  <w:noWrap w:val="0"/>
                  <w:vAlign w:val="center"/>
                </w:tcPr>
                <w:p w14:paraId="120533F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DA00</w:t>
                  </w:r>
                  <w:r>
                    <w:rPr>
                      <w:rFonts w:hint="eastAsia" w:ascii="Times New Roman" w:hAnsi="Times New Roman" w:eastAsia="宋体" w:cs="Times New Roman"/>
                      <w:kern w:val="2"/>
                      <w:sz w:val="21"/>
                      <w:szCs w:val="21"/>
                      <w:highlight w:val="none"/>
                      <w:lang w:val="en-US" w:eastAsia="zh-CN" w:bidi="zh-CN"/>
                    </w:rPr>
                    <w:t>2</w:t>
                  </w:r>
                </w:p>
              </w:tc>
              <w:tc>
                <w:tcPr>
                  <w:tcW w:w="259" w:type="pct"/>
                  <w:vMerge w:val="continue"/>
                  <w:tcBorders>
                    <w:tl2br w:val="nil"/>
                    <w:tr2bl w:val="nil"/>
                  </w:tcBorders>
                  <w:noWrap w:val="0"/>
                  <w:vAlign w:val="center"/>
                </w:tcPr>
                <w:p w14:paraId="77878CC3">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482BA92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6544CD0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1BDC4B99">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E84°18'13.054"，N41°47'54.771"</w:t>
                  </w:r>
                </w:p>
              </w:tc>
              <w:tc>
                <w:tcPr>
                  <w:tcW w:w="933" w:type="pct"/>
                  <w:vMerge w:val="continue"/>
                  <w:tcBorders>
                    <w:tl2br w:val="nil"/>
                    <w:tr2bl w:val="nil"/>
                  </w:tcBorders>
                  <w:noWrap w:val="0"/>
                  <w:vAlign w:val="center"/>
                </w:tcPr>
                <w:p w14:paraId="42FD19CC">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p>
              </w:tc>
            </w:tr>
            <w:tr w14:paraId="476DF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8" w:hRule="atLeast"/>
              </w:trPr>
              <w:tc>
                <w:tcPr>
                  <w:tcW w:w="232" w:type="pct"/>
                  <w:vMerge w:val="continue"/>
                  <w:tcBorders>
                    <w:tl2br w:val="nil"/>
                    <w:tr2bl w:val="nil"/>
                  </w:tcBorders>
                  <w:noWrap w:val="0"/>
                  <w:vAlign w:val="center"/>
                </w:tcPr>
                <w:p w14:paraId="1BA37E7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tcBorders>
                    <w:tl2br w:val="nil"/>
                    <w:tr2bl w:val="nil"/>
                  </w:tcBorders>
                  <w:noWrap w:val="0"/>
                  <w:vAlign w:val="center"/>
                </w:tcPr>
                <w:p w14:paraId="38D563B2">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粉碎包装车间</w:t>
                  </w:r>
                </w:p>
              </w:tc>
              <w:tc>
                <w:tcPr>
                  <w:tcW w:w="437" w:type="pct"/>
                  <w:tcBorders>
                    <w:tl2br w:val="nil"/>
                    <w:tr2bl w:val="nil"/>
                  </w:tcBorders>
                  <w:noWrap w:val="0"/>
                  <w:vAlign w:val="center"/>
                </w:tcPr>
                <w:p w14:paraId="31A9663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颗粒物</w:t>
                  </w:r>
                </w:p>
              </w:tc>
              <w:tc>
                <w:tcPr>
                  <w:tcW w:w="417" w:type="pct"/>
                  <w:tcBorders>
                    <w:tl2br w:val="nil"/>
                    <w:tr2bl w:val="nil"/>
                  </w:tcBorders>
                  <w:noWrap w:val="0"/>
                  <w:vAlign w:val="center"/>
                </w:tcPr>
                <w:p w14:paraId="467BB22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DA00</w:t>
                  </w:r>
                  <w:r>
                    <w:rPr>
                      <w:rFonts w:hint="eastAsia" w:ascii="Times New Roman" w:hAnsi="Times New Roman" w:eastAsia="宋体" w:cs="Times New Roman"/>
                      <w:kern w:val="2"/>
                      <w:sz w:val="21"/>
                      <w:szCs w:val="21"/>
                      <w:highlight w:val="none"/>
                      <w:lang w:val="en-US" w:eastAsia="zh-CN" w:bidi="zh-CN"/>
                    </w:rPr>
                    <w:t>3</w:t>
                  </w:r>
                </w:p>
              </w:tc>
              <w:tc>
                <w:tcPr>
                  <w:tcW w:w="259" w:type="pct"/>
                  <w:vMerge w:val="continue"/>
                  <w:tcBorders>
                    <w:tl2br w:val="nil"/>
                    <w:tr2bl w:val="nil"/>
                  </w:tcBorders>
                  <w:noWrap w:val="0"/>
                  <w:vAlign w:val="center"/>
                </w:tcPr>
                <w:p w14:paraId="044BD045">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1DFCD4FF">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1FA19DDA">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3F64F62E">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eastAsia="宋体" w:cs="Times New Roman"/>
                      <w:w w:val="99"/>
                      <w:sz w:val="21"/>
                      <w:szCs w:val="21"/>
                      <w:highlight w:val="none"/>
                      <w:lang w:val="en-US" w:eastAsia="zh-CN"/>
                    </w:rPr>
                  </w:pPr>
                  <w:r>
                    <w:rPr>
                      <w:rFonts w:hint="eastAsia" w:ascii="Times New Roman" w:hAnsi="Times New Roman" w:cs="Times New Roman"/>
                      <w:sz w:val="21"/>
                      <w:szCs w:val="21"/>
                      <w:highlight w:val="none"/>
                      <w:lang w:val="en-US" w:eastAsia="zh-CN"/>
                    </w:rPr>
                    <w:t>E</w:t>
                  </w:r>
                  <w:r>
                    <w:rPr>
                      <w:rFonts w:hint="default" w:ascii="Times New Roman" w:hAnsi="Times New Roman" w:cs="Times New Roman"/>
                      <w:sz w:val="21"/>
                      <w:szCs w:val="21"/>
                      <w:highlight w:val="none"/>
                      <w:lang w:val="en-US" w:eastAsia="zh-CN"/>
                    </w:rPr>
                    <w:t>84°18'14.059"</w:t>
                  </w:r>
                  <w:r>
                    <w:rPr>
                      <w:rFonts w:hint="eastAsia" w:ascii="Times New Roman" w:hAnsi="Times New Roman" w:cs="Times New Roman"/>
                      <w:sz w:val="21"/>
                      <w:szCs w:val="21"/>
                      <w:highlight w:val="none"/>
                      <w:lang w:val="en-US" w:eastAsia="zh-CN"/>
                    </w:rPr>
                    <w:t>，N</w:t>
                  </w:r>
                  <w:r>
                    <w:rPr>
                      <w:rFonts w:hint="default" w:ascii="Times New Roman" w:hAnsi="Times New Roman" w:cs="Times New Roman"/>
                      <w:sz w:val="21"/>
                      <w:szCs w:val="21"/>
                      <w:highlight w:val="none"/>
                      <w:lang w:val="en-US" w:eastAsia="zh-CN"/>
                    </w:rPr>
                    <w:t>41°47'51.937"</w:t>
                  </w:r>
                </w:p>
              </w:tc>
              <w:tc>
                <w:tcPr>
                  <w:tcW w:w="933" w:type="pct"/>
                  <w:vMerge w:val="continue"/>
                  <w:tcBorders>
                    <w:tl2br w:val="nil"/>
                    <w:tr2bl w:val="nil"/>
                  </w:tcBorders>
                  <w:noWrap w:val="0"/>
                  <w:vAlign w:val="center"/>
                </w:tcPr>
                <w:p w14:paraId="0B0B3BCA">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p>
              </w:tc>
            </w:tr>
            <w:tr w14:paraId="6FADF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232" w:type="pct"/>
                  <w:vMerge w:val="continue"/>
                  <w:tcBorders>
                    <w:tl2br w:val="nil"/>
                    <w:tr2bl w:val="nil"/>
                  </w:tcBorders>
                  <w:noWrap w:val="0"/>
                  <w:vAlign w:val="center"/>
                </w:tcPr>
                <w:p w14:paraId="1E52A3E3">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vMerge w:val="restart"/>
                  <w:tcBorders>
                    <w:tl2br w:val="nil"/>
                    <w:tr2bl w:val="nil"/>
                  </w:tcBorders>
                  <w:noWrap w:val="0"/>
                  <w:vAlign w:val="center"/>
                </w:tcPr>
                <w:p w14:paraId="6A78628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预处理车间</w:t>
                  </w:r>
                </w:p>
              </w:tc>
              <w:tc>
                <w:tcPr>
                  <w:tcW w:w="437" w:type="pct"/>
                  <w:tcBorders>
                    <w:tl2br w:val="nil"/>
                    <w:tr2bl w:val="nil"/>
                  </w:tcBorders>
                  <w:noWrap w:val="0"/>
                  <w:vAlign w:val="center"/>
                </w:tcPr>
                <w:p w14:paraId="7490095C">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颗粒物</w:t>
                  </w:r>
                </w:p>
              </w:tc>
              <w:tc>
                <w:tcPr>
                  <w:tcW w:w="417" w:type="pct"/>
                  <w:tcBorders>
                    <w:tl2br w:val="nil"/>
                    <w:tr2bl w:val="nil"/>
                  </w:tcBorders>
                  <w:noWrap w:val="0"/>
                  <w:vAlign w:val="center"/>
                </w:tcPr>
                <w:p w14:paraId="2F24627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DA00</w:t>
                  </w:r>
                  <w:r>
                    <w:rPr>
                      <w:rFonts w:hint="eastAsia" w:ascii="Times New Roman" w:hAnsi="Times New Roman" w:eastAsia="宋体" w:cs="Times New Roman"/>
                      <w:kern w:val="2"/>
                      <w:sz w:val="21"/>
                      <w:szCs w:val="21"/>
                      <w:highlight w:val="none"/>
                      <w:lang w:val="en-US" w:eastAsia="zh-CN" w:bidi="zh-CN"/>
                    </w:rPr>
                    <w:t>4</w:t>
                  </w:r>
                </w:p>
              </w:tc>
              <w:tc>
                <w:tcPr>
                  <w:tcW w:w="259" w:type="pct"/>
                  <w:vMerge w:val="continue"/>
                  <w:tcBorders>
                    <w:tl2br w:val="nil"/>
                    <w:tr2bl w:val="nil"/>
                  </w:tcBorders>
                  <w:noWrap w:val="0"/>
                  <w:vAlign w:val="center"/>
                </w:tcPr>
                <w:p w14:paraId="5D87EA3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35B20D36">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04CC5891">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36140354">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eastAsia="宋体" w:cs="Times New Roman"/>
                      <w:w w:val="99"/>
                      <w:sz w:val="21"/>
                      <w:szCs w:val="21"/>
                      <w:highlight w:val="none"/>
                      <w:lang w:val="en-US" w:eastAsia="zh-CN"/>
                    </w:rPr>
                  </w:pPr>
                  <w:r>
                    <w:rPr>
                      <w:rFonts w:hint="eastAsia" w:ascii="Times New Roman" w:hAnsi="Times New Roman" w:cs="Times New Roman"/>
                      <w:sz w:val="21"/>
                      <w:szCs w:val="21"/>
                      <w:highlight w:val="none"/>
                      <w:lang w:val="en-US" w:eastAsia="zh-CN"/>
                    </w:rPr>
                    <w:t>E</w:t>
                  </w:r>
                  <w:r>
                    <w:rPr>
                      <w:rFonts w:hint="default" w:ascii="Times New Roman" w:hAnsi="Times New Roman" w:cs="Times New Roman"/>
                      <w:sz w:val="21"/>
                      <w:szCs w:val="21"/>
                      <w:highlight w:val="none"/>
                      <w:lang w:val="en-US" w:eastAsia="zh-CN"/>
                    </w:rPr>
                    <w:t>84°18'17.348"</w:t>
                  </w:r>
                  <w:r>
                    <w:rPr>
                      <w:rFonts w:hint="eastAsia" w:ascii="Times New Roman" w:hAnsi="Times New Roman" w:cs="Times New Roman"/>
                      <w:sz w:val="21"/>
                      <w:szCs w:val="21"/>
                      <w:highlight w:val="none"/>
                      <w:lang w:val="en-US" w:eastAsia="zh-CN"/>
                    </w:rPr>
                    <w:t>，N</w:t>
                  </w:r>
                  <w:r>
                    <w:rPr>
                      <w:rFonts w:hint="default" w:ascii="Times New Roman" w:hAnsi="Times New Roman" w:cs="Times New Roman"/>
                      <w:sz w:val="21"/>
                      <w:szCs w:val="21"/>
                      <w:highlight w:val="none"/>
                      <w:lang w:val="en-US" w:eastAsia="zh-CN"/>
                    </w:rPr>
                    <w:t>41°47'54.145"</w:t>
                  </w:r>
                </w:p>
              </w:tc>
              <w:tc>
                <w:tcPr>
                  <w:tcW w:w="933" w:type="pct"/>
                  <w:vMerge w:val="continue"/>
                  <w:tcBorders>
                    <w:tl2br w:val="nil"/>
                    <w:tr2bl w:val="nil"/>
                  </w:tcBorders>
                  <w:noWrap w:val="0"/>
                  <w:vAlign w:val="center"/>
                </w:tcPr>
                <w:p w14:paraId="3F8AAE6A">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p>
              </w:tc>
            </w:tr>
            <w:tr w14:paraId="47E28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232" w:type="pct"/>
                  <w:vMerge w:val="continue"/>
                  <w:tcBorders>
                    <w:tl2br w:val="nil"/>
                    <w:tr2bl w:val="nil"/>
                  </w:tcBorders>
                  <w:noWrap w:val="0"/>
                  <w:vAlign w:val="center"/>
                </w:tcPr>
                <w:p w14:paraId="534C6BD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vMerge w:val="continue"/>
                  <w:tcBorders>
                    <w:tl2br w:val="nil"/>
                    <w:tr2bl w:val="nil"/>
                  </w:tcBorders>
                  <w:noWrap w:val="0"/>
                  <w:vAlign w:val="center"/>
                </w:tcPr>
                <w:p w14:paraId="12CBF206">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p>
              </w:tc>
              <w:tc>
                <w:tcPr>
                  <w:tcW w:w="437" w:type="pct"/>
                  <w:tcBorders>
                    <w:tl2br w:val="nil"/>
                    <w:tr2bl w:val="nil"/>
                  </w:tcBorders>
                  <w:noWrap w:val="0"/>
                  <w:vAlign w:val="center"/>
                </w:tcPr>
                <w:p w14:paraId="72AB757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臭气</w:t>
                  </w:r>
                </w:p>
                <w:p w14:paraId="069363B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浓度</w:t>
                  </w:r>
                </w:p>
              </w:tc>
              <w:tc>
                <w:tcPr>
                  <w:tcW w:w="417" w:type="pct"/>
                  <w:tcBorders>
                    <w:tl2br w:val="nil"/>
                    <w:tr2bl w:val="nil"/>
                  </w:tcBorders>
                  <w:noWrap w:val="0"/>
                  <w:vAlign w:val="center"/>
                </w:tcPr>
                <w:p w14:paraId="3C20CAF5">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DA00</w:t>
                  </w:r>
                  <w:r>
                    <w:rPr>
                      <w:rFonts w:hint="eastAsia" w:ascii="Times New Roman" w:hAnsi="Times New Roman" w:eastAsia="宋体" w:cs="Times New Roman"/>
                      <w:kern w:val="2"/>
                      <w:sz w:val="21"/>
                      <w:szCs w:val="21"/>
                      <w:highlight w:val="none"/>
                      <w:lang w:val="en-US" w:eastAsia="zh-CN" w:bidi="zh-CN"/>
                    </w:rPr>
                    <w:t>5</w:t>
                  </w:r>
                </w:p>
              </w:tc>
              <w:tc>
                <w:tcPr>
                  <w:tcW w:w="259" w:type="pct"/>
                  <w:vMerge w:val="continue"/>
                  <w:tcBorders>
                    <w:tl2br w:val="nil"/>
                    <w:tr2bl w:val="nil"/>
                  </w:tcBorders>
                  <w:noWrap w:val="0"/>
                  <w:vAlign w:val="center"/>
                </w:tcPr>
                <w:p w14:paraId="7200A8FB">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31BF240F">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5729DD3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2A8B8E8B">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E</w:t>
                  </w:r>
                  <w:r>
                    <w:rPr>
                      <w:rFonts w:hint="default" w:ascii="Times New Roman" w:hAnsi="Times New Roman" w:cs="Times New Roman"/>
                      <w:sz w:val="21"/>
                      <w:szCs w:val="21"/>
                      <w:highlight w:val="none"/>
                    </w:rPr>
                    <w:t>84°18'17.096"</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N</w:t>
                  </w:r>
                  <w:r>
                    <w:rPr>
                      <w:rFonts w:hint="default" w:ascii="Times New Roman" w:hAnsi="Times New Roman" w:cs="Times New Roman"/>
                      <w:sz w:val="21"/>
                      <w:szCs w:val="21"/>
                      <w:highlight w:val="none"/>
                    </w:rPr>
                    <w:t>41°47'54.000"</w:t>
                  </w:r>
                </w:p>
              </w:tc>
              <w:tc>
                <w:tcPr>
                  <w:tcW w:w="933" w:type="pct"/>
                  <w:vMerge w:val="continue"/>
                  <w:tcBorders>
                    <w:tl2br w:val="nil"/>
                    <w:tr2bl w:val="nil"/>
                  </w:tcBorders>
                  <w:noWrap w:val="0"/>
                  <w:vAlign w:val="center"/>
                </w:tcPr>
                <w:p w14:paraId="7E3B5A3F">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p>
              </w:tc>
            </w:tr>
            <w:tr w14:paraId="3D77D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232" w:type="pct"/>
                  <w:vMerge w:val="continue"/>
                  <w:tcBorders>
                    <w:tl2br w:val="nil"/>
                    <w:tr2bl w:val="nil"/>
                  </w:tcBorders>
                  <w:noWrap w:val="0"/>
                  <w:vAlign w:val="center"/>
                </w:tcPr>
                <w:p w14:paraId="6B10DC8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vMerge w:val="continue"/>
                  <w:tcBorders>
                    <w:tl2br w:val="nil"/>
                    <w:tr2bl w:val="nil"/>
                  </w:tcBorders>
                  <w:noWrap w:val="0"/>
                  <w:vAlign w:val="center"/>
                </w:tcPr>
                <w:p w14:paraId="27DAEFE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p>
              </w:tc>
              <w:tc>
                <w:tcPr>
                  <w:tcW w:w="437" w:type="pct"/>
                  <w:tcBorders>
                    <w:tl2br w:val="nil"/>
                    <w:tr2bl w:val="nil"/>
                  </w:tcBorders>
                  <w:noWrap w:val="0"/>
                  <w:vAlign w:val="center"/>
                </w:tcPr>
                <w:p w14:paraId="130E208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臭气</w:t>
                  </w:r>
                </w:p>
                <w:p w14:paraId="6935BCA1">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浓度</w:t>
                  </w:r>
                </w:p>
              </w:tc>
              <w:tc>
                <w:tcPr>
                  <w:tcW w:w="417" w:type="pct"/>
                  <w:tcBorders>
                    <w:tl2br w:val="nil"/>
                    <w:tr2bl w:val="nil"/>
                  </w:tcBorders>
                  <w:noWrap w:val="0"/>
                  <w:vAlign w:val="center"/>
                </w:tcPr>
                <w:p w14:paraId="4ACA4F49">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default" w:ascii="Times New Roman" w:hAnsi="Times New Roman" w:eastAsia="宋体" w:cs="Times New Roman"/>
                      <w:kern w:val="2"/>
                      <w:sz w:val="21"/>
                      <w:szCs w:val="21"/>
                      <w:highlight w:val="none"/>
                      <w:lang w:val="en-US" w:eastAsia="zh-CN" w:bidi="zh-CN"/>
                    </w:rPr>
                    <w:t>DA00</w:t>
                  </w:r>
                  <w:r>
                    <w:rPr>
                      <w:rFonts w:hint="eastAsia" w:ascii="Times New Roman" w:hAnsi="Times New Roman" w:eastAsia="宋体" w:cs="Times New Roman"/>
                      <w:kern w:val="2"/>
                      <w:sz w:val="21"/>
                      <w:szCs w:val="21"/>
                      <w:highlight w:val="none"/>
                      <w:lang w:val="en-US" w:eastAsia="zh-CN" w:bidi="zh-CN"/>
                    </w:rPr>
                    <w:t>6</w:t>
                  </w:r>
                </w:p>
              </w:tc>
              <w:tc>
                <w:tcPr>
                  <w:tcW w:w="259" w:type="pct"/>
                  <w:vMerge w:val="continue"/>
                  <w:tcBorders>
                    <w:tl2br w:val="nil"/>
                    <w:tr2bl w:val="nil"/>
                  </w:tcBorders>
                  <w:noWrap w:val="0"/>
                  <w:vAlign w:val="center"/>
                </w:tcPr>
                <w:p w14:paraId="1606585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3E721A35">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61BC7C2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72BF4192">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E84°18'16.264"，N41°47'53.668"</w:t>
                  </w:r>
                </w:p>
              </w:tc>
              <w:tc>
                <w:tcPr>
                  <w:tcW w:w="933" w:type="pct"/>
                  <w:vMerge w:val="continue"/>
                  <w:tcBorders>
                    <w:tl2br w:val="nil"/>
                    <w:tr2bl w:val="nil"/>
                  </w:tcBorders>
                  <w:noWrap w:val="0"/>
                  <w:vAlign w:val="center"/>
                </w:tcPr>
                <w:p w14:paraId="1065276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p>
              </w:tc>
            </w:tr>
            <w:tr w14:paraId="4C5D1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232" w:type="pct"/>
                  <w:vMerge w:val="continue"/>
                  <w:tcBorders>
                    <w:tl2br w:val="nil"/>
                    <w:tr2bl w:val="nil"/>
                  </w:tcBorders>
                  <w:noWrap w:val="0"/>
                  <w:vAlign w:val="center"/>
                </w:tcPr>
                <w:p w14:paraId="554B734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tcBorders>
                    <w:tl2br w:val="nil"/>
                    <w:tr2bl w:val="nil"/>
                  </w:tcBorders>
                  <w:noWrap w:val="0"/>
                  <w:vAlign w:val="center"/>
                </w:tcPr>
                <w:p w14:paraId="34C0645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浸出</w:t>
                  </w:r>
                </w:p>
                <w:p w14:paraId="0BB98206">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车间</w:t>
                  </w:r>
                </w:p>
              </w:tc>
              <w:tc>
                <w:tcPr>
                  <w:tcW w:w="437" w:type="pct"/>
                  <w:tcBorders>
                    <w:tl2br w:val="nil"/>
                    <w:tr2bl w:val="nil"/>
                  </w:tcBorders>
                  <w:noWrap w:val="0"/>
                  <w:vAlign w:val="center"/>
                </w:tcPr>
                <w:p w14:paraId="006A9256">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非甲烷总烃</w:t>
                  </w:r>
                </w:p>
              </w:tc>
              <w:tc>
                <w:tcPr>
                  <w:tcW w:w="417" w:type="pct"/>
                  <w:tcBorders>
                    <w:tl2br w:val="nil"/>
                    <w:tr2bl w:val="nil"/>
                  </w:tcBorders>
                  <w:noWrap w:val="0"/>
                  <w:vAlign w:val="center"/>
                </w:tcPr>
                <w:p w14:paraId="4375AF3B">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DA007</w:t>
                  </w:r>
                </w:p>
              </w:tc>
              <w:tc>
                <w:tcPr>
                  <w:tcW w:w="259" w:type="pct"/>
                  <w:vMerge w:val="continue"/>
                  <w:tcBorders>
                    <w:tl2br w:val="nil"/>
                    <w:tr2bl w:val="nil"/>
                  </w:tcBorders>
                  <w:noWrap w:val="0"/>
                  <w:vAlign w:val="center"/>
                </w:tcPr>
                <w:p w14:paraId="68DDAAF5">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061CBE0A">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6D4D03B4">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3D0E48F5">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E84°18'17.193"，N41°47'52.647"</w:t>
                  </w:r>
                </w:p>
              </w:tc>
              <w:tc>
                <w:tcPr>
                  <w:tcW w:w="933" w:type="pct"/>
                  <w:vMerge w:val="continue"/>
                  <w:tcBorders>
                    <w:tl2br w:val="nil"/>
                    <w:tr2bl w:val="nil"/>
                  </w:tcBorders>
                  <w:noWrap w:val="0"/>
                  <w:vAlign w:val="center"/>
                </w:tcPr>
                <w:p w14:paraId="3600683F">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p>
              </w:tc>
            </w:tr>
            <w:tr w14:paraId="1C729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232" w:type="pct"/>
                  <w:vMerge w:val="continue"/>
                  <w:tcBorders>
                    <w:tl2br w:val="nil"/>
                    <w:tr2bl w:val="nil"/>
                  </w:tcBorders>
                  <w:noWrap w:val="0"/>
                  <w:vAlign w:val="center"/>
                </w:tcPr>
                <w:p w14:paraId="41196BB1">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tcBorders>
                    <w:tl2br w:val="nil"/>
                    <w:tr2bl w:val="nil"/>
                  </w:tcBorders>
                  <w:noWrap w:val="0"/>
                  <w:vAlign w:val="center"/>
                </w:tcPr>
                <w:p w14:paraId="2CD01D1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15t</w:t>
                  </w:r>
                </w:p>
                <w:p w14:paraId="32A499C4">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锅炉</w:t>
                  </w:r>
                </w:p>
              </w:tc>
              <w:tc>
                <w:tcPr>
                  <w:tcW w:w="437" w:type="pct"/>
                  <w:tcBorders>
                    <w:tl2br w:val="nil"/>
                    <w:tr2bl w:val="nil"/>
                  </w:tcBorders>
                  <w:noWrap w:val="0"/>
                  <w:vAlign w:val="center"/>
                </w:tcPr>
                <w:p w14:paraId="06056C8F">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仿宋"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颗粒物、</w:t>
                  </w:r>
                  <w:r>
                    <w:rPr>
                      <w:rFonts w:ascii="Times New Roman" w:hAnsi="Times New Roman" w:cs="Times New Roman"/>
                      <w:color w:val="auto"/>
                      <w:sz w:val="21"/>
                      <w:szCs w:val="21"/>
                      <w:highlight w:val="none"/>
                    </w:rPr>
                    <w:t>SO</w:t>
                  </w:r>
                  <w:r>
                    <w:rPr>
                      <w:rFonts w:ascii="Times New Roman" w:hAnsi="Times New Roman" w:cs="Times New Roman"/>
                      <w:color w:val="auto"/>
                      <w:sz w:val="21"/>
                      <w:szCs w:val="21"/>
                      <w:highlight w:val="none"/>
                      <w:vertAlign w:val="subscript"/>
                    </w:rPr>
                    <w:t>2</w:t>
                  </w:r>
                  <w:r>
                    <w:rPr>
                      <w:rFonts w:hint="eastAsia" w:ascii="Times New Roman" w:hAnsi="Times New Roman" w:cs="Times New Roman"/>
                      <w:color w:val="auto"/>
                      <w:sz w:val="21"/>
                      <w:szCs w:val="21"/>
                      <w:highlight w:val="none"/>
                      <w:vertAlign w:val="baseline"/>
                      <w:lang w:eastAsia="zh-CN"/>
                    </w:rPr>
                    <w:t>、</w:t>
                  </w:r>
                  <w:r>
                    <w:rPr>
                      <w:rFonts w:ascii="Times New Roman" w:hAnsi="Times New Roman" w:cs="Times New Roman"/>
                      <w:color w:val="auto"/>
                      <w:sz w:val="21"/>
                      <w:szCs w:val="21"/>
                      <w:highlight w:val="none"/>
                    </w:rPr>
                    <w:t>NOx</w:t>
                  </w:r>
                </w:p>
              </w:tc>
              <w:tc>
                <w:tcPr>
                  <w:tcW w:w="417" w:type="pct"/>
                  <w:tcBorders>
                    <w:tl2br w:val="nil"/>
                    <w:tr2bl w:val="nil"/>
                  </w:tcBorders>
                  <w:noWrap w:val="0"/>
                  <w:vAlign w:val="center"/>
                </w:tcPr>
                <w:p w14:paraId="0F5DD14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none"/>
                      <w:lang w:val="en-US" w:eastAsia="zh-CN" w:bidi="zh-CN"/>
                    </w:rPr>
                  </w:pPr>
                  <w:r>
                    <w:rPr>
                      <w:rFonts w:hint="eastAsia" w:ascii="Times New Roman" w:hAnsi="Times New Roman" w:eastAsia="宋体" w:cs="Times New Roman"/>
                      <w:kern w:val="2"/>
                      <w:sz w:val="21"/>
                      <w:szCs w:val="21"/>
                      <w:highlight w:val="none"/>
                      <w:lang w:val="en-US" w:eastAsia="zh-CN" w:bidi="zh-CN"/>
                    </w:rPr>
                    <w:t>DA008</w:t>
                  </w:r>
                </w:p>
              </w:tc>
              <w:tc>
                <w:tcPr>
                  <w:tcW w:w="259" w:type="pct"/>
                  <w:vMerge w:val="continue"/>
                  <w:tcBorders>
                    <w:tl2br w:val="nil"/>
                    <w:tr2bl w:val="nil"/>
                  </w:tcBorders>
                  <w:noWrap w:val="0"/>
                  <w:vAlign w:val="center"/>
                </w:tcPr>
                <w:p w14:paraId="5DBB5D4B">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6DF7B7D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04C357F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271C5767">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eastAsia" w:ascii="Times New Roman" w:hAnsi="Times New Roman" w:cs="Times New Roman"/>
                      <w:sz w:val="21"/>
                      <w:szCs w:val="21"/>
                      <w:highlight w:val="yellow"/>
                      <w:lang w:val="en-US" w:eastAsia="zh-CN"/>
                    </w:rPr>
                  </w:pPr>
                  <w:r>
                    <w:rPr>
                      <w:rFonts w:hint="default" w:ascii="Times New Roman" w:hAnsi="Times New Roman" w:cs="Times New Roman"/>
                      <w:sz w:val="21"/>
                      <w:szCs w:val="21"/>
                      <w:highlight w:val="none"/>
                      <w:lang w:val="en-US" w:eastAsia="zh-CN"/>
                    </w:rPr>
                    <w:t>E84°18'19.533"</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N41°47'55.473"</w:t>
                  </w:r>
                </w:p>
              </w:tc>
              <w:tc>
                <w:tcPr>
                  <w:tcW w:w="933" w:type="pct"/>
                  <w:vMerge w:val="continue"/>
                  <w:tcBorders>
                    <w:tl2br w:val="nil"/>
                    <w:tr2bl w:val="nil"/>
                  </w:tcBorders>
                  <w:noWrap w:val="0"/>
                  <w:vAlign w:val="center"/>
                </w:tcPr>
                <w:p w14:paraId="0210327A">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lang w:val="en-US" w:eastAsia="zh-CN"/>
                    </w:rPr>
                  </w:pPr>
                </w:p>
              </w:tc>
            </w:tr>
            <w:tr w14:paraId="3D56F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232" w:type="pct"/>
                  <w:vMerge w:val="continue"/>
                  <w:tcBorders>
                    <w:tl2br w:val="nil"/>
                    <w:tr2bl w:val="nil"/>
                  </w:tcBorders>
                  <w:noWrap w:val="0"/>
                  <w:vAlign w:val="center"/>
                </w:tcPr>
                <w:p w14:paraId="0DAE362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rPr>
                  </w:pPr>
                </w:p>
              </w:tc>
              <w:tc>
                <w:tcPr>
                  <w:tcW w:w="454" w:type="pct"/>
                  <w:tcBorders>
                    <w:tl2br w:val="nil"/>
                    <w:tr2bl w:val="nil"/>
                  </w:tcBorders>
                  <w:noWrap w:val="0"/>
                  <w:vAlign w:val="center"/>
                </w:tcPr>
                <w:p w14:paraId="5DCADCA6">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10t</w:t>
                  </w:r>
                </w:p>
                <w:p w14:paraId="727E4C6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锅炉</w:t>
                  </w:r>
                </w:p>
              </w:tc>
              <w:tc>
                <w:tcPr>
                  <w:tcW w:w="437" w:type="pct"/>
                  <w:tcBorders>
                    <w:tl2br w:val="nil"/>
                    <w:tr2bl w:val="nil"/>
                  </w:tcBorders>
                  <w:noWrap w:val="0"/>
                  <w:vAlign w:val="center"/>
                </w:tcPr>
                <w:p w14:paraId="67DD728D">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r>
                    <w:rPr>
                      <w:rFonts w:hint="eastAsia" w:ascii="Times New Roman" w:hAnsi="Times New Roman" w:eastAsia="宋体" w:cs="Times New Roman"/>
                      <w:kern w:val="2"/>
                      <w:sz w:val="21"/>
                      <w:szCs w:val="21"/>
                      <w:highlight w:val="none"/>
                      <w:lang w:val="en-US" w:eastAsia="zh-CN" w:bidi="zh-CN"/>
                    </w:rPr>
                    <w:t>颗粒物、</w:t>
                  </w:r>
                  <w:r>
                    <w:rPr>
                      <w:rFonts w:ascii="Times New Roman" w:hAnsi="Times New Roman" w:cs="Times New Roman"/>
                      <w:color w:val="auto"/>
                      <w:sz w:val="21"/>
                      <w:szCs w:val="21"/>
                      <w:highlight w:val="none"/>
                    </w:rPr>
                    <w:t>SO</w:t>
                  </w:r>
                  <w:r>
                    <w:rPr>
                      <w:rFonts w:ascii="Times New Roman" w:hAnsi="Times New Roman" w:cs="Times New Roman"/>
                      <w:color w:val="auto"/>
                      <w:sz w:val="21"/>
                      <w:szCs w:val="21"/>
                      <w:highlight w:val="none"/>
                      <w:vertAlign w:val="subscript"/>
                    </w:rPr>
                    <w:t>2</w:t>
                  </w:r>
                  <w:r>
                    <w:rPr>
                      <w:rFonts w:hint="eastAsia" w:ascii="Times New Roman" w:hAnsi="Times New Roman" w:cs="Times New Roman"/>
                      <w:color w:val="auto"/>
                      <w:sz w:val="21"/>
                      <w:szCs w:val="21"/>
                      <w:highlight w:val="none"/>
                      <w:vertAlign w:val="baseline"/>
                      <w:lang w:eastAsia="zh-CN"/>
                    </w:rPr>
                    <w:t>、</w:t>
                  </w:r>
                  <w:r>
                    <w:rPr>
                      <w:rFonts w:ascii="Times New Roman" w:hAnsi="Times New Roman" w:cs="Times New Roman"/>
                      <w:color w:val="auto"/>
                      <w:sz w:val="21"/>
                      <w:szCs w:val="21"/>
                      <w:highlight w:val="none"/>
                    </w:rPr>
                    <w:t>NOx</w:t>
                  </w:r>
                </w:p>
              </w:tc>
              <w:tc>
                <w:tcPr>
                  <w:tcW w:w="417" w:type="pct"/>
                  <w:tcBorders>
                    <w:tl2br w:val="nil"/>
                    <w:tr2bl w:val="nil"/>
                  </w:tcBorders>
                  <w:noWrap w:val="0"/>
                  <w:vAlign w:val="center"/>
                </w:tcPr>
                <w:p w14:paraId="568A7818">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r>
                    <w:rPr>
                      <w:rFonts w:hint="eastAsia" w:ascii="Times New Roman" w:hAnsi="Times New Roman" w:eastAsia="宋体" w:cs="Times New Roman"/>
                      <w:kern w:val="2"/>
                      <w:sz w:val="21"/>
                      <w:szCs w:val="21"/>
                      <w:highlight w:val="none"/>
                      <w:lang w:val="en-US" w:eastAsia="zh-CN" w:bidi="zh-CN"/>
                    </w:rPr>
                    <w:t>DA009</w:t>
                  </w:r>
                </w:p>
              </w:tc>
              <w:tc>
                <w:tcPr>
                  <w:tcW w:w="259" w:type="pct"/>
                  <w:vMerge w:val="continue"/>
                  <w:tcBorders>
                    <w:tl2br w:val="nil"/>
                    <w:tr2bl w:val="nil"/>
                  </w:tcBorders>
                  <w:noWrap w:val="0"/>
                  <w:vAlign w:val="center"/>
                </w:tcPr>
                <w:p w14:paraId="0C671C9E">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218" w:type="pct"/>
                  <w:vMerge w:val="continue"/>
                  <w:tcBorders>
                    <w:tl2br w:val="nil"/>
                    <w:tr2bl w:val="nil"/>
                  </w:tcBorders>
                  <w:noWrap w:val="0"/>
                  <w:vAlign w:val="center"/>
                </w:tcPr>
                <w:p w14:paraId="25CC51D0">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94" w:type="pct"/>
                  <w:vMerge w:val="continue"/>
                  <w:tcBorders>
                    <w:tl2br w:val="nil"/>
                    <w:tr2bl w:val="nil"/>
                  </w:tcBorders>
                  <w:noWrap w:val="0"/>
                  <w:vAlign w:val="center"/>
                </w:tcPr>
                <w:p w14:paraId="20225ED7">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kern w:val="2"/>
                      <w:sz w:val="21"/>
                      <w:szCs w:val="21"/>
                      <w:highlight w:val="yellow"/>
                      <w:lang w:val="en-US" w:eastAsia="zh-CN" w:bidi="zh-CN"/>
                    </w:rPr>
                  </w:pPr>
                </w:p>
              </w:tc>
              <w:tc>
                <w:tcPr>
                  <w:tcW w:w="1852" w:type="pct"/>
                  <w:tcBorders>
                    <w:tl2br w:val="nil"/>
                    <w:tr2bl w:val="nil"/>
                  </w:tcBorders>
                  <w:noWrap w:val="0"/>
                  <w:vAlign w:val="center"/>
                </w:tcPr>
                <w:p w14:paraId="6439F515">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eastAsia" w:ascii="Times New Roman" w:hAnsi="Times New Roman" w:cs="Times New Roman"/>
                      <w:sz w:val="21"/>
                      <w:szCs w:val="21"/>
                      <w:highlight w:val="yellow"/>
                      <w:lang w:val="en-US" w:eastAsia="zh-CN"/>
                    </w:rPr>
                  </w:pPr>
                  <w:r>
                    <w:rPr>
                      <w:rFonts w:hint="default" w:ascii="Times New Roman" w:hAnsi="Times New Roman" w:cs="Times New Roman"/>
                      <w:sz w:val="21"/>
                      <w:szCs w:val="21"/>
                      <w:highlight w:val="none"/>
                      <w:lang w:val="en-US" w:eastAsia="zh-CN"/>
                    </w:rPr>
                    <w:t>E84°18'20.036"</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N41°47'54.639"</w:t>
                  </w:r>
                </w:p>
              </w:tc>
              <w:tc>
                <w:tcPr>
                  <w:tcW w:w="933" w:type="pct"/>
                  <w:vMerge w:val="continue"/>
                  <w:tcBorders>
                    <w:tl2br w:val="nil"/>
                    <w:tr2bl w:val="nil"/>
                  </w:tcBorders>
                  <w:noWrap w:val="0"/>
                  <w:vAlign w:val="center"/>
                </w:tcPr>
                <w:p w14:paraId="39EFDF7B">
                  <w:pPr>
                    <w:pStyle w:val="27"/>
                    <w:keepNext w:val="0"/>
                    <w:keepLines w:val="0"/>
                    <w:pageBreakBefore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sz w:val="21"/>
                      <w:szCs w:val="21"/>
                      <w:highlight w:val="yellow"/>
                      <w:lang w:val="en-US" w:eastAsia="zh-CN"/>
                    </w:rPr>
                  </w:pPr>
                </w:p>
              </w:tc>
            </w:tr>
          </w:tbl>
          <w:p w14:paraId="01308892">
            <w:pPr>
              <w:pStyle w:val="31"/>
              <w:spacing w:line="360" w:lineRule="auto"/>
              <w:ind w:left="0" w:leftChars="0" w:firstLine="0" w:firstLineChars="0"/>
              <w:rPr>
                <w:rFonts w:hint="eastAsia" w:ascii="Times New Roman" w:hAnsi="Times New Roman" w:cs="Times New Roman"/>
                <w:b/>
                <w:bCs/>
                <w:sz w:val="24"/>
                <w:szCs w:val="24"/>
                <w:highlight w:val="none"/>
                <w:lang w:val="en-US" w:eastAsia="zh-CN"/>
              </w:rPr>
            </w:pPr>
            <w:r>
              <w:rPr>
                <w:rFonts w:hint="eastAsia" w:cs="Times New Roman"/>
                <w:b/>
                <w:bCs/>
                <w:sz w:val="24"/>
                <w:szCs w:val="24"/>
                <w:highlight w:val="none"/>
                <w:lang w:val="en-US" w:eastAsia="zh-CN"/>
              </w:rPr>
              <w:t xml:space="preserve">1.5 </w:t>
            </w:r>
            <w:r>
              <w:rPr>
                <w:rFonts w:hint="eastAsia" w:ascii="Times New Roman" w:hAnsi="Times New Roman" w:cs="Times New Roman"/>
                <w:b/>
                <w:bCs/>
                <w:sz w:val="24"/>
                <w:szCs w:val="24"/>
                <w:highlight w:val="none"/>
                <w:lang w:val="en-US" w:eastAsia="zh-CN"/>
              </w:rPr>
              <w:t>自行监测计划</w:t>
            </w:r>
          </w:p>
          <w:p w14:paraId="3E7546B5">
            <w:pPr>
              <w:pStyle w:val="26"/>
              <w:keepNext w:val="0"/>
              <w:keepLines w:val="0"/>
              <w:pageBreakBefore w:val="0"/>
              <w:widowControl w:val="0"/>
              <w:kinsoku/>
              <w:wordWrap/>
              <w:overflowPunct/>
              <w:topLinePunct w:val="0"/>
              <w:bidi w:val="0"/>
              <w:snapToGrid w:val="0"/>
              <w:spacing w:beforeLines="0" w:afterLines="0" w:line="360" w:lineRule="auto"/>
              <w:ind w:firstLine="480" w:firstLineChars="200"/>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lang w:val="en-US" w:eastAsia="zh-CN"/>
              </w:rPr>
              <w:t>根据《排污单位自行监测技术指南 农副食品加工业》（HJ986-2018）</w:t>
            </w:r>
            <w:r>
              <w:rPr>
                <w:rFonts w:hint="eastAsia" w:ascii="Times New Roman" w:hAnsi="Times New Roman" w:eastAsia="宋体" w:cs="Times New Roman"/>
                <w:lang w:val="en-US" w:eastAsia="zh-CN"/>
              </w:rPr>
              <w:t>、《排污单位自行监测技术指南火力发电及锅炉》（HJ 820-2017）</w:t>
            </w:r>
            <w:r>
              <w:rPr>
                <w:rFonts w:hint="default" w:ascii="Times New Roman" w:hAnsi="Times New Roman" w:eastAsia="宋体" w:cs="Times New Roman"/>
                <w:sz w:val="24"/>
              </w:rPr>
              <w:t>规定，本次制定</w:t>
            </w:r>
            <w:r>
              <w:rPr>
                <w:rFonts w:hint="eastAsia" w:ascii="Times New Roman" w:hAnsi="Times New Roman" w:eastAsia="宋体" w:cs="Times New Roman"/>
                <w:sz w:val="24"/>
                <w:lang w:val="en-US" w:eastAsia="zh-CN"/>
              </w:rPr>
              <w:t>大气</w:t>
            </w:r>
            <w:r>
              <w:rPr>
                <w:rFonts w:hint="default" w:ascii="Times New Roman" w:hAnsi="Times New Roman" w:eastAsia="宋体" w:cs="Times New Roman"/>
                <w:sz w:val="24"/>
              </w:rPr>
              <w:t>监测计划见表</w:t>
            </w:r>
            <w:r>
              <w:rPr>
                <w:rFonts w:hint="eastAsia" w:ascii="Times New Roman" w:hAnsi="Times New Roman" w:eastAsia="宋体" w:cs="Times New Roman"/>
                <w:sz w:val="24"/>
                <w:lang w:val="en-US" w:eastAsia="zh-CN"/>
              </w:rPr>
              <w:t>4-12。</w:t>
            </w:r>
          </w:p>
          <w:p w14:paraId="6F16F8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黑体" w:hAnsi="黑体" w:eastAsia="黑体" w:cs="黑体"/>
                <w:b w:val="0"/>
                <w:bCs/>
                <w:kern w:val="0"/>
                <w:sz w:val="21"/>
                <w:szCs w:val="21"/>
                <w:highlight w:val="none"/>
                <w:lang w:val="en-US" w:eastAsia="zh-CN" w:bidi="ar-SA"/>
              </w:rPr>
            </w:pPr>
            <w:r>
              <w:rPr>
                <w:rFonts w:hint="default" w:ascii="黑体" w:hAnsi="黑体" w:eastAsia="黑体" w:cs="黑体"/>
                <w:b w:val="0"/>
                <w:bCs/>
                <w:kern w:val="0"/>
                <w:sz w:val="21"/>
                <w:szCs w:val="21"/>
                <w:highlight w:val="none"/>
                <w:lang w:val="en-US" w:eastAsia="zh-CN" w:bidi="ar-SA"/>
              </w:rPr>
              <w:t>表4-</w:t>
            </w:r>
            <w:r>
              <w:rPr>
                <w:rFonts w:hint="eastAsia" w:ascii="黑体" w:hAnsi="黑体" w:eastAsia="黑体" w:cs="黑体"/>
                <w:b w:val="0"/>
                <w:bCs/>
                <w:kern w:val="0"/>
                <w:sz w:val="21"/>
                <w:szCs w:val="21"/>
                <w:highlight w:val="none"/>
                <w:lang w:val="en-US" w:eastAsia="zh-CN" w:bidi="ar-SA"/>
              </w:rPr>
              <w:t>12</w:t>
            </w:r>
            <w:r>
              <w:rPr>
                <w:rFonts w:hint="default" w:ascii="黑体" w:hAnsi="黑体" w:eastAsia="黑体" w:cs="黑体"/>
                <w:b w:val="0"/>
                <w:bCs/>
                <w:kern w:val="0"/>
                <w:sz w:val="21"/>
                <w:szCs w:val="21"/>
                <w:highlight w:val="none"/>
                <w:lang w:val="en-US" w:eastAsia="zh-CN" w:bidi="ar-SA"/>
              </w:rPr>
              <w:t xml:space="preserve">   </w:t>
            </w:r>
            <w:r>
              <w:rPr>
                <w:rFonts w:hint="eastAsia" w:ascii="黑体" w:hAnsi="黑体" w:eastAsia="黑体" w:cs="黑体"/>
                <w:b w:val="0"/>
                <w:bCs/>
                <w:kern w:val="0"/>
                <w:sz w:val="21"/>
                <w:szCs w:val="21"/>
                <w:highlight w:val="none"/>
                <w:lang w:val="en-US" w:eastAsia="zh-CN" w:bidi="ar-SA"/>
              </w:rPr>
              <w:t>大气</w:t>
            </w:r>
            <w:r>
              <w:rPr>
                <w:rFonts w:hint="default" w:ascii="黑体" w:hAnsi="黑体" w:eastAsia="黑体" w:cs="黑体"/>
                <w:b w:val="0"/>
                <w:bCs/>
                <w:kern w:val="0"/>
                <w:sz w:val="21"/>
                <w:szCs w:val="21"/>
                <w:highlight w:val="none"/>
                <w:lang w:val="en-US" w:eastAsia="zh-CN" w:bidi="ar-SA"/>
              </w:rPr>
              <w:t>监测工作内容一览表</w:t>
            </w:r>
          </w:p>
          <w:tbl>
            <w:tblPr>
              <w:tblStyle w:val="21"/>
              <w:tblW w:w="4996"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1"/>
              <w:gridCol w:w="577"/>
              <w:gridCol w:w="1404"/>
              <w:gridCol w:w="1682"/>
              <w:gridCol w:w="1163"/>
              <w:gridCol w:w="3281"/>
            </w:tblGrid>
            <w:tr w14:paraId="41BB7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91" w:type="pct"/>
                  <w:tcBorders>
                    <w:tl2br w:val="nil"/>
                    <w:tr2bl w:val="nil"/>
                  </w:tcBorders>
                  <w:noWrap w:val="0"/>
                  <w:vAlign w:val="center"/>
                </w:tcPr>
                <w:p w14:paraId="1DD8BA32">
                  <w:pPr>
                    <w:autoSpaceDE w:val="0"/>
                    <w:autoSpaceDN w:val="0"/>
                    <w:adjustRightInd w:val="0"/>
                    <w:snapToGrid w:val="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类型</w:t>
                  </w:r>
                </w:p>
              </w:tc>
              <w:tc>
                <w:tcPr>
                  <w:tcW w:w="335" w:type="pct"/>
                  <w:tcBorders>
                    <w:tl2br w:val="nil"/>
                    <w:tr2bl w:val="nil"/>
                  </w:tcBorders>
                  <w:noWrap w:val="0"/>
                  <w:vAlign w:val="center"/>
                </w:tcPr>
                <w:p w14:paraId="797106AC">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类型</w:t>
                  </w:r>
                </w:p>
              </w:tc>
              <w:tc>
                <w:tcPr>
                  <w:tcW w:w="815" w:type="pct"/>
                  <w:tcBorders>
                    <w:tl2br w:val="nil"/>
                    <w:tr2bl w:val="nil"/>
                  </w:tcBorders>
                  <w:noWrap w:val="0"/>
                  <w:vAlign w:val="center"/>
                </w:tcPr>
                <w:p w14:paraId="5C1F1703">
                  <w:pPr>
                    <w:autoSpaceDE w:val="0"/>
                    <w:autoSpaceDN w:val="0"/>
                    <w:adjustRightInd w:val="0"/>
                    <w:snapToGrid w:val="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监测点</w:t>
                  </w:r>
                </w:p>
              </w:tc>
              <w:tc>
                <w:tcPr>
                  <w:tcW w:w="976" w:type="pct"/>
                  <w:tcBorders>
                    <w:tl2br w:val="nil"/>
                    <w:tr2bl w:val="nil"/>
                  </w:tcBorders>
                  <w:noWrap w:val="0"/>
                  <w:vAlign w:val="center"/>
                </w:tcPr>
                <w:p w14:paraId="44742C06">
                  <w:pPr>
                    <w:autoSpaceDE w:val="0"/>
                    <w:autoSpaceDN w:val="0"/>
                    <w:adjustRightInd w:val="0"/>
                    <w:snapToGrid w:val="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监测因子</w:t>
                  </w:r>
                </w:p>
              </w:tc>
              <w:tc>
                <w:tcPr>
                  <w:tcW w:w="675" w:type="pct"/>
                  <w:tcBorders>
                    <w:tl2br w:val="nil"/>
                    <w:tr2bl w:val="nil"/>
                  </w:tcBorders>
                  <w:noWrap w:val="0"/>
                  <w:vAlign w:val="center"/>
                </w:tcPr>
                <w:p w14:paraId="5685731E">
                  <w:pPr>
                    <w:autoSpaceDE w:val="0"/>
                    <w:autoSpaceDN w:val="0"/>
                    <w:adjustRightInd w:val="0"/>
                    <w:snapToGrid w:val="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监测频率</w:t>
                  </w:r>
                </w:p>
              </w:tc>
              <w:tc>
                <w:tcPr>
                  <w:tcW w:w="1904" w:type="pct"/>
                  <w:tcBorders>
                    <w:tl2br w:val="nil"/>
                    <w:tr2bl w:val="nil"/>
                  </w:tcBorders>
                  <w:noWrap w:val="0"/>
                  <w:vAlign w:val="center"/>
                </w:tcPr>
                <w:p w14:paraId="4193E79A">
                  <w:pPr>
                    <w:autoSpaceDE w:val="0"/>
                    <w:autoSpaceDN w:val="0"/>
                    <w:adjustRightInd w:val="0"/>
                    <w:snapToGrid w:val="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标准</w:t>
                  </w:r>
                </w:p>
              </w:tc>
            </w:tr>
            <w:tr w14:paraId="6D439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291" w:type="pct"/>
                  <w:vMerge w:val="restart"/>
                  <w:tcBorders>
                    <w:tl2br w:val="nil"/>
                    <w:tr2bl w:val="nil"/>
                  </w:tcBorders>
                  <w:noWrap w:val="0"/>
                  <w:vAlign w:val="center"/>
                </w:tcPr>
                <w:p w14:paraId="478BDA1F">
                  <w:pPr>
                    <w:autoSpaceDE w:val="0"/>
                    <w:autoSpaceDN w:val="0"/>
                    <w:adjustRightInd w:val="0"/>
                    <w:snapToGrid w:val="0"/>
                    <w:jc w:val="center"/>
                    <w:rPr>
                      <w:rFonts w:hint="default" w:ascii="Times New Roman" w:hAnsi="Times New Roman" w:cs="Times New Roman"/>
                      <w:kern w:val="0"/>
                      <w:szCs w:val="21"/>
                      <w:lang w:val="zh-CN"/>
                    </w:rPr>
                  </w:pPr>
                  <w:r>
                    <w:rPr>
                      <w:rFonts w:hint="default" w:ascii="Times New Roman" w:hAnsi="Times New Roman" w:cs="Times New Roman"/>
                      <w:kern w:val="0"/>
                      <w:szCs w:val="21"/>
                      <w:lang w:val="zh-CN"/>
                    </w:rPr>
                    <w:t>废气</w:t>
                  </w:r>
                </w:p>
              </w:tc>
              <w:tc>
                <w:tcPr>
                  <w:tcW w:w="335" w:type="pct"/>
                  <w:vMerge w:val="restart"/>
                  <w:tcBorders>
                    <w:tl2br w:val="nil"/>
                    <w:tr2bl w:val="nil"/>
                  </w:tcBorders>
                  <w:noWrap w:val="0"/>
                  <w:vAlign w:val="center"/>
                </w:tcPr>
                <w:p w14:paraId="00FCAF98">
                  <w:pPr>
                    <w:autoSpaceDE w:val="0"/>
                    <w:autoSpaceDN w:val="0"/>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有组织</w:t>
                  </w:r>
                </w:p>
              </w:tc>
              <w:tc>
                <w:tcPr>
                  <w:tcW w:w="815" w:type="pct"/>
                  <w:tcBorders>
                    <w:tl2br w:val="nil"/>
                    <w:tr2bl w:val="nil"/>
                  </w:tcBorders>
                  <w:noWrap w:val="0"/>
                  <w:vAlign w:val="center"/>
                </w:tcPr>
                <w:p w14:paraId="7F0F6552">
                  <w:pPr>
                    <w:autoSpaceDE w:val="0"/>
                    <w:autoSpaceDN w:val="0"/>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DA001</w:t>
                  </w:r>
                </w:p>
              </w:tc>
              <w:tc>
                <w:tcPr>
                  <w:tcW w:w="976" w:type="pct"/>
                  <w:tcBorders>
                    <w:tl2br w:val="nil"/>
                    <w:tr2bl w:val="nil"/>
                  </w:tcBorders>
                  <w:noWrap w:val="0"/>
                  <w:vAlign w:val="center"/>
                </w:tcPr>
                <w:p w14:paraId="500D0D47">
                  <w:pPr>
                    <w:adjustRightInd w:val="0"/>
                    <w:snapToGrid w:val="0"/>
                    <w:jc w:val="center"/>
                    <w:rPr>
                      <w:rFonts w:hint="default" w:ascii="Times New Roman" w:hAnsi="Times New Roman" w:cs="Times New Roman"/>
                      <w:snapToGrid w:val="0"/>
                      <w:szCs w:val="21"/>
                      <w:highlight w:val="none"/>
                    </w:rPr>
                  </w:pPr>
                  <w:r>
                    <w:rPr>
                      <w:rFonts w:hint="default" w:ascii="Times New Roman" w:hAnsi="Times New Roman" w:cs="Times New Roman"/>
                      <w:snapToGrid w:val="0"/>
                      <w:szCs w:val="21"/>
                      <w:highlight w:val="none"/>
                    </w:rPr>
                    <w:t>颗粒物</w:t>
                  </w:r>
                </w:p>
              </w:tc>
              <w:tc>
                <w:tcPr>
                  <w:tcW w:w="675" w:type="pct"/>
                  <w:tcBorders>
                    <w:tl2br w:val="nil"/>
                    <w:tr2bl w:val="nil"/>
                  </w:tcBorders>
                  <w:noWrap w:val="0"/>
                  <w:vAlign w:val="center"/>
                </w:tcPr>
                <w:p w14:paraId="00061F1D">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1次/半年</w:t>
                  </w:r>
                </w:p>
              </w:tc>
              <w:tc>
                <w:tcPr>
                  <w:tcW w:w="1904" w:type="pct"/>
                  <w:vMerge w:val="restart"/>
                  <w:tcBorders>
                    <w:tl2br w:val="nil"/>
                    <w:tr2bl w:val="nil"/>
                  </w:tcBorders>
                  <w:noWrap w:val="0"/>
                  <w:vAlign w:val="center"/>
                </w:tcPr>
                <w:p w14:paraId="37DE4F32">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《大气污染物综合排放标准》（GB16297-1996）表2中二级标准</w:t>
                  </w:r>
                </w:p>
              </w:tc>
            </w:tr>
            <w:tr w14:paraId="5434D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291" w:type="pct"/>
                  <w:vMerge w:val="continue"/>
                  <w:tcBorders>
                    <w:tl2br w:val="nil"/>
                    <w:tr2bl w:val="nil"/>
                  </w:tcBorders>
                  <w:noWrap w:val="0"/>
                  <w:vAlign w:val="center"/>
                </w:tcPr>
                <w:p w14:paraId="3F9F86A8">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5235E945">
                  <w:pPr>
                    <w:autoSpaceDE w:val="0"/>
                    <w:autoSpaceDN w:val="0"/>
                    <w:adjustRightInd w:val="0"/>
                    <w:snapToGrid w:val="0"/>
                    <w:jc w:val="center"/>
                    <w:rPr>
                      <w:rFonts w:hint="eastAsia" w:ascii="Times New Roman" w:hAnsi="Times New Roman" w:cs="Times New Roman"/>
                      <w:kern w:val="0"/>
                      <w:szCs w:val="21"/>
                      <w:lang w:val="en-US" w:eastAsia="zh-CN"/>
                    </w:rPr>
                  </w:pPr>
                </w:p>
              </w:tc>
              <w:tc>
                <w:tcPr>
                  <w:tcW w:w="815" w:type="pct"/>
                  <w:tcBorders>
                    <w:tl2br w:val="nil"/>
                    <w:tr2bl w:val="nil"/>
                  </w:tcBorders>
                  <w:shd w:val="clear" w:color="auto" w:fill="auto"/>
                  <w:noWrap w:val="0"/>
                  <w:vAlign w:val="center"/>
                </w:tcPr>
                <w:p w14:paraId="68360E2F">
                  <w:pPr>
                    <w:autoSpaceDE w:val="0"/>
                    <w:autoSpaceDN w:val="0"/>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DA003</w:t>
                  </w:r>
                </w:p>
              </w:tc>
              <w:tc>
                <w:tcPr>
                  <w:tcW w:w="976" w:type="pct"/>
                  <w:tcBorders>
                    <w:tl2br w:val="nil"/>
                    <w:tr2bl w:val="nil"/>
                  </w:tcBorders>
                  <w:shd w:val="clear" w:color="auto" w:fill="auto"/>
                  <w:noWrap w:val="0"/>
                  <w:vAlign w:val="center"/>
                </w:tcPr>
                <w:p w14:paraId="627BC634">
                  <w:pPr>
                    <w:adjustRightInd w:val="0"/>
                    <w:snapToGrid w:val="0"/>
                    <w:jc w:val="center"/>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szCs w:val="21"/>
                      <w:highlight w:val="none"/>
                      <w:lang w:val="en-US" w:eastAsia="zh-CN"/>
                    </w:rPr>
                    <w:t>颗粒物</w:t>
                  </w:r>
                </w:p>
              </w:tc>
              <w:tc>
                <w:tcPr>
                  <w:tcW w:w="675" w:type="pct"/>
                  <w:tcBorders>
                    <w:tl2br w:val="nil"/>
                    <w:tr2bl w:val="nil"/>
                  </w:tcBorders>
                  <w:shd w:val="clear" w:color="auto" w:fill="auto"/>
                  <w:noWrap w:val="0"/>
                  <w:vAlign w:val="center"/>
                </w:tcPr>
                <w:p w14:paraId="0D652CD1">
                  <w:pPr>
                    <w:autoSpaceDE w:val="0"/>
                    <w:autoSpaceDN w:val="0"/>
                    <w:adjustRightInd w:val="0"/>
                    <w:snapToGrid w:val="0"/>
                    <w:jc w:val="center"/>
                    <w:rPr>
                      <w:rFonts w:hint="default" w:ascii="Times New Roman" w:hAnsi="Times New Roman" w:eastAsia="宋体" w:cs="Times New Roman"/>
                      <w:kern w:val="0"/>
                      <w:sz w:val="21"/>
                      <w:szCs w:val="21"/>
                      <w:lang w:val="zh-CN" w:eastAsia="zh-CN" w:bidi="ar-SA"/>
                    </w:rPr>
                  </w:pPr>
                  <w:r>
                    <w:rPr>
                      <w:rFonts w:hint="default" w:ascii="Times New Roman" w:hAnsi="Times New Roman" w:cs="Times New Roman"/>
                      <w:kern w:val="0"/>
                      <w:szCs w:val="21"/>
                    </w:rPr>
                    <w:t>1次/半年</w:t>
                  </w:r>
                </w:p>
              </w:tc>
              <w:tc>
                <w:tcPr>
                  <w:tcW w:w="1904" w:type="pct"/>
                  <w:vMerge w:val="continue"/>
                  <w:tcBorders>
                    <w:tl2br w:val="nil"/>
                    <w:tr2bl w:val="nil"/>
                  </w:tcBorders>
                  <w:noWrap w:val="0"/>
                  <w:vAlign w:val="center"/>
                </w:tcPr>
                <w:p w14:paraId="22D60B08">
                  <w:pPr>
                    <w:autoSpaceDE w:val="0"/>
                    <w:autoSpaceDN w:val="0"/>
                    <w:adjustRightInd w:val="0"/>
                    <w:snapToGrid w:val="0"/>
                    <w:jc w:val="center"/>
                    <w:rPr>
                      <w:rFonts w:hint="default" w:ascii="Times New Roman" w:hAnsi="Times New Roman" w:cs="Times New Roman"/>
                      <w:kern w:val="0"/>
                      <w:szCs w:val="21"/>
                    </w:rPr>
                  </w:pPr>
                </w:p>
              </w:tc>
            </w:tr>
            <w:tr w14:paraId="4698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91" w:type="pct"/>
                  <w:vMerge w:val="continue"/>
                  <w:tcBorders>
                    <w:tl2br w:val="nil"/>
                    <w:tr2bl w:val="nil"/>
                  </w:tcBorders>
                  <w:noWrap w:val="0"/>
                  <w:vAlign w:val="center"/>
                </w:tcPr>
                <w:p w14:paraId="2A6F3726">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77C59CF4">
                  <w:pPr>
                    <w:autoSpaceDE w:val="0"/>
                    <w:autoSpaceDN w:val="0"/>
                    <w:adjustRightInd w:val="0"/>
                    <w:snapToGrid w:val="0"/>
                    <w:jc w:val="center"/>
                    <w:rPr>
                      <w:rFonts w:hint="default" w:ascii="Times New Roman" w:hAnsi="Times New Roman" w:cs="Times New Roman"/>
                      <w:kern w:val="0"/>
                      <w:szCs w:val="21"/>
                      <w:lang w:val="zh-CN"/>
                    </w:rPr>
                  </w:pPr>
                </w:p>
              </w:tc>
              <w:tc>
                <w:tcPr>
                  <w:tcW w:w="815" w:type="pct"/>
                  <w:tcBorders>
                    <w:tl2br w:val="nil"/>
                    <w:tr2bl w:val="nil"/>
                  </w:tcBorders>
                  <w:noWrap w:val="0"/>
                  <w:vAlign w:val="center"/>
                </w:tcPr>
                <w:p w14:paraId="15242FFF">
                  <w:pPr>
                    <w:autoSpaceDE w:val="0"/>
                    <w:autoSpaceDN w:val="0"/>
                    <w:adjustRightInd w:val="0"/>
                    <w:snapToGrid w:val="0"/>
                    <w:jc w:val="center"/>
                    <w:rPr>
                      <w:rFonts w:hint="default"/>
                      <w:highlight w:val="none"/>
                      <w:lang w:val="en-US" w:eastAsia="zh-CN"/>
                    </w:rPr>
                  </w:pPr>
                  <w:r>
                    <w:rPr>
                      <w:rFonts w:hint="eastAsia"/>
                      <w:highlight w:val="none"/>
                      <w:lang w:val="en-US" w:eastAsia="zh-CN"/>
                    </w:rPr>
                    <w:t>DA004</w:t>
                  </w:r>
                </w:p>
              </w:tc>
              <w:tc>
                <w:tcPr>
                  <w:tcW w:w="976" w:type="pct"/>
                  <w:tcBorders>
                    <w:tl2br w:val="nil"/>
                    <w:tr2bl w:val="nil"/>
                  </w:tcBorders>
                  <w:noWrap w:val="0"/>
                  <w:vAlign w:val="center"/>
                </w:tcPr>
                <w:p w14:paraId="46C91D7A">
                  <w:pPr>
                    <w:adjustRightInd w:val="0"/>
                    <w:snapToGrid w:val="0"/>
                    <w:jc w:val="center"/>
                    <w:rPr>
                      <w:rFonts w:hint="default" w:ascii="Times New Roman" w:hAnsi="Times New Roman" w:eastAsia="宋体" w:cs="Times New Roman"/>
                      <w:snapToGrid w:val="0"/>
                      <w:szCs w:val="21"/>
                      <w:highlight w:val="none"/>
                      <w:lang w:eastAsia="zh-CN"/>
                    </w:rPr>
                  </w:pPr>
                  <w:r>
                    <w:rPr>
                      <w:rFonts w:hint="eastAsia" w:cs="Times New Roman"/>
                      <w:snapToGrid w:val="0"/>
                      <w:szCs w:val="21"/>
                      <w:highlight w:val="none"/>
                      <w:lang w:val="en-US" w:eastAsia="zh-CN"/>
                    </w:rPr>
                    <w:t>颗粒物</w:t>
                  </w:r>
                </w:p>
              </w:tc>
              <w:tc>
                <w:tcPr>
                  <w:tcW w:w="675" w:type="pct"/>
                  <w:tcBorders>
                    <w:tl2br w:val="nil"/>
                    <w:tr2bl w:val="nil"/>
                  </w:tcBorders>
                  <w:noWrap w:val="0"/>
                  <w:vAlign w:val="center"/>
                </w:tcPr>
                <w:p w14:paraId="6AD78500">
                  <w:pPr>
                    <w:autoSpaceDE w:val="0"/>
                    <w:autoSpaceDN w:val="0"/>
                    <w:adjustRightInd w:val="0"/>
                    <w:snapToGrid w:val="0"/>
                    <w:jc w:val="center"/>
                    <w:rPr>
                      <w:rFonts w:hint="default" w:ascii="Times New Roman" w:hAnsi="Times New Roman" w:eastAsia="宋体" w:cs="Times New Roman"/>
                      <w:kern w:val="0"/>
                      <w:szCs w:val="21"/>
                      <w:lang w:val="zh-CN" w:eastAsia="zh-CN"/>
                    </w:rPr>
                  </w:pPr>
                  <w:r>
                    <w:rPr>
                      <w:rFonts w:hint="default" w:ascii="Times New Roman" w:hAnsi="Times New Roman" w:cs="Times New Roman"/>
                      <w:kern w:val="0"/>
                      <w:szCs w:val="21"/>
                    </w:rPr>
                    <w:t>1次/半年</w:t>
                  </w:r>
                </w:p>
              </w:tc>
              <w:tc>
                <w:tcPr>
                  <w:tcW w:w="1904" w:type="pct"/>
                  <w:vMerge w:val="continue"/>
                  <w:tcBorders>
                    <w:tl2br w:val="nil"/>
                    <w:tr2bl w:val="nil"/>
                  </w:tcBorders>
                  <w:noWrap w:val="0"/>
                  <w:vAlign w:val="center"/>
                </w:tcPr>
                <w:p w14:paraId="404E4CEE">
                  <w:pPr>
                    <w:autoSpaceDE w:val="0"/>
                    <w:autoSpaceDN w:val="0"/>
                    <w:adjustRightInd w:val="0"/>
                    <w:snapToGrid w:val="0"/>
                    <w:jc w:val="center"/>
                    <w:rPr>
                      <w:rFonts w:hint="default" w:ascii="Times New Roman" w:hAnsi="Times New Roman" w:cs="Times New Roman"/>
                      <w:kern w:val="0"/>
                      <w:szCs w:val="21"/>
                    </w:rPr>
                  </w:pPr>
                </w:p>
              </w:tc>
            </w:tr>
            <w:tr w14:paraId="14B9F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1" w:type="pct"/>
                  <w:vMerge w:val="continue"/>
                  <w:tcBorders>
                    <w:tl2br w:val="nil"/>
                    <w:tr2bl w:val="nil"/>
                  </w:tcBorders>
                  <w:noWrap w:val="0"/>
                  <w:vAlign w:val="center"/>
                </w:tcPr>
                <w:p w14:paraId="777D4617">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190DCF16">
                  <w:pPr>
                    <w:autoSpaceDE w:val="0"/>
                    <w:autoSpaceDN w:val="0"/>
                    <w:adjustRightInd w:val="0"/>
                    <w:snapToGrid w:val="0"/>
                    <w:jc w:val="center"/>
                    <w:rPr>
                      <w:rFonts w:hint="default" w:ascii="Times New Roman" w:hAnsi="Times New Roman" w:cs="Times New Roman"/>
                      <w:kern w:val="0"/>
                      <w:szCs w:val="21"/>
                      <w:lang w:val="zh-CN"/>
                    </w:rPr>
                  </w:pPr>
                </w:p>
              </w:tc>
              <w:tc>
                <w:tcPr>
                  <w:tcW w:w="815" w:type="pct"/>
                  <w:tcBorders>
                    <w:tl2br w:val="nil"/>
                    <w:tr2bl w:val="nil"/>
                  </w:tcBorders>
                  <w:noWrap w:val="0"/>
                  <w:vAlign w:val="center"/>
                </w:tcPr>
                <w:p w14:paraId="2AEB9718">
                  <w:pPr>
                    <w:autoSpaceDE w:val="0"/>
                    <w:autoSpaceDN w:val="0"/>
                    <w:adjustRightInd w:val="0"/>
                    <w:snapToGrid w:val="0"/>
                    <w:jc w:val="center"/>
                    <w:rPr>
                      <w:rFonts w:hint="default"/>
                      <w:highlight w:val="none"/>
                      <w:lang w:val="en-US" w:eastAsia="zh-CN"/>
                    </w:rPr>
                  </w:pPr>
                  <w:r>
                    <w:rPr>
                      <w:rFonts w:hint="eastAsia"/>
                      <w:highlight w:val="none"/>
                      <w:lang w:val="en-US" w:eastAsia="zh-CN"/>
                    </w:rPr>
                    <w:t>DA007</w:t>
                  </w:r>
                </w:p>
              </w:tc>
              <w:tc>
                <w:tcPr>
                  <w:tcW w:w="976" w:type="pct"/>
                  <w:tcBorders>
                    <w:tl2br w:val="nil"/>
                    <w:tr2bl w:val="nil"/>
                  </w:tcBorders>
                  <w:noWrap w:val="0"/>
                  <w:vAlign w:val="center"/>
                </w:tcPr>
                <w:p w14:paraId="6DE56124">
                  <w:pPr>
                    <w:adjustRightInd w:val="0"/>
                    <w:snapToGrid w:val="0"/>
                    <w:jc w:val="center"/>
                    <w:rPr>
                      <w:rFonts w:hint="default" w:ascii="Times New Roman" w:hAnsi="Times New Roman" w:cs="Times New Roman"/>
                      <w:snapToGrid w:val="0"/>
                      <w:szCs w:val="21"/>
                      <w:highlight w:val="none"/>
                      <w:lang w:val="en-US" w:eastAsia="zh-CN"/>
                    </w:rPr>
                  </w:pPr>
                  <w:r>
                    <w:rPr>
                      <w:rFonts w:hint="eastAsia" w:cs="Times New Roman"/>
                      <w:snapToGrid w:val="0"/>
                      <w:szCs w:val="21"/>
                      <w:highlight w:val="none"/>
                      <w:lang w:val="en-US" w:eastAsia="zh-CN"/>
                    </w:rPr>
                    <w:t>非甲烷总烃</w:t>
                  </w:r>
                </w:p>
              </w:tc>
              <w:tc>
                <w:tcPr>
                  <w:tcW w:w="675" w:type="pct"/>
                  <w:tcBorders>
                    <w:tl2br w:val="nil"/>
                    <w:tr2bl w:val="nil"/>
                  </w:tcBorders>
                  <w:noWrap w:val="0"/>
                  <w:vAlign w:val="center"/>
                </w:tcPr>
                <w:p w14:paraId="0FD1F041">
                  <w:pPr>
                    <w:autoSpaceDE w:val="0"/>
                    <w:autoSpaceDN w:val="0"/>
                    <w:adjustRightInd w:val="0"/>
                    <w:snapToGrid w:val="0"/>
                    <w:jc w:val="center"/>
                    <w:rPr>
                      <w:rFonts w:hint="eastAsia" w:ascii="Times New Roman" w:hAnsi="Times New Roman" w:eastAsia="宋体" w:cs="Times New Roman"/>
                      <w:kern w:val="0"/>
                      <w:szCs w:val="21"/>
                      <w:lang w:eastAsia="zh-CN"/>
                    </w:rPr>
                  </w:pPr>
                  <w:r>
                    <w:rPr>
                      <w:rFonts w:hint="default" w:ascii="Times New Roman" w:hAnsi="Times New Roman" w:cs="Times New Roman"/>
                      <w:kern w:val="0"/>
                      <w:szCs w:val="21"/>
                    </w:rPr>
                    <w:t>1次/</w:t>
                  </w:r>
                  <w:r>
                    <w:rPr>
                      <w:rFonts w:hint="eastAsia" w:cs="Times New Roman"/>
                      <w:kern w:val="0"/>
                      <w:szCs w:val="21"/>
                      <w:lang w:val="en-US" w:eastAsia="zh-CN"/>
                    </w:rPr>
                    <w:t>季度</w:t>
                  </w:r>
                </w:p>
              </w:tc>
              <w:tc>
                <w:tcPr>
                  <w:tcW w:w="1904" w:type="pct"/>
                  <w:vMerge w:val="continue"/>
                  <w:tcBorders>
                    <w:tl2br w:val="nil"/>
                    <w:tr2bl w:val="nil"/>
                  </w:tcBorders>
                  <w:noWrap w:val="0"/>
                  <w:vAlign w:val="center"/>
                </w:tcPr>
                <w:p w14:paraId="43C46F14">
                  <w:pPr>
                    <w:autoSpaceDE w:val="0"/>
                    <w:autoSpaceDN w:val="0"/>
                    <w:adjustRightInd w:val="0"/>
                    <w:snapToGrid w:val="0"/>
                    <w:jc w:val="center"/>
                    <w:rPr>
                      <w:rFonts w:hint="default" w:ascii="Times New Roman" w:hAnsi="Times New Roman" w:cs="Times New Roman"/>
                      <w:kern w:val="0"/>
                      <w:szCs w:val="21"/>
                    </w:rPr>
                  </w:pPr>
                </w:p>
              </w:tc>
            </w:tr>
            <w:tr w14:paraId="13EA2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291" w:type="pct"/>
                  <w:vMerge w:val="continue"/>
                  <w:tcBorders>
                    <w:tl2br w:val="nil"/>
                    <w:tr2bl w:val="nil"/>
                  </w:tcBorders>
                  <w:noWrap w:val="0"/>
                  <w:vAlign w:val="center"/>
                </w:tcPr>
                <w:p w14:paraId="2C2CF849">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55AD6C00">
                  <w:pPr>
                    <w:autoSpaceDE w:val="0"/>
                    <w:autoSpaceDN w:val="0"/>
                    <w:adjustRightInd w:val="0"/>
                    <w:snapToGrid w:val="0"/>
                    <w:jc w:val="center"/>
                    <w:rPr>
                      <w:rFonts w:hint="default" w:ascii="Times New Roman" w:hAnsi="Times New Roman" w:cs="Times New Roman"/>
                      <w:kern w:val="0"/>
                      <w:szCs w:val="21"/>
                      <w:lang w:val="zh-CN"/>
                    </w:rPr>
                  </w:pPr>
                </w:p>
              </w:tc>
              <w:tc>
                <w:tcPr>
                  <w:tcW w:w="815" w:type="pct"/>
                  <w:vMerge w:val="restart"/>
                  <w:tcBorders>
                    <w:tl2br w:val="nil"/>
                    <w:tr2bl w:val="nil"/>
                  </w:tcBorders>
                  <w:noWrap w:val="0"/>
                  <w:vAlign w:val="center"/>
                </w:tcPr>
                <w:p w14:paraId="54F6AE04">
                  <w:pPr>
                    <w:autoSpaceDE w:val="0"/>
                    <w:autoSpaceDN w:val="0"/>
                    <w:adjustRightInd w:val="0"/>
                    <w:snapToGrid w:val="0"/>
                    <w:jc w:val="center"/>
                    <w:rPr>
                      <w:rFonts w:hint="default"/>
                      <w:highlight w:val="none"/>
                      <w:lang w:val="en-US" w:eastAsia="zh-CN"/>
                    </w:rPr>
                  </w:pPr>
                  <w:r>
                    <w:rPr>
                      <w:rFonts w:hint="eastAsia"/>
                      <w:highlight w:val="none"/>
                      <w:lang w:val="en-US" w:eastAsia="zh-CN"/>
                    </w:rPr>
                    <w:t>DA008</w:t>
                  </w:r>
                </w:p>
              </w:tc>
              <w:tc>
                <w:tcPr>
                  <w:tcW w:w="976" w:type="pct"/>
                  <w:tcBorders>
                    <w:tl2br w:val="nil"/>
                    <w:tr2bl w:val="nil"/>
                  </w:tcBorders>
                  <w:noWrap w:val="0"/>
                  <w:vAlign w:val="center"/>
                </w:tcPr>
                <w:p w14:paraId="747A4EA7">
                  <w:pPr>
                    <w:adjustRightInd w:val="0"/>
                    <w:snapToGrid w:val="0"/>
                    <w:jc w:val="center"/>
                    <w:rPr>
                      <w:rFonts w:hint="default" w:cs="Times New Roman"/>
                      <w:snapToGrid w:val="0"/>
                      <w:szCs w:val="21"/>
                      <w:highlight w:val="none"/>
                      <w:lang w:val="en-US" w:eastAsia="zh-CN"/>
                    </w:rPr>
                  </w:pPr>
                  <w:r>
                    <w:rPr>
                      <w:rFonts w:hint="default" w:cs="Times New Roman"/>
                      <w:snapToGrid w:val="0"/>
                      <w:szCs w:val="21"/>
                      <w:highlight w:val="none"/>
                      <w:lang w:val="en-US" w:eastAsia="zh-CN"/>
                    </w:rPr>
                    <w:t>颗粒物、二氧化硫、林格曼黑度</w:t>
                  </w:r>
                </w:p>
              </w:tc>
              <w:tc>
                <w:tcPr>
                  <w:tcW w:w="675" w:type="pct"/>
                  <w:tcBorders>
                    <w:tl2br w:val="nil"/>
                    <w:tr2bl w:val="nil"/>
                  </w:tcBorders>
                  <w:noWrap w:val="0"/>
                  <w:vAlign w:val="center"/>
                </w:tcPr>
                <w:p w14:paraId="665BDF9B">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1次/年</w:t>
                  </w:r>
                </w:p>
              </w:tc>
              <w:tc>
                <w:tcPr>
                  <w:tcW w:w="1904" w:type="pct"/>
                  <w:vMerge w:val="restart"/>
                  <w:tcBorders>
                    <w:tl2br w:val="nil"/>
                    <w:tr2bl w:val="nil"/>
                  </w:tcBorders>
                  <w:noWrap w:val="0"/>
                  <w:vAlign w:val="center"/>
                </w:tcPr>
                <w:p w14:paraId="341CC7E0">
                  <w:pPr>
                    <w:autoSpaceDE w:val="0"/>
                    <w:autoSpaceDN w:val="0"/>
                    <w:adjustRightInd w:val="0"/>
                    <w:snapToGrid w:val="0"/>
                    <w:jc w:val="center"/>
                    <w:rPr>
                      <w:rFonts w:hint="eastAsia" w:cs="Times New Roman"/>
                      <w:kern w:val="0"/>
                      <w:szCs w:val="21"/>
                      <w:lang w:val="en-US" w:eastAsia="zh-CN"/>
                    </w:rPr>
                  </w:pPr>
                  <w:r>
                    <w:rPr>
                      <w:rFonts w:hint="eastAsia" w:cs="Times New Roman"/>
                      <w:kern w:val="0"/>
                      <w:szCs w:val="21"/>
                      <w:lang w:val="en-US" w:eastAsia="zh-CN"/>
                    </w:rPr>
                    <w:t>《</w:t>
                  </w:r>
                  <w:r>
                    <w:rPr>
                      <w:rFonts w:hint="eastAsia" w:ascii="Times New Roman" w:hAnsi="Times New Roman" w:eastAsia="宋体" w:cs="Times New Roman"/>
                      <w:kern w:val="0"/>
                      <w:szCs w:val="21"/>
                      <w:lang w:val="en-US" w:eastAsia="zh-CN"/>
                    </w:rPr>
                    <w:t>锅炉大气污染物排放标准</w:t>
                  </w:r>
                  <w:r>
                    <w:rPr>
                      <w:rFonts w:hint="eastAsia" w:cs="Times New Roman"/>
                      <w:kern w:val="0"/>
                      <w:szCs w:val="21"/>
                      <w:lang w:val="en-US" w:eastAsia="zh-CN"/>
                    </w:rPr>
                    <w:t>》GB 13271-2014</w:t>
                  </w:r>
                </w:p>
              </w:tc>
            </w:tr>
            <w:tr w14:paraId="26BC9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291" w:type="pct"/>
                  <w:vMerge w:val="continue"/>
                  <w:tcBorders>
                    <w:tl2br w:val="nil"/>
                    <w:tr2bl w:val="nil"/>
                  </w:tcBorders>
                  <w:noWrap w:val="0"/>
                  <w:vAlign w:val="center"/>
                </w:tcPr>
                <w:p w14:paraId="2D6B5427">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013F5730">
                  <w:pPr>
                    <w:autoSpaceDE w:val="0"/>
                    <w:autoSpaceDN w:val="0"/>
                    <w:adjustRightInd w:val="0"/>
                    <w:snapToGrid w:val="0"/>
                    <w:jc w:val="center"/>
                    <w:rPr>
                      <w:rFonts w:hint="default" w:ascii="Times New Roman" w:hAnsi="Times New Roman" w:cs="Times New Roman"/>
                      <w:kern w:val="0"/>
                      <w:szCs w:val="21"/>
                      <w:lang w:val="zh-CN"/>
                    </w:rPr>
                  </w:pPr>
                </w:p>
              </w:tc>
              <w:tc>
                <w:tcPr>
                  <w:tcW w:w="815" w:type="pct"/>
                  <w:vMerge w:val="continue"/>
                  <w:tcBorders>
                    <w:tl2br w:val="nil"/>
                    <w:tr2bl w:val="nil"/>
                  </w:tcBorders>
                  <w:noWrap w:val="0"/>
                  <w:vAlign w:val="center"/>
                </w:tcPr>
                <w:p w14:paraId="1AF0AEEE">
                  <w:pPr>
                    <w:autoSpaceDE w:val="0"/>
                    <w:autoSpaceDN w:val="0"/>
                    <w:adjustRightInd w:val="0"/>
                    <w:snapToGrid w:val="0"/>
                    <w:jc w:val="center"/>
                    <w:rPr>
                      <w:rFonts w:hint="eastAsia"/>
                      <w:highlight w:val="none"/>
                      <w:lang w:val="en-US" w:eastAsia="zh-CN"/>
                    </w:rPr>
                  </w:pPr>
                </w:p>
              </w:tc>
              <w:tc>
                <w:tcPr>
                  <w:tcW w:w="976" w:type="pct"/>
                  <w:tcBorders>
                    <w:tl2br w:val="nil"/>
                    <w:tr2bl w:val="nil"/>
                  </w:tcBorders>
                  <w:noWrap w:val="0"/>
                  <w:vAlign w:val="center"/>
                </w:tcPr>
                <w:p w14:paraId="259F34C0">
                  <w:pPr>
                    <w:adjustRightInd w:val="0"/>
                    <w:snapToGrid w:val="0"/>
                    <w:jc w:val="center"/>
                    <w:rPr>
                      <w:rFonts w:hint="default" w:cs="Times New Roman"/>
                      <w:snapToGrid w:val="0"/>
                      <w:szCs w:val="21"/>
                      <w:highlight w:val="none"/>
                      <w:lang w:val="en-US" w:eastAsia="zh-CN"/>
                    </w:rPr>
                  </w:pPr>
                  <w:r>
                    <w:rPr>
                      <w:rFonts w:hint="eastAsia" w:cs="Times New Roman"/>
                      <w:snapToGrid w:val="0"/>
                      <w:szCs w:val="21"/>
                      <w:highlight w:val="none"/>
                      <w:lang w:val="en-US" w:eastAsia="zh-CN"/>
                    </w:rPr>
                    <w:t>氮氧化物</w:t>
                  </w:r>
                </w:p>
              </w:tc>
              <w:tc>
                <w:tcPr>
                  <w:tcW w:w="675" w:type="pct"/>
                  <w:tcBorders>
                    <w:tl2br w:val="nil"/>
                    <w:tr2bl w:val="nil"/>
                  </w:tcBorders>
                  <w:noWrap w:val="0"/>
                  <w:vAlign w:val="center"/>
                </w:tcPr>
                <w:p w14:paraId="1B806A39">
                  <w:pPr>
                    <w:autoSpaceDE w:val="0"/>
                    <w:autoSpaceDN w:val="0"/>
                    <w:adjustRightInd w:val="0"/>
                    <w:snapToGrid w:val="0"/>
                    <w:jc w:val="center"/>
                    <w:rPr>
                      <w:rFonts w:hint="eastAsia" w:ascii="Times New Roman" w:hAnsi="Times New Roman" w:eastAsia="宋体" w:cs="Times New Roman"/>
                      <w:kern w:val="0"/>
                      <w:szCs w:val="21"/>
                      <w:lang w:val="en-US" w:eastAsia="zh-CN"/>
                    </w:rPr>
                  </w:pPr>
                  <w:r>
                    <w:rPr>
                      <w:rFonts w:hint="default" w:ascii="Times New Roman" w:hAnsi="Times New Roman" w:cs="Times New Roman"/>
                      <w:kern w:val="0"/>
                      <w:szCs w:val="21"/>
                    </w:rPr>
                    <w:t>1次/</w:t>
                  </w:r>
                  <w:r>
                    <w:rPr>
                      <w:rFonts w:hint="eastAsia" w:cs="Times New Roman"/>
                      <w:kern w:val="0"/>
                      <w:szCs w:val="21"/>
                      <w:lang w:val="en-US" w:eastAsia="zh-CN"/>
                    </w:rPr>
                    <w:t>月</w:t>
                  </w:r>
                </w:p>
              </w:tc>
              <w:tc>
                <w:tcPr>
                  <w:tcW w:w="1904" w:type="pct"/>
                  <w:vMerge w:val="continue"/>
                  <w:tcBorders>
                    <w:tl2br w:val="nil"/>
                    <w:tr2bl w:val="nil"/>
                  </w:tcBorders>
                  <w:noWrap w:val="0"/>
                  <w:vAlign w:val="center"/>
                </w:tcPr>
                <w:p w14:paraId="1445895B">
                  <w:pPr>
                    <w:autoSpaceDE w:val="0"/>
                    <w:autoSpaceDN w:val="0"/>
                    <w:adjustRightInd w:val="0"/>
                    <w:snapToGrid w:val="0"/>
                    <w:jc w:val="center"/>
                    <w:rPr>
                      <w:rFonts w:hint="eastAsia" w:cs="Times New Roman"/>
                      <w:kern w:val="0"/>
                      <w:szCs w:val="21"/>
                      <w:lang w:val="en-US" w:eastAsia="zh-CN"/>
                    </w:rPr>
                  </w:pPr>
                </w:p>
              </w:tc>
            </w:tr>
            <w:tr w14:paraId="480AF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291" w:type="pct"/>
                  <w:vMerge w:val="continue"/>
                  <w:tcBorders>
                    <w:tl2br w:val="nil"/>
                    <w:tr2bl w:val="nil"/>
                  </w:tcBorders>
                  <w:noWrap w:val="0"/>
                  <w:vAlign w:val="center"/>
                </w:tcPr>
                <w:p w14:paraId="1C94D646">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08723E4B">
                  <w:pPr>
                    <w:autoSpaceDE w:val="0"/>
                    <w:autoSpaceDN w:val="0"/>
                    <w:adjustRightInd w:val="0"/>
                    <w:snapToGrid w:val="0"/>
                    <w:jc w:val="center"/>
                    <w:rPr>
                      <w:rFonts w:hint="default" w:ascii="Times New Roman" w:hAnsi="Times New Roman" w:cs="Times New Roman"/>
                      <w:kern w:val="0"/>
                      <w:szCs w:val="21"/>
                      <w:lang w:val="zh-CN"/>
                    </w:rPr>
                  </w:pPr>
                </w:p>
              </w:tc>
              <w:tc>
                <w:tcPr>
                  <w:tcW w:w="815" w:type="pct"/>
                  <w:tcBorders>
                    <w:tl2br w:val="nil"/>
                    <w:tr2bl w:val="nil"/>
                  </w:tcBorders>
                  <w:noWrap w:val="0"/>
                  <w:vAlign w:val="center"/>
                </w:tcPr>
                <w:p w14:paraId="58FC370D">
                  <w:pPr>
                    <w:autoSpaceDE w:val="0"/>
                    <w:autoSpaceDN w:val="0"/>
                    <w:adjustRightInd w:val="0"/>
                    <w:snapToGrid w:val="0"/>
                    <w:jc w:val="center"/>
                    <w:rPr>
                      <w:rFonts w:hint="default"/>
                      <w:highlight w:val="none"/>
                      <w:lang w:val="en-US" w:eastAsia="zh-CN"/>
                    </w:rPr>
                  </w:pPr>
                  <w:r>
                    <w:rPr>
                      <w:rFonts w:hint="eastAsia"/>
                      <w:highlight w:val="none"/>
                      <w:lang w:val="en-US" w:eastAsia="zh-CN"/>
                    </w:rPr>
                    <w:t>油烟排放口</w:t>
                  </w:r>
                </w:p>
              </w:tc>
              <w:tc>
                <w:tcPr>
                  <w:tcW w:w="976" w:type="pct"/>
                  <w:tcBorders>
                    <w:tl2br w:val="nil"/>
                    <w:tr2bl w:val="nil"/>
                  </w:tcBorders>
                  <w:noWrap w:val="0"/>
                  <w:vAlign w:val="center"/>
                </w:tcPr>
                <w:p w14:paraId="1981F154">
                  <w:pPr>
                    <w:adjustRightInd w:val="0"/>
                    <w:snapToGrid w:val="0"/>
                    <w:jc w:val="center"/>
                    <w:rPr>
                      <w:rFonts w:hint="default" w:cs="Times New Roman"/>
                      <w:snapToGrid w:val="0"/>
                      <w:szCs w:val="21"/>
                      <w:highlight w:val="none"/>
                      <w:lang w:val="en-US" w:eastAsia="zh-CN"/>
                    </w:rPr>
                  </w:pPr>
                  <w:r>
                    <w:rPr>
                      <w:rFonts w:hint="eastAsia" w:cs="Times New Roman"/>
                      <w:snapToGrid w:val="0"/>
                      <w:szCs w:val="21"/>
                      <w:highlight w:val="none"/>
                      <w:lang w:val="en-US" w:eastAsia="zh-CN"/>
                    </w:rPr>
                    <w:t>油烟</w:t>
                  </w:r>
                </w:p>
              </w:tc>
              <w:tc>
                <w:tcPr>
                  <w:tcW w:w="675" w:type="pct"/>
                  <w:tcBorders>
                    <w:tl2br w:val="nil"/>
                    <w:tr2bl w:val="nil"/>
                  </w:tcBorders>
                  <w:noWrap w:val="0"/>
                  <w:vAlign w:val="center"/>
                </w:tcPr>
                <w:p w14:paraId="6E8F3B29">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1次/</w:t>
                  </w:r>
                  <w:r>
                    <w:rPr>
                      <w:rFonts w:hint="eastAsia" w:cs="Times New Roman"/>
                      <w:kern w:val="0"/>
                      <w:szCs w:val="21"/>
                      <w:lang w:val="en-US" w:eastAsia="zh-CN"/>
                    </w:rPr>
                    <w:t>半</w:t>
                  </w:r>
                  <w:r>
                    <w:rPr>
                      <w:rFonts w:hint="default" w:ascii="Times New Roman" w:hAnsi="Times New Roman" w:cs="Times New Roman"/>
                      <w:kern w:val="0"/>
                      <w:szCs w:val="21"/>
                    </w:rPr>
                    <w:t>年</w:t>
                  </w:r>
                </w:p>
              </w:tc>
              <w:tc>
                <w:tcPr>
                  <w:tcW w:w="1904" w:type="pct"/>
                  <w:tcBorders>
                    <w:tl2br w:val="nil"/>
                    <w:tr2bl w:val="nil"/>
                  </w:tcBorders>
                  <w:noWrap w:val="0"/>
                  <w:vAlign w:val="center"/>
                </w:tcPr>
                <w:p w14:paraId="7D62F577">
                  <w:pPr>
                    <w:autoSpaceDE w:val="0"/>
                    <w:autoSpaceDN w:val="0"/>
                    <w:adjustRightInd w:val="0"/>
                    <w:snapToGrid w:val="0"/>
                    <w:jc w:val="center"/>
                    <w:rPr>
                      <w:rFonts w:hint="eastAsia" w:cs="Times New Roman"/>
                      <w:kern w:val="0"/>
                      <w:szCs w:val="21"/>
                      <w:lang w:val="en-US" w:eastAsia="zh-CN"/>
                    </w:rPr>
                  </w:pPr>
                  <w:r>
                    <w:rPr>
                      <w:rFonts w:hint="eastAsia" w:cs="Times New Roman"/>
                      <w:kern w:val="0"/>
                      <w:szCs w:val="21"/>
                      <w:lang w:val="en-US" w:eastAsia="zh-CN"/>
                    </w:rPr>
                    <w:t>《饮食业油烟排放标准（试行）》</w:t>
                  </w:r>
                  <w:r>
                    <w:rPr>
                      <w:rFonts w:hint="default" w:ascii="Times New Roman" w:hAnsi="Times New Roman" w:eastAsia="宋体" w:cs="Times New Roman"/>
                      <w:kern w:val="0"/>
                      <w:szCs w:val="21"/>
                      <w:lang w:val="en-US" w:eastAsia="zh-CN"/>
                    </w:rPr>
                    <w:t>（GB18481-2001)</w:t>
                  </w:r>
                </w:p>
              </w:tc>
            </w:tr>
            <w:tr w14:paraId="0E5D0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291" w:type="pct"/>
                  <w:vMerge w:val="continue"/>
                  <w:tcBorders>
                    <w:tl2br w:val="nil"/>
                    <w:tr2bl w:val="nil"/>
                  </w:tcBorders>
                  <w:noWrap w:val="0"/>
                  <w:vAlign w:val="center"/>
                </w:tcPr>
                <w:p w14:paraId="6C98248B">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restart"/>
                  <w:tcBorders>
                    <w:tl2br w:val="nil"/>
                    <w:tr2bl w:val="nil"/>
                  </w:tcBorders>
                  <w:noWrap w:val="0"/>
                  <w:vAlign w:val="center"/>
                </w:tcPr>
                <w:p w14:paraId="613CD759">
                  <w:pPr>
                    <w:autoSpaceDE w:val="0"/>
                    <w:autoSpaceDN w:val="0"/>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无组织</w:t>
                  </w:r>
                </w:p>
              </w:tc>
              <w:tc>
                <w:tcPr>
                  <w:tcW w:w="815" w:type="pct"/>
                  <w:vMerge w:val="restart"/>
                  <w:tcBorders>
                    <w:tl2br w:val="nil"/>
                    <w:tr2bl w:val="nil"/>
                  </w:tcBorders>
                  <w:noWrap w:val="0"/>
                  <w:vAlign w:val="center"/>
                </w:tcPr>
                <w:p w14:paraId="01A89473">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厂界外下风向1个监测点</w:t>
                  </w:r>
                </w:p>
              </w:tc>
              <w:tc>
                <w:tcPr>
                  <w:tcW w:w="976" w:type="pct"/>
                  <w:tcBorders>
                    <w:tl2br w:val="nil"/>
                    <w:tr2bl w:val="nil"/>
                  </w:tcBorders>
                  <w:noWrap w:val="0"/>
                  <w:vAlign w:val="center"/>
                </w:tcPr>
                <w:p w14:paraId="6540720D">
                  <w:pPr>
                    <w:adjustRightInd w:val="0"/>
                    <w:snapToGrid w:val="0"/>
                    <w:jc w:val="center"/>
                    <w:rPr>
                      <w:rFonts w:hint="default"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臭气浓度</w:t>
                  </w:r>
                </w:p>
              </w:tc>
              <w:tc>
                <w:tcPr>
                  <w:tcW w:w="675" w:type="pct"/>
                  <w:vMerge w:val="restart"/>
                  <w:tcBorders>
                    <w:tl2br w:val="nil"/>
                    <w:tr2bl w:val="nil"/>
                  </w:tcBorders>
                  <w:noWrap w:val="0"/>
                  <w:vAlign w:val="center"/>
                </w:tcPr>
                <w:p w14:paraId="1E717870">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1次/半年</w:t>
                  </w:r>
                </w:p>
              </w:tc>
              <w:tc>
                <w:tcPr>
                  <w:tcW w:w="1904" w:type="pct"/>
                  <w:tcBorders>
                    <w:tl2br w:val="nil"/>
                    <w:tr2bl w:val="nil"/>
                  </w:tcBorders>
                  <w:noWrap w:val="0"/>
                  <w:vAlign w:val="center"/>
                </w:tcPr>
                <w:p w14:paraId="62263EC5">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《恶臭污染物排放标准》（GB14554-93）</w:t>
                  </w:r>
                </w:p>
              </w:tc>
            </w:tr>
            <w:tr w14:paraId="2A965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291" w:type="pct"/>
                  <w:vMerge w:val="continue"/>
                  <w:tcBorders>
                    <w:tl2br w:val="nil"/>
                    <w:tr2bl w:val="nil"/>
                  </w:tcBorders>
                  <w:noWrap w:val="0"/>
                  <w:vAlign w:val="center"/>
                </w:tcPr>
                <w:p w14:paraId="18CC9909">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37EC55B0">
                  <w:pPr>
                    <w:autoSpaceDE w:val="0"/>
                    <w:autoSpaceDN w:val="0"/>
                    <w:adjustRightInd w:val="0"/>
                    <w:snapToGrid w:val="0"/>
                    <w:jc w:val="center"/>
                    <w:rPr>
                      <w:rFonts w:hint="eastAsia" w:ascii="Times New Roman" w:hAnsi="Times New Roman" w:cs="Times New Roman"/>
                      <w:kern w:val="0"/>
                      <w:szCs w:val="21"/>
                      <w:lang w:val="en-US" w:eastAsia="zh-CN"/>
                    </w:rPr>
                  </w:pPr>
                </w:p>
              </w:tc>
              <w:tc>
                <w:tcPr>
                  <w:tcW w:w="815" w:type="pct"/>
                  <w:vMerge w:val="continue"/>
                  <w:tcBorders>
                    <w:tl2br w:val="nil"/>
                    <w:tr2bl w:val="nil"/>
                  </w:tcBorders>
                  <w:noWrap w:val="0"/>
                  <w:vAlign w:val="center"/>
                </w:tcPr>
                <w:p w14:paraId="6055109B">
                  <w:pPr>
                    <w:autoSpaceDE w:val="0"/>
                    <w:autoSpaceDN w:val="0"/>
                    <w:adjustRightInd w:val="0"/>
                    <w:snapToGrid w:val="0"/>
                    <w:jc w:val="center"/>
                    <w:rPr>
                      <w:rFonts w:hint="eastAsia" w:ascii="Times New Roman" w:hAnsi="Times New Roman" w:cs="Times New Roman"/>
                      <w:kern w:val="0"/>
                      <w:szCs w:val="21"/>
                      <w:lang w:val="en-US" w:eastAsia="zh-CN"/>
                    </w:rPr>
                  </w:pPr>
                </w:p>
              </w:tc>
              <w:tc>
                <w:tcPr>
                  <w:tcW w:w="976" w:type="pct"/>
                  <w:tcBorders>
                    <w:tl2br w:val="nil"/>
                    <w:tr2bl w:val="nil"/>
                  </w:tcBorders>
                  <w:noWrap w:val="0"/>
                  <w:vAlign w:val="center"/>
                </w:tcPr>
                <w:p w14:paraId="5DFD7224">
                  <w:pPr>
                    <w:adjustRightInd w:val="0"/>
                    <w:snapToGrid w:val="0"/>
                    <w:jc w:val="center"/>
                    <w:rPr>
                      <w:rFonts w:hint="default" w:ascii="Times New Roman" w:hAnsi="Times New Roman" w:cs="Times New Roman"/>
                      <w:snapToGrid w:val="0"/>
                      <w:szCs w:val="21"/>
                      <w:lang w:val="en-US" w:eastAsia="zh-CN"/>
                    </w:rPr>
                  </w:pPr>
                  <w:r>
                    <w:rPr>
                      <w:rFonts w:hint="default" w:ascii="Times New Roman" w:hAnsi="Times New Roman" w:cs="Times New Roman"/>
                      <w:snapToGrid w:val="0"/>
                      <w:szCs w:val="21"/>
                      <w:lang w:val="en-US" w:eastAsia="zh-CN"/>
                    </w:rPr>
                    <w:t>非甲烷总烃</w:t>
                  </w:r>
                </w:p>
              </w:tc>
              <w:tc>
                <w:tcPr>
                  <w:tcW w:w="675" w:type="pct"/>
                  <w:vMerge w:val="continue"/>
                  <w:tcBorders>
                    <w:tl2br w:val="nil"/>
                    <w:tr2bl w:val="nil"/>
                  </w:tcBorders>
                  <w:noWrap w:val="0"/>
                  <w:vAlign w:val="center"/>
                </w:tcPr>
                <w:p w14:paraId="112B642C">
                  <w:pPr>
                    <w:autoSpaceDE w:val="0"/>
                    <w:autoSpaceDN w:val="0"/>
                    <w:adjustRightInd w:val="0"/>
                    <w:snapToGrid w:val="0"/>
                    <w:jc w:val="center"/>
                    <w:rPr>
                      <w:rFonts w:hint="default" w:ascii="Times New Roman" w:hAnsi="Times New Roman" w:cs="Times New Roman"/>
                      <w:kern w:val="0"/>
                      <w:szCs w:val="21"/>
                    </w:rPr>
                  </w:pPr>
                </w:p>
              </w:tc>
              <w:tc>
                <w:tcPr>
                  <w:tcW w:w="1904" w:type="pct"/>
                  <w:vMerge w:val="restart"/>
                  <w:tcBorders>
                    <w:tl2br w:val="nil"/>
                    <w:tr2bl w:val="nil"/>
                  </w:tcBorders>
                  <w:noWrap w:val="0"/>
                  <w:vAlign w:val="center"/>
                </w:tcPr>
                <w:p w14:paraId="50928951">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《大气污染物综合排放标准》（GB16297-1996）表2中二级标准</w:t>
                  </w:r>
                </w:p>
              </w:tc>
            </w:tr>
            <w:tr w14:paraId="4B230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1" w:type="pct"/>
                  <w:vMerge w:val="continue"/>
                  <w:tcBorders>
                    <w:tl2br w:val="nil"/>
                    <w:tr2bl w:val="nil"/>
                  </w:tcBorders>
                  <w:noWrap w:val="0"/>
                  <w:vAlign w:val="center"/>
                </w:tcPr>
                <w:p w14:paraId="51C9CEB1">
                  <w:pPr>
                    <w:autoSpaceDE w:val="0"/>
                    <w:autoSpaceDN w:val="0"/>
                    <w:adjustRightInd w:val="0"/>
                    <w:snapToGrid w:val="0"/>
                    <w:jc w:val="center"/>
                    <w:rPr>
                      <w:rFonts w:hint="default" w:ascii="Times New Roman" w:hAnsi="Times New Roman" w:cs="Times New Roman"/>
                      <w:kern w:val="0"/>
                      <w:szCs w:val="21"/>
                      <w:lang w:val="zh-CN"/>
                    </w:rPr>
                  </w:pPr>
                </w:p>
              </w:tc>
              <w:tc>
                <w:tcPr>
                  <w:tcW w:w="335" w:type="pct"/>
                  <w:vMerge w:val="continue"/>
                  <w:tcBorders>
                    <w:tl2br w:val="nil"/>
                    <w:tr2bl w:val="nil"/>
                  </w:tcBorders>
                  <w:noWrap w:val="0"/>
                  <w:vAlign w:val="center"/>
                </w:tcPr>
                <w:p w14:paraId="2AD5296A">
                  <w:pPr>
                    <w:autoSpaceDE w:val="0"/>
                    <w:autoSpaceDN w:val="0"/>
                    <w:adjustRightInd w:val="0"/>
                    <w:snapToGrid w:val="0"/>
                    <w:jc w:val="center"/>
                    <w:rPr>
                      <w:rFonts w:hint="default" w:ascii="Times New Roman" w:hAnsi="Times New Roman" w:cs="Times New Roman"/>
                      <w:kern w:val="0"/>
                      <w:szCs w:val="21"/>
                      <w:lang w:val="zh-CN"/>
                    </w:rPr>
                  </w:pPr>
                </w:p>
              </w:tc>
              <w:tc>
                <w:tcPr>
                  <w:tcW w:w="815" w:type="pct"/>
                  <w:vMerge w:val="continue"/>
                  <w:tcBorders>
                    <w:tl2br w:val="nil"/>
                    <w:tr2bl w:val="nil"/>
                  </w:tcBorders>
                  <w:noWrap w:val="0"/>
                  <w:vAlign w:val="center"/>
                </w:tcPr>
                <w:p w14:paraId="1B83E7F5">
                  <w:pPr>
                    <w:autoSpaceDE w:val="0"/>
                    <w:autoSpaceDN w:val="0"/>
                    <w:adjustRightInd w:val="0"/>
                    <w:snapToGrid w:val="0"/>
                    <w:jc w:val="center"/>
                    <w:rPr>
                      <w:rFonts w:hint="default" w:ascii="Times New Roman" w:hAnsi="Times New Roman" w:cs="Times New Roman"/>
                      <w:kern w:val="0"/>
                      <w:szCs w:val="21"/>
                    </w:rPr>
                  </w:pPr>
                </w:p>
              </w:tc>
              <w:tc>
                <w:tcPr>
                  <w:tcW w:w="976" w:type="pct"/>
                  <w:tcBorders>
                    <w:tl2br w:val="nil"/>
                    <w:tr2bl w:val="nil"/>
                  </w:tcBorders>
                  <w:noWrap w:val="0"/>
                  <w:vAlign w:val="center"/>
                </w:tcPr>
                <w:p w14:paraId="7A17BFE7">
                  <w:pPr>
                    <w:autoSpaceDE w:val="0"/>
                    <w:autoSpaceDN w:val="0"/>
                    <w:adjustRightInd w:val="0"/>
                    <w:snapToGrid w:val="0"/>
                    <w:jc w:val="center"/>
                    <w:rPr>
                      <w:rFonts w:hint="default" w:ascii="Times New Roman" w:hAnsi="Times New Roman" w:cs="Times New Roman"/>
                      <w:kern w:val="0"/>
                      <w:szCs w:val="21"/>
                    </w:rPr>
                  </w:pPr>
                  <w:r>
                    <w:rPr>
                      <w:rFonts w:hint="eastAsia" w:cs="Times New Roman"/>
                      <w:snapToGrid w:val="0"/>
                      <w:szCs w:val="21"/>
                      <w:lang w:val="en-US" w:eastAsia="zh-CN"/>
                    </w:rPr>
                    <w:t>颗粒物</w:t>
                  </w:r>
                </w:p>
              </w:tc>
              <w:tc>
                <w:tcPr>
                  <w:tcW w:w="675" w:type="pct"/>
                  <w:vMerge w:val="continue"/>
                  <w:tcBorders>
                    <w:tl2br w:val="nil"/>
                    <w:tr2bl w:val="nil"/>
                  </w:tcBorders>
                  <w:noWrap w:val="0"/>
                  <w:vAlign w:val="center"/>
                </w:tcPr>
                <w:p w14:paraId="20DACCB6">
                  <w:pPr>
                    <w:autoSpaceDE w:val="0"/>
                    <w:autoSpaceDN w:val="0"/>
                    <w:adjustRightInd w:val="0"/>
                    <w:snapToGrid w:val="0"/>
                    <w:jc w:val="center"/>
                    <w:rPr>
                      <w:rFonts w:hint="default" w:ascii="Times New Roman" w:hAnsi="Times New Roman" w:cs="Times New Roman"/>
                      <w:kern w:val="0"/>
                      <w:szCs w:val="21"/>
                    </w:rPr>
                  </w:pPr>
                </w:p>
              </w:tc>
              <w:tc>
                <w:tcPr>
                  <w:tcW w:w="1904" w:type="pct"/>
                  <w:vMerge w:val="continue"/>
                  <w:tcBorders>
                    <w:tl2br w:val="nil"/>
                    <w:tr2bl w:val="nil"/>
                  </w:tcBorders>
                  <w:noWrap w:val="0"/>
                  <w:vAlign w:val="center"/>
                </w:tcPr>
                <w:p w14:paraId="59005674">
                  <w:pPr>
                    <w:autoSpaceDE w:val="0"/>
                    <w:autoSpaceDN w:val="0"/>
                    <w:adjustRightInd w:val="0"/>
                    <w:snapToGrid w:val="0"/>
                    <w:jc w:val="center"/>
                    <w:rPr>
                      <w:rFonts w:hint="default" w:ascii="Times New Roman" w:hAnsi="Times New Roman" w:cs="Times New Roman"/>
                      <w:kern w:val="0"/>
                      <w:szCs w:val="21"/>
                    </w:rPr>
                  </w:pPr>
                </w:p>
              </w:tc>
            </w:tr>
            <w:tr w14:paraId="75000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291" w:type="pct"/>
                  <w:vMerge w:val="continue"/>
                  <w:tcBorders>
                    <w:tl2br w:val="nil"/>
                    <w:tr2bl w:val="nil"/>
                  </w:tcBorders>
                  <w:noWrap w:val="0"/>
                  <w:vAlign w:val="center"/>
                </w:tcPr>
                <w:p w14:paraId="2442CCB4">
                  <w:pPr>
                    <w:pStyle w:val="32"/>
                    <w:adjustRightInd/>
                    <w:spacing w:line="240" w:lineRule="auto"/>
                    <w:ind w:firstLine="0" w:firstLineChars="0"/>
                    <w:jc w:val="center"/>
                    <w:rPr>
                      <w:rFonts w:hint="default" w:ascii="Times New Roman" w:hAnsi="Times New Roman" w:eastAsia="宋体" w:cs="Times New Roman"/>
                      <w:color w:val="auto"/>
                      <w:kern w:val="2"/>
                      <w:sz w:val="21"/>
                      <w:szCs w:val="21"/>
                      <w:lang w:val="zh-CN" w:eastAsia="zh-CN" w:bidi="ar-SA"/>
                    </w:rPr>
                  </w:pPr>
                </w:p>
              </w:tc>
              <w:tc>
                <w:tcPr>
                  <w:tcW w:w="335" w:type="pct"/>
                  <w:vMerge w:val="continue"/>
                  <w:tcBorders>
                    <w:tl2br w:val="nil"/>
                    <w:tr2bl w:val="nil"/>
                  </w:tcBorders>
                  <w:noWrap w:val="0"/>
                  <w:vAlign w:val="center"/>
                </w:tcPr>
                <w:p w14:paraId="27048C66">
                  <w:pPr>
                    <w:pStyle w:val="32"/>
                    <w:adjustRightInd/>
                    <w:spacing w:line="240" w:lineRule="auto"/>
                    <w:ind w:firstLine="0" w:firstLineChars="0"/>
                    <w:jc w:val="center"/>
                    <w:rPr>
                      <w:rFonts w:hint="default" w:ascii="Times New Roman" w:hAnsi="Times New Roman" w:eastAsia="宋体" w:cs="Times New Roman"/>
                      <w:color w:val="auto"/>
                      <w:kern w:val="2"/>
                      <w:sz w:val="21"/>
                      <w:szCs w:val="21"/>
                      <w:lang w:val="zh-CN" w:eastAsia="zh-CN" w:bidi="ar-SA"/>
                    </w:rPr>
                  </w:pPr>
                </w:p>
              </w:tc>
              <w:tc>
                <w:tcPr>
                  <w:tcW w:w="815" w:type="pct"/>
                  <w:tcBorders>
                    <w:tl2br w:val="nil"/>
                    <w:tr2bl w:val="nil"/>
                  </w:tcBorders>
                  <w:noWrap w:val="0"/>
                  <w:vAlign w:val="center"/>
                </w:tcPr>
                <w:p w14:paraId="12196EBF">
                  <w:pPr>
                    <w:pStyle w:val="32"/>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污水处理站</w:t>
                  </w:r>
                </w:p>
              </w:tc>
              <w:tc>
                <w:tcPr>
                  <w:tcW w:w="976" w:type="pct"/>
                  <w:tcBorders>
                    <w:tl2br w:val="nil"/>
                    <w:tr2bl w:val="nil"/>
                  </w:tcBorders>
                  <w:noWrap w:val="0"/>
                  <w:vAlign w:val="center"/>
                </w:tcPr>
                <w:p w14:paraId="75803132">
                  <w:pPr>
                    <w:pStyle w:val="32"/>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氨、硫化氢、臭气浓度</w:t>
                  </w:r>
                </w:p>
              </w:tc>
              <w:tc>
                <w:tcPr>
                  <w:tcW w:w="675" w:type="pct"/>
                  <w:tcBorders>
                    <w:tl2br w:val="nil"/>
                    <w:tr2bl w:val="nil"/>
                  </w:tcBorders>
                  <w:noWrap w:val="0"/>
                  <w:vAlign w:val="center"/>
                </w:tcPr>
                <w:p w14:paraId="3C59B1C1">
                  <w:pPr>
                    <w:pStyle w:val="32"/>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w:t>
                  </w:r>
                  <w:r>
                    <w:rPr>
                      <w:rFonts w:hint="eastAsia" w:cs="Times New Roman"/>
                      <w:color w:val="auto"/>
                      <w:sz w:val="21"/>
                      <w:szCs w:val="21"/>
                      <w:lang w:val="en-US" w:eastAsia="zh-CN"/>
                    </w:rPr>
                    <w:t>半年</w:t>
                  </w:r>
                </w:p>
              </w:tc>
              <w:tc>
                <w:tcPr>
                  <w:tcW w:w="1904" w:type="pct"/>
                  <w:tcBorders>
                    <w:tl2br w:val="nil"/>
                    <w:tr2bl w:val="nil"/>
                  </w:tcBorders>
                  <w:noWrap w:val="0"/>
                  <w:vAlign w:val="center"/>
                </w:tcPr>
                <w:p w14:paraId="38F8FB66">
                  <w:pPr>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kern w:val="0"/>
                      <w:szCs w:val="21"/>
                    </w:rPr>
                    <w:t>《恶臭污染物排放标准》（GB14554-93）</w:t>
                  </w:r>
                </w:p>
              </w:tc>
            </w:tr>
          </w:tbl>
          <w:p w14:paraId="7D204A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1.6 非正常排放污染源调查</w:t>
            </w:r>
          </w:p>
          <w:p w14:paraId="67A459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Times New Roman"/>
                <w:sz w:val="24"/>
              </w:rPr>
            </w:pPr>
            <w:r>
              <w:rPr>
                <w:rFonts w:cs="Times New Roman"/>
                <w:sz w:val="24"/>
              </w:rPr>
              <w:t>本项目非正常排放参数详见表</w:t>
            </w:r>
            <w:r>
              <w:rPr>
                <w:rFonts w:hint="eastAsia" w:cs="Times New Roman"/>
                <w:sz w:val="24"/>
                <w:lang w:val="en-US" w:eastAsia="zh-CN"/>
              </w:rPr>
              <w:t>4-13</w:t>
            </w:r>
            <w:r>
              <w:rPr>
                <w:rFonts w:cs="Times New Roman"/>
                <w:sz w:val="24"/>
              </w:rPr>
              <w:t>。</w:t>
            </w:r>
          </w:p>
          <w:p w14:paraId="34F05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kern w:val="0"/>
                <w:sz w:val="21"/>
                <w:szCs w:val="21"/>
                <w:highlight w:val="none"/>
                <w:lang w:val="en-US" w:eastAsia="zh-CN" w:bidi="ar-SA"/>
              </w:rPr>
            </w:pPr>
            <w:r>
              <w:rPr>
                <w:rFonts w:hint="eastAsia" w:ascii="黑体" w:hAnsi="黑体" w:eastAsia="黑体" w:cs="黑体"/>
                <w:b w:val="0"/>
                <w:bCs/>
                <w:kern w:val="0"/>
                <w:sz w:val="21"/>
                <w:szCs w:val="21"/>
                <w:highlight w:val="none"/>
                <w:lang w:val="en-US" w:eastAsia="zh-CN" w:bidi="ar-SA"/>
              </w:rPr>
              <w:t>表4-13    非正常工况排放情况废气排放情况一览表</w:t>
            </w:r>
          </w:p>
          <w:tbl>
            <w:tblPr>
              <w:tblStyle w:val="21"/>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
            <w:tblGrid>
              <w:gridCol w:w="1408"/>
              <w:gridCol w:w="1215"/>
              <w:gridCol w:w="969"/>
              <w:gridCol w:w="999"/>
              <w:gridCol w:w="950"/>
              <w:gridCol w:w="1248"/>
              <w:gridCol w:w="1803"/>
            </w:tblGrid>
            <w:tr w14:paraId="3187B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819" w:type="pct"/>
                  <w:tcBorders>
                    <w:tl2br w:val="nil"/>
                    <w:tr2bl w:val="nil"/>
                  </w:tcBorders>
                  <w:vAlign w:val="center"/>
                </w:tcPr>
                <w:p w14:paraId="380E01B6">
                  <w:pPr>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非正常排放源</w:t>
                  </w:r>
                </w:p>
              </w:tc>
              <w:tc>
                <w:tcPr>
                  <w:tcW w:w="707" w:type="pct"/>
                  <w:tcBorders>
                    <w:tl2br w:val="nil"/>
                    <w:tr2bl w:val="nil"/>
                  </w:tcBorders>
                  <w:vAlign w:val="center"/>
                </w:tcPr>
                <w:p w14:paraId="3508BD6A">
                  <w:pPr>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非正常排放原因</w:t>
                  </w:r>
                </w:p>
              </w:tc>
              <w:tc>
                <w:tcPr>
                  <w:tcW w:w="563" w:type="pct"/>
                  <w:tcBorders>
                    <w:tl2br w:val="nil"/>
                    <w:tr2bl w:val="nil"/>
                  </w:tcBorders>
                  <w:vAlign w:val="center"/>
                </w:tcPr>
                <w:p w14:paraId="3B82E1E2">
                  <w:pPr>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581" w:type="pct"/>
                  <w:tcBorders>
                    <w:tl2br w:val="nil"/>
                    <w:tr2bl w:val="nil"/>
                  </w:tcBorders>
                  <w:vAlign w:val="center"/>
                </w:tcPr>
                <w:p w14:paraId="58654AED">
                  <w:pPr>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非正常排放浓度(mg/m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552" w:type="pct"/>
                  <w:tcBorders>
                    <w:tl2br w:val="nil"/>
                    <w:tr2bl w:val="nil"/>
                  </w:tcBorders>
                  <w:vAlign w:val="center"/>
                </w:tcPr>
                <w:p w14:paraId="1F69D54F">
                  <w:pPr>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单次持续时间</w:t>
                  </w:r>
                </w:p>
              </w:tc>
              <w:tc>
                <w:tcPr>
                  <w:tcW w:w="726" w:type="pct"/>
                  <w:tcBorders>
                    <w:tl2br w:val="nil"/>
                    <w:tr2bl w:val="nil"/>
                  </w:tcBorders>
                  <w:vAlign w:val="center"/>
                </w:tcPr>
                <w:p w14:paraId="5E5EA237">
                  <w:pPr>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年发生频次</w:t>
                  </w:r>
                </w:p>
              </w:tc>
              <w:tc>
                <w:tcPr>
                  <w:tcW w:w="1049" w:type="pct"/>
                  <w:tcBorders>
                    <w:tl2br w:val="nil"/>
                    <w:tr2bl w:val="nil"/>
                  </w:tcBorders>
                  <w:vAlign w:val="center"/>
                </w:tcPr>
                <w:p w14:paraId="73BD67AC">
                  <w:pPr>
                    <w:pStyle w:val="37"/>
                    <w:spacing w:line="240" w:lineRule="auto"/>
                    <w:ind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应对措施</w:t>
                  </w:r>
                </w:p>
              </w:tc>
            </w:tr>
            <w:tr w14:paraId="013F5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548" w:hRule="atLeast"/>
                <w:jc w:val="center"/>
              </w:trPr>
              <w:tc>
                <w:tcPr>
                  <w:tcW w:w="819" w:type="pct"/>
                  <w:tcBorders>
                    <w:tl2br w:val="nil"/>
                    <w:tr2bl w:val="nil"/>
                  </w:tcBorders>
                  <w:vAlign w:val="center"/>
                </w:tcPr>
                <w:p w14:paraId="67E19466">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剥绒</w:t>
                  </w:r>
                  <w:r>
                    <w:rPr>
                      <w:rFonts w:hint="eastAsia" w:ascii="Times New Roman" w:hAnsi="Times New Roman" w:cs="Times New Roman"/>
                      <w:sz w:val="21"/>
                      <w:szCs w:val="21"/>
                      <w:lang w:val="en-US" w:eastAsia="zh-CN"/>
                    </w:rPr>
                    <w:t>车间</w:t>
                  </w:r>
                </w:p>
              </w:tc>
              <w:tc>
                <w:tcPr>
                  <w:tcW w:w="707" w:type="pct"/>
                  <w:vMerge w:val="restart"/>
                  <w:tcBorders>
                    <w:tl2br w:val="nil"/>
                    <w:tr2bl w:val="nil"/>
                  </w:tcBorders>
                  <w:vAlign w:val="center"/>
                </w:tcPr>
                <w:p w14:paraId="5523CDB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除尘器故障</w:t>
                  </w:r>
                </w:p>
              </w:tc>
              <w:tc>
                <w:tcPr>
                  <w:tcW w:w="563" w:type="pct"/>
                  <w:vMerge w:val="restart"/>
                  <w:tcBorders>
                    <w:tl2br w:val="nil"/>
                    <w:tr2bl w:val="nil"/>
                  </w:tcBorders>
                  <w:vAlign w:val="center"/>
                </w:tcPr>
                <w:p w14:paraId="2875694A">
                  <w:pPr>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581" w:type="pct"/>
                  <w:vMerge w:val="restart"/>
                  <w:tcBorders>
                    <w:tl2br w:val="nil"/>
                    <w:tr2bl w:val="nil"/>
                  </w:tcBorders>
                  <w:vAlign w:val="center"/>
                </w:tcPr>
                <w:p w14:paraId="6891B90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napToGrid w:val="0"/>
                      <w:sz w:val="21"/>
                      <w:szCs w:val="21"/>
                    </w:rPr>
                    <w:t>104.8</w:t>
                  </w:r>
                </w:p>
              </w:tc>
              <w:tc>
                <w:tcPr>
                  <w:tcW w:w="552" w:type="pct"/>
                  <w:vMerge w:val="restart"/>
                  <w:tcBorders>
                    <w:tl2br w:val="nil"/>
                    <w:tr2bl w:val="nil"/>
                  </w:tcBorders>
                  <w:vAlign w:val="center"/>
                </w:tcPr>
                <w:p w14:paraId="563FDC70">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2h</w:t>
                  </w:r>
                </w:p>
              </w:tc>
              <w:tc>
                <w:tcPr>
                  <w:tcW w:w="726" w:type="pct"/>
                  <w:vMerge w:val="restart"/>
                  <w:tcBorders>
                    <w:tl2br w:val="nil"/>
                    <w:tr2bl w:val="nil"/>
                  </w:tcBorders>
                  <w:vAlign w:val="center"/>
                </w:tcPr>
                <w:p w14:paraId="6848A032">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1次</w:t>
                  </w:r>
                </w:p>
              </w:tc>
              <w:tc>
                <w:tcPr>
                  <w:tcW w:w="1049" w:type="pct"/>
                  <w:vMerge w:val="restart"/>
                  <w:tcBorders>
                    <w:tl2br w:val="nil"/>
                    <w:tr2bl w:val="nil"/>
                  </w:tcBorders>
                  <w:vAlign w:val="center"/>
                </w:tcPr>
                <w:p w14:paraId="7BDBAE10">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停</w:t>
                  </w:r>
                  <w:r>
                    <w:rPr>
                      <w:rFonts w:hint="eastAsia" w:ascii="Times New Roman" w:hAnsi="Times New Roman" w:cs="Times New Roman"/>
                      <w:sz w:val="21"/>
                      <w:szCs w:val="21"/>
                      <w:lang w:val="en-US" w:eastAsia="zh-CN"/>
                    </w:rPr>
                    <w:t>车</w:t>
                  </w:r>
                  <w:r>
                    <w:rPr>
                      <w:rFonts w:hint="default" w:ascii="Times New Roman" w:hAnsi="Times New Roman" w:cs="Times New Roman"/>
                      <w:sz w:val="21"/>
                      <w:szCs w:val="21"/>
                    </w:rPr>
                    <w:t>，并对除尘器进行维修</w:t>
                  </w:r>
                </w:p>
              </w:tc>
            </w:tr>
            <w:tr w14:paraId="2E696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548" w:hRule="atLeast"/>
                <w:jc w:val="center"/>
              </w:trPr>
              <w:tc>
                <w:tcPr>
                  <w:tcW w:w="819" w:type="pct"/>
                  <w:tcBorders>
                    <w:tl2br w:val="nil"/>
                    <w:tr2bl w:val="nil"/>
                  </w:tcBorders>
                  <w:vAlign w:val="center"/>
                </w:tcPr>
                <w:p w14:paraId="2EB160CC">
                  <w:pPr>
                    <w:spacing w:line="240" w:lineRule="auto"/>
                    <w:ind w:firstLine="0" w:firstLine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粉碎包装</w:t>
                  </w:r>
                  <w:r>
                    <w:rPr>
                      <w:rFonts w:hint="eastAsia" w:ascii="Times New Roman" w:hAnsi="Times New Roman" w:cs="Times New Roman"/>
                      <w:sz w:val="21"/>
                      <w:szCs w:val="21"/>
                      <w:lang w:val="en-US" w:eastAsia="zh-CN"/>
                    </w:rPr>
                    <w:t>车间</w:t>
                  </w:r>
                </w:p>
              </w:tc>
              <w:tc>
                <w:tcPr>
                  <w:tcW w:w="707" w:type="pct"/>
                  <w:vMerge w:val="continue"/>
                  <w:tcBorders>
                    <w:tl2br w:val="nil"/>
                    <w:tr2bl w:val="nil"/>
                  </w:tcBorders>
                  <w:vAlign w:val="center"/>
                </w:tcPr>
                <w:p w14:paraId="1DA976E3">
                  <w:pPr>
                    <w:spacing w:line="240" w:lineRule="auto"/>
                    <w:ind w:firstLine="0" w:firstLineChars="0"/>
                    <w:jc w:val="center"/>
                    <w:rPr>
                      <w:rFonts w:hint="default" w:ascii="Times New Roman" w:hAnsi="Times New Roman" w:cs="Times New Roman"/>
                      <w:sz w:val="21"/>
                      <w:szCs w:val="21"/>
                    </w:rPr>
                  </w:pPr>
                </w:p>
              </w:tc>
              <w:tc>
                <w:tcPr>
                  <w:tcW w:w="563" w:type="pct"/>
                  <w:vMerge w:val="continue"/>
                  <w:tcBorders>
                    <w:tl2br w:val="nil"/>
                    <w:tr2bl w:val="nil"/>
                  </w:tcBorders>
                  <w:vAlign w:val="center"/>
                </w:tcPr>
                <w:p w14:paraId="2293FDDF">
                  <w:pPr>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cs="Times New Roman"/>
                      <w:sz w:val="21"/>
                      <w:szCs w:val="21"/>
                    </w:rPr>
                  </w:pPr>
                </w:p>
              </w:tc>
              <w:tc>
                <w:tcPr>
                  <w:tcW w:w="581" w:type="pct"/>
                  <w:vMerge w:val="continue"/>
                  <w:tcBorders>
                    <w:tl2br w:val="nil"/>
                    <w:tr2bl w:val="nil"/>
                  </w:tcBorders>
                  <w:vAlign w:val="center"/>
                </w:tcPr>
                <w:p w14:paraId="5383C0C1">
                  <w:pPr>
                    <w:spacing w:line="240" w:lineRule="auto"/>
                    <w:ind w:firstLine="0" w:firstLineChars="0"/>
                    <w:jc w:val="center"/>
                    <w:rPr>
                      <w:rFonts w:hint="default" w:ascii="Times New Roman" w:hAnsi="Times New Roman" w:cs="Times New Roman"/>
                      <w:snapToGrid w:val="0"/>
                      <w:sz w:val="21"/>
                      <w:szCs w:val="21"/>
                    </w:rPr>
                  </w:pPr>
                </w:p>
              </w:tc>
              <w:tc>
                <w:tcPr>
                  <w:tcW w:w="552" w:type="pct"/>
                  <w:vMerge w:val="continue"/>
                  <w:tcBorders>
                    <w:tl2br w:val="nil"/>
                    <w:tr2bl w:val="nil"/>
                  </w:tcBorders>
                  <w:vAlign w:val="center"/>
                </w:tcPr>
                <w:p w14:paraId="7C4C1895">
                  <w:pPr>
                    <w:pStyle w:val="37"/>
                    <w:spacing w:line="240" w:lineRule="auto"/>
                    <w:ind w:firstLine="0" w:firstLineChars="0"/>
                    <w:jc w:val="center"/>
                    <w:rPr>
                      <w:rFonts w:hint="default" w:ascii="Times New Roman" w:hAnsi="Times New Roman" w:cs="Times New Roman"/>
                      <w:sz w:val="21"/>
                      <w:szCs w:val="21"/>
                    </w:rPr>
                  </w:pPr>
                </w:p>
              </w:tc>
              <w:tc>
                <w:tcPr>
                  <w:tcW w:w="726" w:type="pct"/>
                  <w:vMerge w:val="continue"/>
                  <w:tcBorders>
                    <w:tl2br w:val="nil"/>
                    <w:tr2bl w:val="nil"/>
                  </w:tcBorders>
                  <w:vAlign w:val="center"/>
                </w:tcPr>
                <w:p w14:paraId="23C4EDE7">
                  <w:pPr>
                    <w:pStyle w:val="37"/>
                    <w:spacing w:line="240" w:lineRule="auto"/>
                    <w:ind w:firstLine="0" w:firstLineChars="0"/>
                    <w:jc w:val="center"/>
                    <w:rPr>
                      <w:rFonts w:hint="default" w:ascii="Times New Roman" w:hAnsi="Times New Roman" w:cs="Times New Roman"/>
                      <w:sz w:val="21"/>
                      <w:szCs w:val="21"/>
                    </w:rPr>
                  </w:pPr>
                </w:p>
              </w:tc>
              <w:tc>
                <w:tcPr>
                  <w:tcW w:w="1049" w:type="pct"/>
                  <w:vMerge w:val="continue"/>
                  <w:tcBorders>
                    <w:tl2br w:val="nil"/>
                    <w:tr2bl w:val="nil"/>
                  </w:tcBorders>
                  <w:vAlign w:val="center"/>
                </w:tcPr>
                <w:p w14:paraId="69250FF8">
                  <w:pPr>
                    <w:pStyle w:val="37"/>
                    <w:spacing w:line="240" w:lineRule="auto"/>
                    <w:ind w:firstLine="0" w:firstLineChars="0"/>
                    <w:jc w:val="center"/>
                    <w:rPr>
                      <w:rFonts w:hint="default" w:ascii="Times New Roman" w:hAnsi="Times New Roman" w:cs="Times New Roman"/>
                      <w:sz w:val="21"/>
                      <w:szCs w:val="21"/>
                    </w:rPr>
                  </w:pPr>
                </w:p>
              </w:tc>
            </w:tr>
            <w:tr w14:paraId="0267E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548" w:hRule="atLeast"/>
                <w:jc w:val="center"/>
              </w:trPr>
              <w:tc>
                <w:tcPr>
                  <w:tcW w:w="819" w:type="pct"/>
                  <w:tcBorders>
                    <w:tl2br w:val="nil"/>
                    <w:tr2bl w:val="nil"/>
                  </w:tcBorders>
                  <w:vAlign w:val="center"/>
                </w:tcPr>
                <w:p w14:paraId="68E4066E">
                  <w:pPr>
                    <w:spacing w:line="240" w:lineRule="auto"/>
                    <w:ind w:firstLine="0" w:firstLine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预处理车间</w:t>
                  </w:r>
                </w:p>
              </w:tc>
              <w:tc>
                <w:tcPr>
                  <w:tcW w:w="707" w:type="pct"/>
                  <w:vMerge w:val="continue"/>
                  <w:tcBorders>
                    <w:tl2br w:val="nil"/>
                    <w:tr2bl w:val="nil"/>
                  </w:tcBorders>
                  <w:vAlign w:val="center"/>
                </w:tcPr>
                <w:p w14:paraId="60497C6D">
                  <w:pPr>
                    <w:spacing w:line="240" w:lineRule="auto"/>
                    <w:ind w:firstLine="0" w:firstLineChars="0"/>
                    <w:jc w:val="center"/>
                    <w:rPr>
                      <w:rFonts w:hint="default" w:ascii="Times New Roman" w:hAnsi="Times New Roman" w:cs="Times New Roman"/>
                      <w:sz w:val="21"/>
                      <w:szCs w:val="21"/>
                    </w:rPr>
                  </w:pPr>
                </w:p>
              </w:tc>
              <w:tc>
                <w:tcPr>
                  <w:tcW w:w="563" w:type="pct"/>
                  <w:vMerge w:val="continue"/>
                  <w:tcBorders>
                    <w:tl2br w:val="nil"/>
                    <w:tr2bl w:val="nil"/>
                  </w:tcBorders>
                  <w:vAlign w:val="center"/>
                </w:tcPr>
                <w:p w14:paraId="78A9D7F7">
                  <w:pPr>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cs="Times New Roman"/>
                      <w:sz w:val="21"/>
                      <w:szCs w:val="21"/>
                    </w:rPr>
                  </w:pPr>
                </w:p>
              </w:tc>
              <w:tc>
                <w:tcPr>
                  <w:tcW w:w="581" w:type="pct"/>
                  <w:vMerge w:val="continue"/>
                  <w:tcBorders>
                    <w:tl2br w:val="nil"/>
                    <w:tr2bl w:val="nil"/>
                  </w:tcBorders>
                  <w:vAlign w:val="center"/>
                </w:tcPr>
                <w:p w14:paraId="431AC90D">
                  <w:pPr>
                    <w:spacing w:line="240" w:lineRule="auto"/>
                    <w:ind w:firstLine="0" w:firstLineChars="0"/>
                    <w:jc w:val="center"/>
                    <w:rPr>
                      <w:rFonts w:hint="default" w:ascii="Times New Roman" w:hAnsi="Times New Roman" w:cs="Times New Roman"/>
                      <w:snapToGrid w:val="0"/>
                      <w:sz w:val="21"/>
                      <w:szCs w:val="21"/>
                    </w:rPr>
                  </w:pPr>
                </w:p>
              </w:tc>
              <w:tc>
                <w:tcPr>
                  <w:tcW w:w="552" w:type="pct"/>
                  <w:vMerge w:val="continue"/>
                  <w:tcBorders>
                    <w:tl2br w:val="nil"/>
                    <w:tr2bl w:val="nil"/>
                  </w:tcBorders>
                  <w:vAlign w:val="center"/>
                </w:tcPr>
                <w:p w14:paraId="41456A51">
                  <w:pPr>
                    <w:pStyle w:val="37"/>
                    <w:spacing w:line="240" w:lineRule="auto"/>
                    <w:ind w:firstLine="0" w:firstLineChars="0"/>
                    <w:jc w:val="center"/>
                    <w:rPr>
                      <w:rFonts w:hint="default" w:ascii="Times New Roman" w:hAnsi="Times New Roman" w:cs="Times New Roman"/>
                      <w:sz w:val="21"/>
                      <w:szCs w:val="21"/>
                    </w:rPr>
                  </w:pPr>
                </w:p>
              </w:tc>
              <w:tc>
                <w:tcPr>
                  <w:tcW w:w="726" w:type="pct"/>
                  <w:vMerge w:val="continue"/>
                  <w:tcBorders>
                    <w:tl2br w:val="nil"/>
                    <w:tr2bl w:val="nil"/>
                  </w:tcBorders>
                  <w:vAlign w:val="center"/>
                </w:tcPr>
                <w:p w14:paraId="5659546E">
                  <w:pPr>
                    <w:pStyle w:val="37"/>
                    <w:spacing w:line="240" w:lineRule="auto"/>
                    <w:ind w:firstLine="0" w:firstLineChars="0"/>
                    <w:jc w:val="center"/>
                    <w:rPr>
                      <w:rFonts w:hint="default" w:ascii="Times New Roman" w:hAnsi="Times New Roman" w:cs="Times New Roman"/>
                      <w:sz w:val="21"/>
                      <w:szCs w:val="21"/>
                    </w:rPr>
                  </w:pPr>
                </w:p>
              </w:tc>
              <w:tc>
                <w:tcPr>
                  <w:tcW w:w="1049" w:type="pct"/>
                  <w:vMerge w:val="continue"/>
                  <w:tcBorders>
                    <w:tl2br w:val="nil"/>
                    <w:tr2bl w:val="nil"/>
                  </w:tcBorders>
                  <w:vAlign w:val="center"/>
                </w:tcPr>
                <w:p w14:paraId="5FA9FB85">
                  <w:pPr>
                    <w:pStyle w:val="37"/>
                    <w:spacing w:line="240" w:lineRule="auto"/>
                    <w:ind w:firstLine="0" w:firstLineChars="0"/>
                    <w:jc w:val="center"/>
                    <w:rPr>
                      <w:rFonts w:hint="default" w:ascii="Times New Roman" w:hAnsi="Times New Roman" w:cs="Times New Roman"/>
                      <w:sz w:val="21"/>
                      <w:szCs w:val="21"/>
                    </w:rPr>
                  </w:pPr>
                </w:p>
              </w:tc>
            </w:tr>
            <w:tr w14:paraId="39874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548" w:hRule="atLeast"/>
                <w:jc w:val="center"/>
              </w:trPr>
              <w:tc>
                <w:tcPr>
                  <w:tcW w:w="819" w:type="pct"/>
                  <w:tcBorders>
                    <w:tl2br w:val="nil"/>
                    <w:tr2bl w:val="nil"/>
                  </w:tcBorders>
                  <w:vAlign w:val="center"/>
                </w:tcPr>
                <w:p w14:paraId="2D01FB17">
                  <w:pPr>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浸出车间</w:t>
                  </w:r>
                </w:p>
              </w:tc>
              <w:tc>
                <w:tcPr>
                  <w:tcW w:w="707" w:type="pct"/>
                  <w:tcBorders>
                    <w:tl2br w:val="nil"/>
                    <w:tr2bl w:val="nil"/>
                  </w:tcBorders>
                  <w:vAlign w:val="center"/>
                </w:tcPr>
                <w:p w14:paraId="5E1B6862">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冷凝器</w:t>
                  </w:r>
                  <w:r>
                    <w:rPr>
                      <w:rFonts w:hint="eastAsia" w:cs="Times New Roman"/>
                      <w:sz w:val="21"/>
                      <w:szCs w:val="21"/>
                      <w:lang w:val="en-US" w:eastAsia="zh-CN"/>
                    </w:rPr>
                    <w:t>、冷冻器厂</w:t>
                  </w:r>
                  <w:r>
                    <w:rPr>
                      <w:rFonts w:hint="eastAsia" w:ascii="Times New Roman" w:hAnsi="Times New Roman" w:cs="Times New Roman"/>
                      <w:sz w:val="21"/>
                      <w:szCs w:val="21"/>
                      <w:lang w:val="en-US" w:eastAsia="zh-CN"/>
                    </w:rPr>
                    <w:t>损坏</w:t>
                  </w:r>
                </w:p>
              </w:tc>
              <w:tc>
                <w:tcPr>
                  <w:tcW w:w="563" w:type="pct"/>
                  <w:tcBorders>
                    <w:tl2br w:val="nil"/>
                    <w:tr2bl w:val="nil"/>
                  </w:tcBorders>
                  <w:vAlign w:val="center"/>
                </w:tcPr>
                <w:p w14:paraId="4ECCB419">
                  <w:pPr>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非甲烷总烃</w:t>
                  </w:r>
                </w:p>
              </w:tc>
              <w:tc>
                <w:tcPr>
                  <w:tcW w:w="581" w:type="pct"/>
                  <w:tcBorders>
                    <w:tl2br w:val="nil"/>
                    <w:tr2bl w:val="nil"/>
                  </w:tcBorders>
                  <w:vAlign w:val="center"/>
                </w:tcPr>
                <w:p w14:paraId="248B1C63">
                  <w:pPr>
                    <w:spacing w:line="240" w:lineRule="auto"/>
                    <w:ind w:firstLine="0" w:firstLineChars="0"/>
                    <w:jc w:val="center"/>
                    <w:rPr>
                      <w:rFonts w:hint="default" w:ascii="Times New Roman" w:hAnsi="Times New Roman" w:eastAsia="宋体" w:cs="Times New Roman"/>
                      <w:snapToGrid w:val="0"/>
                      <w:sz w:val="21"/>
                      <w:szCs w:val="21"/>
                      <w:lang w:val="en-US" w:eastAsia="zh-CN"/>
                    </w:rPr>
                  </w:pPr>
                  <w:r>
                    <w:rPr>
                      <w:rFonts w:hint="eastAsia" w:ascii="Times New Roman" w:hAnsi="Times New Roman" w:cs="Times New Roman"/>
                      <w:snapToGrid w:val="0"/>
                      <w:sz w:val="21"/>
                      <w:szCs w:val="21"/>
                      <w:lang w:val="en-US" w:eastAsia="zh-CN"/>
                    </w:rPr>
                    <w:t>202.1</w:t>
                  </w:r>
                </w:p>
              </w:tc>
              <w:tc>
                <w:tcPr>
                  <w:tcW w:w="552" w:type="pct"/>
                  <w:tcBorders>
                    <w:tl2br w:val="nil"/>
                    <w:tr2bl w:val="nil"/>
                  </w:tcBorders>
                  <w:vAlign w:val="center"/>
                </w:tcPr>
                <w:p w14:paraId="3CB8180B">
                  <w:pPr>
                    <w:pStyle w:val="3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2h</w:t>
                  </w:r>
                </w:p>
              </w:tc>
              <w:tc>
                <w:tcPr>
                  <w:tcW w:w="726" w:type="pct"/>
                  <w:tcBorders>
                    <w:tl2br w:val="nil"/>
                    <w:tr2bl w:val="nil"/>
                  </w:tcBorders>
                  <w:vAlign w:val="center"/>
                </w:tcPr>
                <w:p w14:paraId="063648E9">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1次</w:t>
                  </w:r>
                </w:p>
              </w:tc>
              <w:tc>
                <w:tcPr>
                  <w:tcW w:w="1049" w:type="pct"/>
                  <w:vMerge w:val="restart"/>
                  <w:tcBorders>
                    <w:tl2br w:val="nil"/>
                    <w:tr2bl w:val="nil"/>
                  </w:tcBorders>
                  <w:vAlign w:val="center"/>
                </w:tcPr>
                <w:p w14:paraId="7FE888DF">
                  <w:pPr>
                    <w:pStyle w:val="3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停车，并对各项废气防治设备进行维修</w:t>
                  </w:r>
                </w:p>
              </w:tc>
            </w:tr>
            <w:tr w14:paraId="7FAC2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548" w:hRule="atLeast"/>
                <w:jc w:val="center"/>
              </w:trPr>
              <w:tc>
                <w:tcPr>
                  <w:tcW w:w="819" w:type="pct"/>
                  <w:tcBorders>
                    <w:tl2br w:val="nil"/>
                    <w:tr2bl w:val="nil"/>
                  </w:tcBorders>
                  <w:vAlign w:val="center"/>
                </w:tcPr>
                <w:p w14:paraId="4CAFD2D8">
                  <w:pPr>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锅炉</w:t>
                  </w:r>
                </w:p>
              </w:tc>
              <w:tc>
                <w:tcPr>
                  <w:tcW w:w="707" w:type="pct"/>
                  <w:tcBorders>
                    <w:tl2br w:val="nil"/>
                    <w:tr2bl w:val="nil"/>
                  </w:tcBorders>
                  <w:vAlign w:val="center"/>
                </w:tcPr>
                <w:p w14:paraId="064EBFBD">
                  <w:pPr>
                    <w:spacing w:line="240" w:lineRule="auto"/>
                    <w:ind w:firstLine="0" w:firstLine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锅炉过热</w:t>
                  </w:r>
                </w:p>
              </w:tc>
              <w:tc>
                <w:tcPr>
                  <w:tcW w:w="563" w:type="pct"/>
                  <w:tcBorders>
                    <w:tl2br w:val="nil"/>
                    <w:tr2bl w:val="nil"/>
                  </w:tcBorders>
                  <w:vAlign w:val="center"/>
                </w:tcPr>
                <w:p w14:paraId="49A73FDA">
                  <w:pPr>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颗粒物、二氧化硫、氮氧化物</w:t>
                  </w:r>
                </w:p>
              </w:tc>
              <w:tc>
                <w:tcPr>
                  <w:tcW w:w="581" w:type="pct"/>
                  <w:tcBorders>
                    <w:tl2br w:val="nil"/>
                    <w:tr2bl w:val="nil"/>
                  </w:tcBorders>
                  <w:vAlign w:val="center"/>
                </w:tcPr>
                <w:p w14:paraId="22F10A86">
                  <w:pPr>
                    <w:spacing w:line="240" w:lineRule="auto"/>
                    <w:ind w:firstLine="0" w:firstLineChars="0"/>
                    <w:jc w:val="center"/>
                    <w:rPr>
                      <w:rFonts w:hint="default" w:ascii="Times New Roman" w:hAnsi="Times New Roman" w:eastAsia="宋体" w:cs="Times New Roman"/>
                      <w:snapToGrid w:val="0"/>
                      <w:kern w:val="2"/>
                      <w:sz w:val="21"/>
                      <w:szCs w:val="21"/>
                      <w:lang w:val="en-US" w:eastAsia="zh-CN" w:bidi="ar-SA"/>
                    </w:rPr>
                  </w:pPr>
                  <w:r>
                    <w:rPr>
                      <w:rFonts w:hint="eastAsia" w:cs="Times New Roman"/>
                      <w:snapToGrid w:val="0"/>
                      <w:sz w:val="21"/>
                      <w:szCs w:val="21"/>
                      <w:lang w:val="en-US" w:eastAsia="zh-CN"/>
                    </w:rPr>
                    <w:t>190</w:t>
                  </w:r>
                </w:p>
              </w:tc>
              <w:tc>
                <w:tcPr>
                  <w:tcW w:w="552" w:type="pct"/>
                  <w:tcBorders>
                    <w:tl2br w:val="nil"/>
                    <w:tr2bl w:val="nil"/>
                  </w:tcBorders>
                  <w:vAlign w:val="center"/>
                </w:tcPr>
                <w:p w14:paraId="7C6C7456">
                  <w:pPr>
                    <w:pStyle w:val="3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2h</w:t>
                  </w:r>
                </w:p>
              </w:tc>
              <w:tc>
                <w:tcPr>
                  <w:tcW w:w="726" w:type="pct"/>
                  <w:tcBorders>
                    <w:tl2br w:val="nil"/>
                    <w:tr2bl w:val="nil"/>
                  </w:tcBorders>
                  <w:vAlign w:val="center"/>
                </w:tcPr>
                <w:p w14:paraId="242CE538">
                  <w:pPr>
                    <w:pStyle w:val="37"/>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1次</w:t>
                  </w:r>
                </w:p>
              </w:tc>
              <w:tc>
                <w:tcPr>
                  <w:tcW w:w="1049" w:type="pct"/>
                  <w:vMerge w:val="continue"/>
                  <w:tcBorders>
                    <w:tl2br w:val="nil"/>
                    <w:tr2bl w:val="nil"/>
                  </w:tcBorders>
                  <w:vAlign w:val="center"/>
                </w:tcPr>
                <w:p w14:paraId="23937142">
                  <w:pPr>
                    <w:pStyle w:val="37"/>
                    <w:spacing w:line="240" w:lineRule="auto"/>
                    <w:ind w:firstLine="0" w:firstLineChars="0"/>
                    <w:jc w:val="center"/>
                    <w:rPr>
                      <w:rFonts w:hint="default" w:ascii="Times New Roman" w:hAnsi="Times New Roman" w:cs="Times New Roman"/>
                      <w:sz w:val="21"/>
                      <w:szCs w:val="21"/>
                    </w:rPr>
                  </w:pPr>
                </w:p>
              </w:tc>
            </w:tr>
          </w:tbl>
          <w:p w14:paraId="785E9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firstLine="480"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环评建议；定期对污染物防治设备进行检查，防止非正常工况下废气挥发，加强环保治理设备台账工作，定期进行巡检。</w:t>
            </w:r>
          </w:p>
          <w:p w14:paraId="6F4F1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left"/>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 xml:space="preserve">2 </w:t>
            </w:r>
            <w:r>
              <w:rPr>
                <w:rFonts w:hint="eastAsia" w:ascii="Times New Roman" w:hAnsi="Times New Roman" w:eastAsia="宋体" w:cs="Times New Roman"/>
                <w:b/>
                <w:bCs/>
                <w:color w:val="auto"/>
                <w:sz w:val="24"/>
                <w:szCs w:val="24"/>
                <w:lang w:val="en-US" w:eastAsia="zh-CN"/>
              </w:rPr>
              <w:t>废水</w:t>
            </w:r>
          </w:p>
          <w:p w14:paraId="1045821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cs="Times New Roman"/>
                <w:sz w:val="24"/>
                <w:szCs w:val="24"/>
                <w:lang w:val="en-US" w:eastAsia="zh-CN"/>
              </w:rPr>
              <w:t>废水主要为</w:t>
            </w:r>
            <w:r>
              <w:rPr>
                <w:rFonts w:hint="default" w:ascii="Times New Roman" w:hAnsi="Times New Roman" w:eastAsia="宋体" w:cs="Times New Roman"/>
                <w:sz w:val="24"/>
                <w:szCs w:val="24"/>
              </w:rPr>
              <w:t>生活污水</w:t>
            </w:r>
            <w:r>
              <w:rPr>
                <w:rFonts w:hint="eastAsia" w:ascii="Times New Roman" w:hAnsi="Times New Roman" w:eastAsia="宋体" w:cs="Times New Roman"/>
                <w:sz w:val="24"/>
                <w:szCs w:val="24"/>
                <w:lang w:val="en-US" w:eastAsia="zh-CN"/>
              </w:rPr>
              <w:t>以及生产废水</w:t>
            </w:r>
            <w:r>
              <w:rPr>
                <w:rFonts w:hint="default" w:ascii="Times New Roman" w:hAnsi="Times New Roman" w:eastAsia="宋体" w:cs="Times New Roman"/>
                <w:sz w:val="24"/>
                <w:szCs w:val="24"/>
              </w:rPr>
              <w:t>。</w:t>
            </w:r>
          </w:p>
          <w:p w14:paraId="7FA3B5D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0" w:firstLineChars="0"/>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 xml:space="preserve">2.1 </w:t>
            </w:r>
            <w:r>
              <w:rPr>
                <w:rFonts w:hint="default" w:ascii="Times New Roman" w:hAnsi="Times New Roman" w:eastAsia="宋体" w:cs="Times New Roman"/>
                <w:b/>
                <w:bCs/>
                <w:color w:val="000000"/>
                <w:sz w:val="24"/>
                <w:szCs w:val="24"/>
              </w:rPr>
              <w:t>生活污水</w:t>
            </w:r>
          </w:p>
          <w:p w14:paraId="494EE74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000000"/>
                <w:sz w:val="24"/>
                <w:szCs w:val="24"/>
                <w:highlight w:val="none"/>
              </w:rPr>
              <w:t>项目员工</w:t>
            </w:r>
            <w:r>
              <w:rPr>
                <w:rFonts w:hint="eastAsia" w:cs="Times New Roman"/>
                <w:color w:val="000000"/>
                <w:sz w:val="24"/>
                <w:szCs w:val="24"/>
                <w:highlight w:val="none"/>
                <w:lang w:val="en-US" w:eastAsia="zh-CN"/>
              </w:rPr>
              <w:t>65</w:t>
            </w:r>
            <w:r>
              <w:rPr>
                <w:rFonts w:hint="default" w:ascii="Times New Roman" w:hAnsi="Times New Roman" w:eastAsia="宋体" w:cs="Times New Roman"/>
                <w:color w:val="000000"/>
                <w:sz w:val="24"/>
                <w:szCs w:val="24"/>
                <w:highlight w:val="none"/>
              </w:rPr>
              <w:t>人</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在厂区内食</w:t>
            </w:r>
            <w:r>
              <w:rPr>
                <w:rFonts w:hint="eastAsia" w:ascii="Times New Roman" w:hAnsi="Times New Roman" w:eastAsia="宋体" w:cs="Times New Roman"/>
                <w:color w:val="auto"/>
                <w:sz w:val="24"/>
                <w:szCs w:val="24"/>
                <w:highlight w:val="none"/>
                <w:lang w:val="en-US" w:eastAsia="zh-CN"/>
              </w:rPr>
              <w:t>宿，参考《新疆维吾尔自治区生活用水额定》—P992其他行业规定，</w:t>
            </w:r>
            <w:r>
              <w:rPr>
                <w:rFonts w:hint="default" w:ascii="Times New Roman" w:hAnsi="Times New Roman" w:eastAsia="宋体" w:cs="Times New Roman"/>
                <w:color w:val="auto"/>
                <w:sz w:val="24"/>
                <w:szCs w:val="24"/>
                <w:highlight w:val="none"/>
              </w:rPr>
              <w:t>生活</w:t>
            </w:r>
            <w:r>
              <w:rPr>
                <w:rFonts w:hint="eastAsia"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用水按</w:t>
            </w:r>
            <w:r>
              <w:rPr>
                <w:rFonts w:hint="eastAsia"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L/人·d计</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食堂按10</w:t>
            </w:r>
            <w:r>
              <w:rPr>
                <w:rFonts w:hint="default" w:ascii="Times New Roman" w:hAnsi="Times New Roman" w:eastAsia="宋体" w:cs="Times New Roman"/>
                <w:color w:val="auto"/>
                <w:sz w:val="24"/>
                <w:szCs w:val="24"/>
                <w:highlight w:val="none"/>
              </w:rPr>
              <w:t>L/人·d年工作时间</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则产生的生活用水量</w:t>
            </w:r>
            <w:r>
              <w:rPr>
                <w:rFonts w:hint="eastAsia" w:cs="Times New Roman"/>
                <w:color w:val="auto"/>
                <w:sz w:val="24"/>
                <w:szCs w:val="24"/>
                <w:highlight w:val="none"/>
                <w:lang w:val="en-US" w:eastAsia="zh-CN"/>
              </w:rPr>
              <w:t>8.45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2535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。生活污水产生量按用水量的80%计算</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则</w:t>
            </w:r>
            <w:r>
              <w:rPr>
                <w:rFonts w:hint="eastAsia" w:cs="Times New Roman"/>
                <w:snapToGrid w:val="0"/>
                <w:color w:val="auto"/>
                <w:sz w:val="24"/>
                <w:szCs w:val="24"/>
                <w:highlight w:val="none"/>
                <w:lang w:val="en-US" w:eastAsia="zh-CN"/>
              </w:rPr>
              <w:t>排放量</w:t>
            </w:r>
            <w:r>
              <w:rPr>
                <w:rFonts w:hint="default" w:ascii="Times New Roman" w:hAnsi="Times New Roman" w:eastAsia="宋体" w:cs="Times New Roman"/>
                <w:snapToGrid w:val="0"/>
                <w:color w:val="auto"/>
                <w:sz w:val="24"/>
                <w:szCs w:val="24"/>
                <w:highlight w:val="none"/>
              </w:rPr>
              <w:t>为</w:t>
            </w:r>
            <w:r>
              <w:rPr>
                <w:rFonts w:hint="eastAsia" w:cs="Times New Roman"/>
                <w:snapToGrid w:val="0"/>
                <w:color w:val="auto"/>
                <w:sz w:val="24"/>
                <w:szCs w:val="24"/>
                <w:highlight w:val="none"/>
                <w:lang w:val="en-US" w:eastAsia="zh-CN"/>
              </w:rPr>
              <w:t>6.76</w:t>
            </w:r>
            <w:r>
              <w:rPr>
                <w:rFonts w:hint="default" w:ascii="Times New Roman" w:hAnsi="Times New Roman" w:eastAsia="宋体" w:cs="Times New Roman"/>
                <w:snapToGrid w:val="0"/>
                <w:color w:val="auto"/>
                <w:sz w:val="24"/>
                <w:szCs w:val="24"/>
                <w:highlight w:val="none"/>
              </w:rPr>
              <w:t>m</w:t>
            </w:r>
            <w:r>
              <w:rPr>
                <w:rFonts w:hint="default" w:ascii="Times New Roman" w:hAnsi="Times New Roman" w:eastAsia="宋体" w:cs="Times New Roman"/>
                <w:snapToGrid w:val="0"/>
                <w:color w:val="auto"/>
                <w:sz w:val="24"/>
                <w:szCs w:val="24"/>
                <w:highlight w:val="none"/>
                <w:vertAlign w:val="superscript"/>
              </w:rPr>
              <w:t>3</w:t>
            </w:r>
            <w:r>
              <w:rPr>
                <w:rFonts w:hint="default" w:ascii="Times New Roman" w:hAnsi="Times New Roman" w:eastAsia="宋体" w:cs="Times New Roman"/>
                <w:snapToGrid w:val="0"/>
                <w:color w:val="auto"/>
                <w:sz w:val="24"/>
                <w:szCs w:val="24"/>
                <w:highlight w:val="none"/>
              </w:rPr>
              <w:t>/d（</w:t>
            </w:r>
            <w:r>
              <w:rPr>
                <w:rFonts w:hint="eastAsia" w:cs="Times New Roman"/>
                <w:snapToGrid w:val="0"/>
                <w:color w:val="auto"/>
                <w:sz w:val="24"/>
                <w:szCs w:val="24"/>
                <w:highlight w:val="none"/>
                <w:lang w:val="en-US" w:eastAsia="zh-CN"/>
              </w:rPr>
              <w:t>2028</w:t>
            </w:r>
            <w:r>
              <w:rPr>
                <w:rFonts w:hint="default" w:ascii="Times New Roman" w:hAnsi="Times New Roman" w:eastAsia="宋体" w:cs="Times New Roman"/>
                <w:snapToGrid w:val="0"/>
                <w:color w:val="auto"/>
                <w:sz w:val="24"/>
                <w:szCs w:val="24"/>
                <w:highlight w:val="none"/>
              </w:rPr>
              <w:t>m</w:t>
            </w:r>
            <w:r>
              <w:rPr>
                <w:rFonts w:hint="default" w:ascii="Times New Roman" w:hAnsi="Times New Roman" w:eastAsia="宋体" w:cs="Times New Roman"/>
                <w:snapToGrid w:val="0"/>
                <w:color w:val="auto"/>
                <w:sz w:val="24"/>
                <w:szCs w:val="24"/>
                <w:highlight w:val="none"/>
                <w:vertAlign w:val="superscript"/>
              </w:rPr>
              <w:t>3</w:t>
            </w:r>
            <w:r>
              <w:rPr>
                <w:rFonts w:hint="default" w:ascii="Times New Roman" w:hAnsi="Times New Roman" w:eastAsia="宋体" w:cs="Times New Roman"/>
                <w:snapToGrid w:val="0"/>
                <w:color w:val="auto"/>
                <w:sz w:val="24"/>
                <w:szCs w:val="24"/>
                <w:highlight w:val="none"/>
              </w:rPr>
              <w:t>/a）</w:t>
            </w:r>
            <w:r>
              <w:rPr>
                <w:rFonts w:hint="eastAsia" w:ascii="Times New Roman" w:hAnsi="Times New Roman" w:eastAsia="宋体" w:cs="Times New Roman"/>
                <w:sz w:val="24"/>
                <w:szCs w:val="24"/>
                <w:highlight w:val="none"/>
                <w:lang w:val="en-US" w:eastAsia="zh-CN"/>
              </w:rPr>
              <w:t>后排入</w:t>
            </w:r>
            <w:r>
              <w:rPr>
                <w:rFonts w:hint="eastAsia" w:cs="Times New Roman"/>
                <w:sz w:val="24"/>
                <w:szCs w:val="24"/>
                <w:highlight w:val="none"/>
                <w:lang w:val="en-US" w:eastAsia="zh-CN"/>
              </w:rPr>
              <w:t>厂区污水处理站处理，处理后排入市政管网</w:t>
            </w:r>
            <w:r>
              <w:rPr>
                <w:rFonts w:hint="default" w:ascii="Times New Roman" w:hAnsi="Times New Roman" w:eastAsia="宋体" w:cs="Times New Roman"/>
                <w:sz w:val="24"/>
                <w:szCs w:val="24"/>
                <w:highlight w:val="none"/>
              </w:rPr>
              <w:t>。</w:t>
            </w:r>
          </w:p>
          <w:p w14:paraId="6C1DE25F">
            <w:pPr>
              <w:pStyle w:val="26"/>
              <w:keepNext w:val="0"/>
              <w:keepLines w:val="0"/>
              <w:pageBreakBefore w:val="0"/>
              <w:widowControl w:val="0"/>
              <w:numPr>
                <w:ilvl w:val="0"/>
                <w:numId w:val="0"/>
              </w:numPr>
              <w:suppressLineNumbers w:val="0"/>
              <w:kinsoku/>
              <w:wordWrap/>
              <w:overflowPunct/>
              <w:topLinePunct w:val="0"/>
              <w:bidi w:val="0"/>
              <w:adjustRightInd w:val="0"/>
              <w:snapToGrid w:val="0"/>
              <w:spacing w:beforeLines="0" w:beforeAutospacing="0" w:afterLines="0" w:afterAutospacing="0" w:line="360" w:lineRule="auto"/>
              <w:ind w:right="0"/>
              <w:textAlignment w:val="auto"/>
              <w:rPr>
                <w:rFonts w:hint="default" w:ascii="Times New Roman" w:hAnsi="Times New Roman" w:eastAsia="宋体" w:cs="Times New Roman"/>
                <w:b/>
                <w:bCs/>
                <w:color w:val="000000"/>
                <w:spacing w:val="0"/>
                <w:kern w:val="2"/>
                <w:sz w:val="24"/>
                <w:szCs w:val="24"/>
                <w:lang w:val="en-US" w:eastAsia="zh-CN"/>
              </w:rPr>
            </w:pPr>
            <w:r>
              <w:rPr>
                <w:rFonts w:hint="eastAsia" w:ascii="Times New Roman" w:hAnsi="Times New Roman" w:eastAsia="宋体" w:cs="Times New Roman"/>
                <w:b/>
                <w:bCs/>
                <w:color w:val="000000"/>
                <w:spacing w:val="0"/>
                <w:kern w:val="2"/>
                <w:sz w:val="24"/>
                <w:szCs w:val="24"/>
                <w:lang w:val="en-US" w:eastAsia="zh-CN"/>
              </w:rPr>
              <w:t xml:space="preserve">2.2 </w:t>
            </w:r>
            <w:r>
              <w:rPr>
                <w:rFonts w:hint="default" w:ascii="Times New Roman" w:hAnsi="Times New Roman" w:eastAsia="宋体" w:cs="Times New Roman"/>
                <w:b/>
                <w:bCs/>
                <w:color w:val="000000"/>
                <w:spacing w:val="0"/>
                <w:kern w:val="2"/>
                <w:sz w:val="24"/>
                <w:szCs w:val="24"/>
                <w:lang w:val="en-US" w:eastAsia="zh-CN"/>
              </w:rPr>
              <w:t>生产废水</w:t>
            </w:r>
          </w:p>
          <w:p w14:paraId="4A90FF8C">
            <w:pPr>
              <w:pStyle w:val="26"/>
              <w:keepNext w:val="0"/>
              <w:keepLines w:val="0"/>
              <w:pageBreakBefore w:val="0"/>
              <w:widowControl w:val="0"/>
              <w:numPr>
                <w:ilvl w:val="0"/>
                <w:numId w:val="0"/>
              </w:numPr>
              <w:suppressLineNumbers w:val="0"/>
              <w:kinsoku/>
              <w:wordWrap/>
              <w:overflowPunct/>
              <w:topLinePunct w:val="0"/>
              <w:bidi w:val="0"/>
              <w:adjustRightInd w:val="0"/>
              <w:snapToGrid w:val="0"/>
              <w:spacing w:beforeLines="0" w:beforeAutospacing="0" w:afterLines="0" w:afterAutospacing="0" w:line="360" w:lineRule="auto"/>
              <w:ind w:left="0" w:leftChars="0" w:right="0" w:firstLine="480" w:firstLineChars="200"/>
              <w:textAlignment w:val="auto"/>
              <w:rPr>
                <w:rFonts w:hint="default"/>
                <w:b/>
                <w:bCs/>
                <w:sz w:val="24"/>
                <w:szCs w:val="24"/>
                <w:lang w:val="en-US" w:eastAsia="zh-CN"/>
              </w:rPr>
            </w:pPr>
            <w:r>
              <w:rPr>
                <w:rFonts w:hint="default" w:ascii="Times New Roman" w:hAnsi="Times New Roman" w:eastAsia="宋体" w:cs="Times New Roman"/>
                <w:color w:val="000000"/>
                <w:spacing w:val="0"/>
                <w:kern w:val="2"/>
                <w:sz w:val="24"/>
                <w:szCs w:val="24"/>
                <w:lang w:val="en-US" w:eastAsia="zh-CN"/>
              </w:rPr>
              <w:t>本项目运营</w:t>
            </w:r>
            <w:r>
              <w:rPr>
                <w:rFonts w:hint="default" w:ascii="Times New Roman" w:hAnsi="Times New Roman" w:eastAsia="宋体" w:cs="Times New Roman"/>
                <w:color w:val="000000"/>
                <w:spacing w:val="0"/>
                <w:kern w:val="2"/>
                <w:sz w:val="24"/>
                <w:szCs w:val="24"/>
                <w:highlight w:val="none"/>
                <w:lang w:val="en-US" w:eastAsia="zh-CN"/>
              </w:rPr>
              <w:t>期间</w:t>
            </w:r>
            <w:r>
              <w:rPr>
                <w:rFonts w:hint="eastAsia" w:ascii="Times New Roman" w:hAnsi="Times New Roman" w:eastAsia="宋体" w:cs="Times New Roman"/>
                <w:color w:val="000000"/>
                <w:spacing w:val="0"/>
                <w:kern w:val="2"/>
                <w:sz w:val="24"/>
                <w:szCs w:val="24"/>
                <w:highlight w:val="none"/>
                <w:lang w:val="en-US" w:eastAsia="zh-CN"/>
              </w:rPr>
              <w:t>废水计算根据生态环境部发布的《关于发布计算环境保护税应税污染物排放量的排污系数和物料衡算方法的公告》（公告2021年，第16号）中“1331食用植物油行业产排污系数表产排污系数表（续4）”进行计算。本项目年消耗棉籽12万t/a，产污系数见表4-14，污水产生一览表见表4-15。</w:t>
            </w:r>
          </w:p>
          <w:p w14:paraId="429B8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kern w:val="0"/>
                <w:sz w:val="21"/>
                <w:szCs w:val="21"/>
                <w:highlight w:val="none"/>
                <w:lang w:val="en-US" w:eastAsia="zh-CN" w:bidi="ar-SA"/>
              </w:rPr>
            </w:pPr>
            <w:r>
              <w:rPr>
                <w:rFonts w:hint="eastAsia" w:ascii="黑体" w:hAnsi="黑体" w:eastAsia="黑体" w:cs="黑体"/>
                <w:b w:val="0"/>
                <w:bCs/>
                <w:kern w:val="0"/>
                <w:sz w:val="21"/>
                <w:szCs w:val="21"/>
                <w:highlight w:val="none"/>
                <w:lang w:val="en-US" w:eastAsia="zh-CN" w:bidi="ar-SA"/>
              </w:rPr>
              <w:t>表4-14   产污系数一览表</w:t>
            </w:r>
          </w:p>
          <w:tbl>
            <w:tblPr>
              <w:tblStyle w:val="22"/>
              <w:tblW w:w="85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5"/>
              <w:gridCol w:w="767"/>
              <w:gridCol w:w="833"/>
              <w:gridCol w:w="1300"/>
              <w:gridCol w:w="2234"/>
              <w:gridCol w:w="1049"/>
              <w:gridCol w:w="1550"/>
            </w:tblGrid>
            <w:tr w14:paraId="06D8B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tcBorders>
                    <w:tl2br w:val="nil"/>
                    <w:tr2bl w:val="nil"/>
                  </w:tcBorders>
                  <w:vAlign w:val="center"/>
                </w:tcPr>
                <w:p w14:paraId="5FB62493">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原料名称</w:t>
                  </w:r>
                </w:p>
              </w:tc>
              <w:tc>
                <w:tcPr>
                  <w:tcW w:w="767" w:type="dxa"/>
                  <w:tcBorders>
                    <w:tl2br w:val="nil"/>
                    <w:tr2bl w:val="nil"/>
                  </w:tcBorders>
                  <w:vAlign w:val="center"/>
                </w:tcPr>
                <w:p w14:paraId="01FAFFB3">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工艺名称</w:t>
                  </w:r>
                </w:p>
              </w:tc>
              <w:tc>
                <w:tcPr>
                  <w:tcW w:w="833" w:type="dxa"/>
                  <w:tcBorders>
                    <w:tl2br w:val="nil"/>
                    <w:tr2bl w:val="nil"/>
                  </w:tcBorders>
                  <w:vAlign w:val="center"/>
                </w:tcPr>
                <w:p w14:paraId="331C14A1">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规模等级</w:t>
                  </w:r>
                </w:p>
              </w:tc>
              <w:tc>
                <w:tcPr>
                  <w:tcW w:w="1300" w:type="dxa"/>
                  <w:tcBorders>
                    <w:tl2br w:val="nil"/>
                    <w:tr2bl w:val="nil"/>
                  </w:tcBorders>
                  <w:vAlign w:val="center"/>
                </w:tcPr>
                <w:p w14:paraId="2E477F6A">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污染物指标</w:t>
                  </w:r>
                </w:p>
              </w:tc>
              <w:tc>
                <w:tcPr>
                  <w:tcW w:w="2234" w:type="dxa"/>
                  <w:tcBorders>
                    <w:tl2br w:val="nil"/>
                    <w:tr2bl w:val="nil"/>
                  </w:tcBorders>
                  <w:vAlign w:val="center"/>
                </w:tcPr>
                <w:p w14:paraId="621A383F">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末端处理技术</w:t>
                  </w:r>
                </w:p>
              </w:tc>
              <w:tc>
                <w:tcPr>
                  <w:tcW w:w="1049" w:type="dxa"/>
                  <w:tcBorders>
                    <w:tl2br w:val="nil"/>
                    <w:tr2bl w:val="nil"/>
                  </w:tcBorders>
                  <w:vAlign w:val="center"/>
                </w:tcPr>
                <w:p w14:paraId="70CAD3AF">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产污系数</w:t>
                  </w:r>
                </w:p>
              </w:tc>
              <w:tc>
                <w:tcPr>
                  <w:tcW w:w="1550" w:type="dxa"/>
                  <w:tcBorders>
                    <w:tl2br w:val="nil"/>
                    <w:tr2bl w:val="nil"/>
                  </w:tcBorders>
                  <w:shd w:val="clear" w:color="auto" w:fill="auto"/>
                  <w:vAlign w:val="center"/>
                </w:tcPr>
                <w:p w14:paraId="1311BC83">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末端治理去除率/系数单位</w:t>
                  </w:r>
                </w:p>
              </w:tc>
            </w:tr>
            <w:tr w14:paraId="23DD6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825" w:type="dxa"/>
                  <w:vMerge w:val="restart"/>
                  <w:tcBorders>
                    <w:tl2br w:val="nil"/>
                    <w:tr2bl w:val="nil"/>
                  </w:tcBorders>
                  <w:vAlign w:val="center"/>
                </w:tcPr>
                <w:p w14:paraId="4BC860EE">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棉籽</w:t>
                  </w:r>
                </w:p>
              </w:tc>
              <w:tc>
                <w:tcPr>
                  <w:tcW w:w="767" w:type="dxa"/>
                  <w:vMerge w:val="restart"/>
                  <w:tcBorders>
                    <w:tl2br w:val="nil"/>
                    <w:tr2bl w:val="nil"/>
                  </w:tcBorders>
                  <w:vAlign w:val="center"/>
                </w:tcPr>
                <w:p w14:paraId="66221C08">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vertAlign w:val="baseline"/>
                      <w:lang w:val="en-US" w:eastAsia="zh-CN" w:bidi="ar-SA"/>
                    </w:rPr>
                  </w:pPr>
                  <w:r>
                    <w:rPr>
                      <w:rFonts w:hint="eastAsia" w:ascii="宋体" w:hAnsi="宋体" w:eastAsia="宋体" w:cs="宋体"/>
                      <w:color w:val="000000"/>
                      <w:kern w:val="0"/>
                      <w:sz w:val="21"/>
                      <w:szCs w:val="21"/>
                      <w:lang w:val="en-US" w:eastAsia="zh-CN" w:bidi="ar"/>
                    </w:rPr>
                    <w:t>预榨、浸出、精炼</w:t>
                  </w:r>
                </w:p>
              </w:tc>
              <w:tc>
                <w:tcPr>
                  <w:tcW w:w="833" w:type="dxa"/>
                  <w:vMerge w:val="restart"/>
                  <w:tcBorders>
                    <w:tl2br w:val="nil"/>
                    <w:tr2bl w:val="nil"/>
                  </w:tcBorders>
                  <w:vAlign w:val="center"/>
                </w:tcPr>
                <w:p w14:paraId="01556DA8">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本项目</w:t>
                  </w:r>
                  <w:r>
                    <w:rPr>
                      <w:rFonts w:hint="eastAsia" w:ascii="Times New Roman" w:hAnsi="Times New Roman" w:eastAsia="宋体" w:cs="Times New Roman"/>
                      <w:sz w:val="21"/>
                      <w:szCs w:val="21"/>
                      <w:vertAlign w:val="baseline"/>
                      <w:lang w:val="en-US" w:eastAsia="zh-CN" w:bidi="ar-SA"/>
                    </w:rPr>
                    <w:t>＜500</w:t>
                  </w:r>
                  <w:r>
                    <w:rPr>
                      <w:rFonts w:hint="default" w:ascii="Times New Roman" w:hAnsi="Times New Roman" w:eastAsia="宋体" w:cs="Times New Roman"/>
                      <w:sz w:val="21"/>
                      <w:szCs w:val="21"/>
                      <w:vertAlign w:val="baseline"/>
                      <w:lang w:val="en-US" w:eastAsia="zh-CN" w:bidi="ar-SA"/>
                    </w:rPr>
                    <w:t>t/a</w:t>
                  </w:r>
                </w:p>
              </w:tc>
              <w:tc>
                <w:tcPr>
                  <w:tcW w:w="1300" w:type="dxa"/>
                  <w:tcBorders>
                    <w:tl2br w:val="nil"/>
                    <w:tr2bl w:val="nil"/>
                  </w:tcBorders>
                  <w:vAlign w:val="center"/>
                </w:tcPr>
                <w:p w14:paraId="3ED8A58E">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工业废水量</w:t>
                  </w:r>
                </w:p>
              </w:tc>
              <w:tc>
                <w:tcPr>
                  <w:tcW w:w="2234" w:type="dxa"/>
                  <w:vMerge w:val="restart"/>
                  <w:tcBorders>
                    <w:tl2br w:val="nil"/>
                    <w:tr2bl w:val="nil"/>
                  </w:tcBorders>
                  <w:vAlign w:val="center"/>
                </w:tcPr>
                <w:p w14:paraId="643818F4">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物理处理法+厌氧生物处理法+好氧生物处理法</w:t>
                  </w:r>
                </w:p>
              </w:tc>
              <w:tc>
                <w:tcPr>
                  <w:tcW w:w="1049" w:type="dxa"/>
                  <w:tcBorders>
                    <w:tl2br w:val="nil"/>
                    <w:tr2bl w:val="nil"/>
                  </w:tcBorders>
                  <w:vAlign w:val="center"/>
                </w:tcPr>
                <w:p w14:paraId="307F0C3D">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0.38</w:t>
                  </w:r>
                </w:p>
              </w:tc>
              <w:tc>
                <w:tcPr>
                  <w:tcW w:w="1550" w:type="dxa"/>
                  <w:tcBorders>
                    <w:tl2br w:val="nil"/>
                    <w:tr2bl w:val="nil"/>
                  </w:tcBorders>
                  <w:shd w:val="clear" w:color="auto" w:fill="auto"/>
                  <w:vAlign w:val="center"/>
                </w:tcPr>
                <w:p w14:paraId="00179F65">
                  <w:pPr>
                    <w:pStyle w:val="26"/>
                    <w:keepNext w:val="0"/>
                    <w:keepLines w:val="0"/>
                    <w:pageBreakBefore w:val="0"/>
                    <w:kinsoku/>
                    <w:wordWrap/>
                    <w:overflowPunct/>
                    <w:topLinePunct w:val="0"/>
                    <w:bidi w:val="0"/>
                    <w:adjustRightInd w:val="0"/>
                    <w:snapToGrid w:val="0"/>
                    <w:spacing w:beforeLines="0" w:afterLine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ascii="宋体" w:hAnsi="宋体" w:eastAsia="宋体" w:cs="宋体"/>
                      <w:sz w:val="21"/>
                      <w:szCs w:val="21"/>
                      <w:lang w:val="en-US" w:eastAsia="zh-CN" w:bidi="ar-SA"/>
                    </w:rPr>
                    <w:t>吨/吨-原料</w:t>
                  </w:r>
                </w:p>
              </w:tc>
            </w:tr>
            <w:tr w14:paraId="08A6F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Merge w:val="continue"/>
                  <w:tcBorders>
                    <w:tl2br w:val="nil"/>
                    <w:tr2bl w:val="nil"/>
                  </w:tcBorders>
                  <w:vAlign w:val="center"/>
                </w:tcPr>
                <w:p w14:paraId="603AA7E1">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767" w:type="dxa"/>
                  <w:vMerge w:val="continue"/>
                  <w:tcBorders>
                    <w:tl2br w:val="nil"/>
                    <w:tr2bl w:val="nil"/>
                  </w:tcBorders>
                  <w:vAlign w:val="center"/>
                </w:tcPr>
                <w:p w14:paraId="647E3912">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833" w:type="dxa"/>
                  <w:vMerge w:val="continue"/>
                  <w:tcBorders>
                    <w:tl2br w:val="nil"/>
                    <w:tr2bl w:val="nil"/>
                  </w:tcBorders>
                  <w:vAlign w:val="center"/>
                </w:tcPr>
                <w:p w14:paraId="75D1E445">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1300" w:type="dxa"/>
                  <w:tcBorders>
                    <w:tl2br w:val="nil"/>
                    <w:tr2bl w:val="nil"/>
                  </w:tcBorders>
                  <w:vAlign w:val="center"/>
                </w:tcPr>
                <w:p w14:paraId="487A3169">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化学需氧量</w:t>
                  </w:r>
                </w:p>
              </w:tc>
              <w:tc>
                <w:tcPr>
                  <w:tcW w:w="2234" w:type="dxa"/>
                  <w:vMerge w:val="continue"/>
                  <w:tcBorders>
                    <w:tl2br w:val="nil"/>
                    <w:tr2bl w:val="nil"/>
                  </w:tcBorders>
                  <w:vAlign w:val="center"/>
                </w:tcPr>
                <w:p w14:paraId="3D67D30E">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1049" w:type="dxa"/>
                  <w:tcBorders>
                    <w:tl2br w:val="nil"/>
                    <w:tr2bl w:val="nil"/>
                  </w:tcBorders>
                  <w:vAlign w:val="center"/>
                </w:tcPr>
                <w:p w14:paraId="658470D8">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2161</w:t>
                  </w:r>
                </w:p>
              </w:tc>
              <w:tc>
                <w:tcPr>
                  <w:tcW w:w="1550" w:type="dxa"/>
                  <w:tcBorders>
                    <w:tl2br w:val="nil"/>
                    <w:tr2bl w:val="nil"/>
                  </w:tcBorders>
                  <w:shd w:val="clear" w:color="auto" w:fill="auto"/>
                  <w:vAlign w:val="center"/>
                </w:tcPr>
                <w:p w14:paraId="1208C0B2">
                  <w:pPr>
                    <w:pStyle w:val="26"/>
                    <w:keepNext w:val="0"/>
                    <w:keepLines w:val="0"/>
                    <w:pageBreakBefore w:val="0"/>
                    <w:kinsoku/>
                    <w:wordWrap/>
                    <w:overflowPunct/>
                    <w:topLinePunct w:val="0"/>
                    <w:bidi w:val="0"/>
                    <w:adjustRightInd w:val="0"/>
                    <w:snapToGrid w:val="0"/>
                    <w:spacing w:beforeLines="0" w:afterLine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94.44，</w:t>
                  </w:r>
                  <w:r>
                    <w:rPr>
                      <w:rFonts w:ascii="宋体" w:hAnsi="宋体" w:eastAsia="宋体" w:cs="宋体"/>
                      <w:sz w:val="21"/>
                      <w:szCs w:val="21"/>
                      <w:lang w:val="en-US" w:eastAsia="zh-CN" w:bidi="ar-SA"/>
                    </w:rPr>
                    <w:t>克/吨-原料</w:t>
                  </w:r>
                </w:p>
              </w:tc>
            </w:tr>
            <w:tr w14:paraId="40BB6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825" w:type="dxa"/>
                  <w:vMerge w:val="continue"/>
                  <w:tcBorders>
                    <w:tl2br w:val="nil"/>
                    <w:tr2bl w:val="nil"/>
                  </w:tcBorders>
                  <w:vAlign w:val="center"/>
                </w:tcPr>
                <w:p w14:paraId="00A22EBF">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767" w:type="dxa"/>
                  <w:vMerge w:val="continue"/>
                  <w:tcBorders>
                    <w:tl2br w:val="nil"/>
                    <w:tr2bl w:val="nil"/>
                  </w:tcBorders>
                  <w:vAlign w:val="center"/>
                </w:tcPr>
                <w:p w14:paraId="7A8226CC">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833" w:type="dxa"/>
                  <w:vMerge w:val="continue"/>
                  <w:tcBorders>
                    <w:tl2br w:val="nil"/>
                    <w:tr2bl w:val="nil"/>
                  </w:tcBorders>
                  <w:vAlign w:val="center"/>
                </w:tcPr>
                <w:p w14:paraId="735DDC75">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1300" w:type="dxa"/>
                  <w:tcBorders>
                    <w:tl2br w:val="nil"/>
                    <w:tr2bl w:val="nil"/>
                  </w:tcBorders>
                  <w:vAlign w:val="center"/>
                </w:tcPr>
                <w:p w14:paraId="720D2707">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总磷</w:t>
                  </w:r>
                </w:p>
              </w:tc>
              <w:tc>
                <w:tcPr>
                  <w:tcW w:w="2234" w:type="dxa"/>
                  <w:vMerge w:val="continue"/>
                  <w:tcBorders>
                    <w:tl2br w:val="nil"/>
                    <w:tr2bl w:val="nil"/>
                  </w:tcBorders>
                  <w:vAlign w:val="center"/>
                </w:tcPr>
                <w:p w14:paraId="131AC452">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1049" w:type="dxa"/>
                  <w:tcBorders>
                    <w:tl2br w:val="nil"/>
                    <w:tr2bl w:val="nil"/>
                  </w:tcBorders>
                  <w:vAlign w:val="center"/>
                </w:tcPr>
                <w:p w14:paraId="5927B178">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24.6（2.5）</w:t>
                  </w:r>
                </w:p>
              </w:tc>
              <w:tc>
                <w:tcPr>
                  <w:tcW w:w="1550" w:type="dxa"/>
                  <w:tcBorders>
                    <w:tl2br w:val="nil"/>
                    <w:tr2bl w:val="nil"/>
                  </w:tcBorders>
                  <w:shd w:val="clear" w:color="auto" w:fill="auto"/>
                  <w:vAlign w:val="center"/>
                </w:tcPr>
                <w:p w14:paraId="5CFA8965">
                  <w:pPr>
                    <w:pStyle w:val="26"/>
                    <w:keepNext w:val="0"/>
                    <w:keepLines w:val="0"/>
                    <w:pageBreakBefore w:val="0"/>
                    <w:kinsoku/>
                    <w:wordWrap/>
                    <w:overflowPunct/>
                    <w:topLinePunct w:val="0"/>
                    <w:bidi w:val="0"/>
                    <w:adjustRightInd w:val="0"/>
                    <w:snapToGrid w:val="0"/>
                    <w:spacing w:beforeLines="0" w:afterLine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95.53，</w:t>
                  </w:r>
                  <w:r>
                    <w:rPr>
                      <w:rFonts w:ascii="宋体" w:hAnsi="宋体" w:eastAsia="宋体" w:cs="宋体"/>
                      <w:sz w:val="21"/>
                      <w:szCs w:val="21"/>
                      <w:lang w:val="en-US" w:eastAsia="zh-CN" w:bidi="ar-SA"/>
                    </w:rPr>
                    <w:t>克/吨-原料</w:t>
                  </w:r>
                </w:p>
              </w:tc>
            </w:tr>
            <w:tr w14:paraId="2C447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825" w:type="dxa"/>
                  <w:vMerge w:val="continue"/>
                  <w:tcBorders>
                    <w:tl2br w:val="nil"/>
                    <w:tr2bl w:val="nil"/>
                  </w:tcBorders>
                  <w:vAlign w:val="center"/>
                </w:tcPr>
                <w:p w14:paraId="1AD60219">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767" w:type="dxa"/>
                  <w:vMerge w:val="continue"/>
                  <w:tcBorders>
                    <w:tl2br w:val="nil"/>
                    <w:tr2bl w:val="nil"/>
                  </w:tcBorders>
                  <w:vAlign w:val="center"/>
                </w:tcPr>
                <w:p w14:paraId="12D70E9F">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833" w:type="dxa"/>
                  <w:vMerge w:val="continue"/>
                  <w:tcBorders>
                    <w:tl2br w:val="nil"/>
                    <w:tr2bl w:val="nil"/>
                  </w:tcBorders>
                  <w:vAlign w:val="center"/>
                </w:tcPr>
                <w:p w14:paraId="56D1000F">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1300" w:type="dxa"/>
                  <w:tcBorders>
                    <w:tl2br w:val="nil"/>
                    <w:tr2bl w:val="nil"/>
                  </w:tcBorders>
                  <w:vAlign w:val="center"/>
                </w:tcPr>
                <w:p w14:paraId="1C775548">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石油类</w:t>
                  </w:r>
                </w:p>
              </w:tc>
              <w:tc>
                <w:tcPr>
                  <w:tcW w:w="2234" w:type="dxa"/>
                  <w:vMerge w:val="continue"/>
                  <w:tcBorders>
                    <w:tl2br w:val="nil"/>
                    <w:tr2bl w:val="nil"/>
                  </w:tcBorders>
                  <w:vAlign w:val="center"/>
                </w:tcPr>
                <w:p w14:paraId="698C917A">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p>
              </w:tc>
              <w:tc>
                <w:tcPr>
                  <w:tcW w:w="1049" w:type="dxa"/>
                  <w:tcBorders>
                    <w:tl2br w:val="nil"/>
                    <w:tr2bl w:val="nil"/>
                  </w:tcBorders>
                  <w:vAlign w:val="center"/>
                </w:tcPr>
                <w:p w14:paraId="32B3E156">
                  <w:pPr>
                    <w:pStyle w:val="26"/>
                    <w:keepNext w:val="0"/>
                    <w:keepLines w:val="0"/>
                    <w:pageBreakBefore w:val="0"/>
                    <w:kinsoku/>
                    <w:wordWrap/>
                    <w:overflowPunct/>
                    <w:topLinePunct w:val="0"/>
                    <w:bidi w:val="0"/>
                    <w:adjustRightInd w:val="0"/>
                    <w:snapToGrid w:val="0"/>
                    <w:spacing w:beforeLines="0" w:afterLines="0"/>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31.4</w:t>
                  </w:r>
                </w:p>
              </w:tc>
              <w:tc>
                <w:tcPr>
                  <w:tcW w:w="1550" w:type="dxa"/>
                  <w:tcBorders>
                    <w:tl2br w:val="nil"/>
                    <w:tr2bl w:val="nil"/>
                  </w:tcBorders>
                  <w:shd w:val="clear" w:color="auto" w:fill="auto"/>
                  <w:vAlign w:val="center"/>
                </w:tcPr>
                <w:p w14:paraId="518617E9">
                  <w:pPr>
                    <w:pStyle w:val="26"/>
                    <w:keepNext w:val="0"/>
                    <w:keepLines w:val="0"/>
                    <w:pageBreakBefore w:val="0"/>
                    <w:kinsoku/>
                    <w:wordWrap/>
                    <w:overflowPunct/>
                    <w:topLinePunct w:val="0"/>
                    <w:bidi w:val="0"/>
                    <w:adjustRightInd w:val="0"/>
                    <w:snapToGrid w:val="0"/>
                    <w:spacing w:beforeLines="0" w:afterLine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91.94，</w:t>
                  </w:r>
                  <w:r>
                    <w:rPr>
                      <w:rFonts w:ascii="宋体" w:hAnsi="宋体" w:eastAsia="宋体" w:cs="宋体"/>
                      <w:sz w:val="21"/>
                      <w:szCs w:val="21"/>
                      <w:lang w:val="en-US" w:eastAsia="zh-CN" w:bidi="ar-SA"/>
                    </w:rPr>
                    <w:t>克/吨-原料</w:t>
                  </w:r>
                </w:p>
              </w:tc>
            </w:tr>
          </w:tbl>
          <w:p w14:paraId="114E8B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kern w:val="0"/>
                <w:sz w:val="18"/>
                <w:szCs w:val="18"/>
                <w:highlight w:val="none"/>
                <w:lang w:val="en-US" w:eastAsia="zh-CN" w:bidi="ar-SA"/>
              </w:rPr>
            </w:pPr>
            <w:r>
              <w:rPr>
                <w:rFonts w:hint="default" w:ascii="Times New Roman" w:hAnsi="Times New Roman" w:eastAsia="宋体" w:cs="Times New Roman"/>
                <w:b w:val="0"/>
                <w:bCs/>
                <w:kern w:val="0"/>
                <w:sz w:val="18"/>
                <w:szCs w:val="18"/>
                <w:highlight w:val="none"/>
                <w:lang w:val="en-US" w:eastAsia="zh-CN" w:bidi="ar-SA"/>
              </w:rPr>
              <w:t>备注：本项目以三级油生产为主不涉及二级、一级油处理工艺，参考排污系数手册表（续4）</w:t>
            </w:r>
            <w:r>
              <w:rPr>
                <w:rFonts w:hint="eastAsia" w:ascii="Times New Roman" w:hAnsi="Times New Roman" w:eastAsia="宋体" w:cs="Times New Roman"/>
                <w:b w:val="0"/>
                <w:bCs/>
                <w:kern w:val="0"/>
                <w:sz w:val="18"/>
                <w:szCs w:val="18"/>
                <w:highlight w:val="none"/>
                <w:lang w:val="en-US" w:eastAsia="zh-CN" w:bidi="ar-SA"/>
              </w:rPr>
              <w:t>，若使用磷酸，则总磷的调整系数为2.5。</w:t>
            </w:r>
          </w:p>
          <w:p w14:paraId="4EBC8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黑体" w:eastAsia="黑体" w:cs="黑体"/>
                <w:b w:val="0"/>
                <w:bCs/>
                <w:kern w:val="0"/>
                <w:sz w:val="21"/>
                <w:szCs w:val="21"/>
                <w:highlight w:val="none"/>
                <w:lang w:val="en-US" w:eastAsia="zh-CN" w:bidi="ar-SA"/>
              </w:rPr>
            </w:pPr>
            <w:r>
              <w:rPr>
                <w:rFonts w:hint="eastAsia" w:ascii="黑体" w:hAnsi="黑体" w:eastAsia="黑体" w:cs="黑体"/>
                <w:b w:val="0"/>
                <w:bCs/>
                <w:kern w:val="0"/>
                <w:sz w:val="21"/>
                <w:szCs w:val="21"/>
                <w:highlight w:val="none"/>
                <w:lang w:val="en-US" w:eastAsia="zh-CN" w:bidi="ar-SA"/>
              </w:rPr>
              <w:t>表4-15   本项目污水产生量一览表</w:t>
            </w:r>
          </w:p>
          <w:tbl>
            <w:tblPr>
              <w:tblStyle w:val="22"/>
              <w:tblW w:w="4986" w:type="pct"/>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84"/>
              <w:gridCol w:w="2841"/>
              <w:gridCol w:w="2964"/>
            </w:tblGrid>
            <w:tr w14:paraId="7D766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1620" w:type="pct"/>
                  <w:tcBorders>
                    <w:tl2br w:val="nil"/>
                    <w:tr2bl w:val="nil"/>
                  </w:tcBorders>
                  <w:vAlign w:val="center"/>
                </w:tcPr>
                <w:p w14:paraId="23FF2344">
                  <w:pPr>
                    <w:pStyle w:val="26"/>
                    <w:jc w:val="center"/>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污染物指标</w:t>
                  </w:r>
                </w:p>
              </w:tc>
              <w:tc>
                <w:tcPr>
                  <w:tcW w:w="1653" w:type="pct"/>
                  <w:tcBorders>
                    <w:tl2br w:val="nil"/>
                    <w:tr2bl w:val="nil"/>
                  </w:tcBorders>
                  <w:vAlign w:val="center"/>
                </w:tcPr>
                <w:p w14:paraId="0515616C">
                  <w:pPr>
                    <w:pStyle w:val="26"/>
                    <w:jc w:val="center"/>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日产生量</w:t>
                  </w:r>
                </w:p>
              </w:tc>
              <w:tc>
                <w:tcPr>
                  <w:tcW w:w="1725" w:type="pct"/>
                  <w:tcBorders>
                    <w:tl2br w:val="nil"/>
                    <w:tr2bl w:val="nil"/>
                  </w:tcBorders>
                  <w:vAlign w:val="center"/>
                </w:tcPr>
                <w:p w14:paraId="1FE27921">
                  <w:pPr>
                    <w:pStyle w:val="26"/>
                    <w:jc w:val="center"/>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年产生量</w:t>
                  </w:r>
                </w:p>
              </w:tc>
            </w:tr>
            <w:tr w14:paraId="4EA68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1620" w:type="pct"/>
                  <w:tcBorders>
                    <w:bottom w:val="single" w:color="auto" w:sz="4" w:space="0"/>
                    <w:tl2br w:val="nil"/>
                    <w:tr2bl w:val="nil"/>
                  </w:tcBorders>
                  <w:vAlign w:val="center"/>
                </w:tcPr>
                <w:p w14:paraId="2FFC2D26">
                  <w:pPr>
                    <w:pStyle w:val="26"/>
                    <w:jc w:val="center"/>
                    <w:rPr>
                      <w:rFonts w:hint="default" w:ascii="Times New Roman" w:hAnsi="Times New Roman" w:eastAsia="宋体" w:cs="Times New Roman"/>
                      <w:sz w:val="21"/>
                      <w:szCs w:val="21"/>
                      <w:highlight w:val="yellow"/>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工业废水量</w:t>
                  </w:r>
                </w:p>
              </w:tc>
              <w:tc>
                <w:tcPr>
                  <w:tcW w:w="1653" w:type="pct"/>
                  <w:tcBorders>
                    <w:bottom w:val="single" w:color="auto" w:sz="4" w:space="0"/>
                    <w:tl2br w:val="nil"/>
                    <w:tr2bl w:val="nil"/>
                  </w:tcBorders>
                  <w:shd w:val="clear" w:color="auto" w:fill="auto"/>
                  <w:vAlign w:val="center"/>
                </w:tcPr>
                <w:p w14:paraId="5352DE0C">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152m</w:t>
                  </w:r>
                  <w:r>
                    <w:rPr>
                      <w:rFonts w:hint="eastAsia" w:ascii="Times New Roman" w:hAnsi="Times New Roman" w:eastAsia="宋体" w:cs="Times New Roman"/>
                      <w:sz w:val="21"/>
                      <w:szCs w:val="21"/>
                      <w:highlight w:val="none"/>
                      <w:vertAlign w:val="superscript"/>
                      <w:lang w:val="en-US" w:eastAsia="zh-CN" w:bidi="ar-SA"/>
                    </w:rPr>
                    <w:t>3</w:t>
                  </w:r>
                </w:p>
              </w:tc>
              <w:tc>
                <w:tcPr>
                  <w:tcW w:w="1725" w:type="pct"/>
                  <w:tcBorders>
                    <w:bottom w:val="single" w:color="auto" w:sz="4" w:space="0"/>
                    <w:tl2br w:val="nil"/>
                    <w:tr2bl w:val="nil"/>
                  </w:tcBorders>
                  <w:shd w:val="clear" w:color="auto" w:fill="auto"/>
                  <w:vAlign w:val="center"/>
                </w:tcPr>
                <w:p w14:paraId="14E88891">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shd w:val="clear"/>
                      <w:vertAlign w:val="baseline"/>
                      <w:lang w:val="en-US" w:eastAsia="zh-CN" w:bidi="ar-SA"/>
                    </w:rPr>
                    <w:t>45600m</w:t>
                  </w:r>
                  <w:r>
                    <w:rPr>
                      <w:rFonts w:hint="eastAsia" w:ascii="Times New Roman" w:hAnsi="Times New Roman" w:eastAsia="宋体" w:cs="Times New Roman"/>
                      <w:sz w:val="21"/>
                      <w:szCs w:val="21"/>
                      <w:highlight w:val="none"/>
                      <w:shd w:val="clear"/>
                      <w:vertAlign w:val="superscript"/>
                      <w:lang w:val="en-US" w:eastAsia="zh-CN" w:bidi="ar-SA"/>
                    </w:rPr>
                    <w:t>3</w:t>
                  </w:r>
                </w:p>
              </w:tc>
            </w:tr>
            <w:tr w14:paraId="3D825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620" w:type="pct"/>
                  <w:tcBorders>
                    <w:top w:val="single" w:color="auto" w:sz="4" w:space="0"/>
                    <w:left w:val="single" w:color="auto" w:sz="4" w:space="0"/>
                    <w:bottom w:val="single" w:color="auto" w:sz="4" w:space="0"/>
                    <w:tl2br w:val="nil"/>
                    <w:tr2bl w:val="nil"/>
                  </w:tcBorders>
                  <w:shd w:val="clear" w:color="auto" w:fill="auto"/>
                  <w:vAlign w:val="center"/>
                </w:tcPr>
                <w:p w14:paraId="436FFB82">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shd w:val="clear"/>
                      <w:vertAlign w:val="baseline"/>
                      <w:lang w:val="en-US" w:eastAsia="zh-CN" w:bidi="ar-SA"/>
                    </w:rPr>
                    <w:t>COD</w:t>
                  </w:r>
                  <w:r>
                    <w:rPr>
                      <w:rFonts w:hint="eastAsia" w:ascii="Times New Roman" w:hAnsi="Times New Roman" w:eastAsia="宋体" w:cs="Times New Roman"/>
                      <w:sz w:val="21"/>
                      <w:szCs w:val="21"/>
                      <w:highlight w:val="none"/>
                      <w:shd w:val="clear"/>
                      <w:vertAlign w:val="subscript"/>
                      <w:lang w:val="en-US" w:eastAsia="zh-CN" w:bidi="ar-SA"/>
                    </w:rPr>
                    <w:t>cr</w:t>
                  </w:r>
                </w:p>
              </w:tc>
              <w:tc>
                <w:tcPr>
                  <w:tcW w:w="1653" w:type="pct"/>
                  <w:tcBorders>
                    <w:top w:val="single" w:color="auto" w:sz="4" w:space="0"/>
                    <w:bottom w:val="single" w:color="auto" w:sz="4" w:space="0"/>
                    <w:tl2br w:val="nil"/>
                    <w:tr2bl w:val="nil"/>
                  </w:tcBorders>
                  <w:shd w:val="clear" w:color="auto" w:fill="auto"/>
                  <w:vAlign w:val="center"/>
                </w:tcPr>
                <w:p w14:paraId="7E89FD27">
                  <w:pPr>
                    <w:pStyle w:val="26"/>
                    <w:jc w:val="center"/>
                    <w:rPr>
                      <w:rFonts w:hint="default"/>
                      <w:highlight w:val="none"/>
                      <w:lang w:val="en-US" w:eastAsia="zh-CN" w:bidi="ar-SA"/>
                    </w:rPr>
                  </w:pPr>
                  <w:r>
                    <w:rPr>
                      <w:rFonts w:hint="eastAsia" w:ascii="Times New Roman" w:hAnsi="Times New Roman" w:cs="Times New Roman"/>
                      <w:sz w:val="21"/>
                      <w:szCs w:val="21"/>
                      <w:highlight w:val="none"/>
                      <w:lang w:val="en-US" w:eastAsia="zh-CN" w:bidi="ar-SA"/>
                    </w:rPr>
                    <w:t>48.06</w:t>
                  </w:r>
                  <w:r>
                    <w:rPr>
                      <w:rFonts w:hint="default" w:ascii="Times New Roman" w:hAnsi="Times New Roman" w:cs="Times New Roman"/>
                      <w:sz w:val="21"/>
                      <w:szCs w:val="21"/>
                      <w:highlight w:val="none"/>
                      <w:lang w:val="en-US" w:eastAsia="zh-CN" w:bidi="ar-SA"/>
                    </w:rPr>
                    <w:t>kg</w:t>
                  </w:r>
                </w:p>
              </w:tc>
              <w:tc>
                <w:tcPr>
                  <w:tcW w:w="1725" w:type="pct"/>
                  <w:tcBorders>
                    <w:top w:val="single" w:color="auto" w:sz="4" w:space="0"/>
                    <w:bottom w:val="single" w:color="auto" w:sz="4" w:space="0"/>
                    <w:right w:val="single" w:color="auto" w:sz="4" w:space="0"/>
                    <w:tl2br w:val="nil"/>
                    <w:tr2bl w:val="nil"/>
                  </w:tcBorders>
                  <w:shd w:val="clear" w:color="auto" w:fill="auto"/>
                  <w:vAlign w:val="center"/>
                </w:tcPr>
                <w:p w14:paraId="637AB55E">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14.418t</w:t>
                  </w:r>
                </w:p>
              </w:tc>
            </w:tr>
            <w:tr w14:paraId="31DE4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20" w:type="pct"/>
                  <w:tcBorders>
                    <w:top w:val="single" w:color="auto" w:sz="4" w:space="0"/>
                    <w:tl2br w:val="nil"/>
                    <w:tr2bl w:val="nil"/>
                  </w:tcBorders>
                  <w:shd w:val="clear" w:color="auto" w:fill="auto"/>
                  <w:vAlign w:val="center"/>
                </w:tcPr>
                <w:p w14:paraId="31EF6402">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总磷</w:t>
                  </w:r>
                </w:p>
              </w:tc>
              <w:tc>
                <w:tcPr>
                  <w:tcW w:w="1653" w:type="pct"/>
                  <w:tcBorders>
                    <w:top w:val="single" w:color="auto" w:sz="4" w:space="0"/>
                    <w:tl2br w:val="nil"/>
                    <w:tr2bl w:val="nil"/>
                  </w:tcBorders>
                  <w:vAlign w:val="center"/>
                </w:tcPr>
                <w:p w14:paraId="17F1F70A">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1.1kg</w:t>
                  </w:r>
                </w:p>
              </w:tc>
              <w:tc>
                <w:tcPr>
                  <w:tcW w:w="1725" w:type="pct"/>
                  <w:tcBorders>
                    <w:top w:val="single" w:color="auto" w:sz="4" w:space="0"/>
                    <w:tl2br w:val="nil"/>
                    <w:tr2bl w:val="nil"/>
                  </w:tcBorders>
                  <w:vAlign w:val="center"/>
                </w:tcPr>
                <w:p w14:paraId="049A7C7E">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0.33t</w:t>
                  </w:r>
                </w:p>
              </w:tc>
            </w:tr>
            <w:tr w14:paraId="75542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20" w:type="pct"/>
                  <w:tcBorders>
                    <w:tl2br w:val="nil"/>
                    <w:tr2bl w:val="nil"/>
                  </w:tcBorders>
                  <w:shd w:val="clear" w:color="auto" w:fill="auto"/>
                  <w:vAlign w:val="center"/>
                </w:tcPr>
                <w:p w14:paraId="028ED50D">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石油类</w:t>
                  </w:r>
                </w:p>
              </w:tc>
              <w:tc>
                <w:tcPr>
                  <w:tcW w:w="1653" w:type="pct"/>
                  <w:tcBorders>
                    <w:tl2br w:val="nil"/>
                    <w:tr2bl w:val="nil"/>
                  </w:tcBorders>
                  <w:vAlign w:val="center"/>
                </w:tcPr>
                <w:p w14:paraId="165350F5">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1kg</w:t>
                  </w:r>
                </w:p>
              </w:tc>
              <w:tc>
                <w:tcPr>
                  <w:tcW w:w="1725" w:type="pct"/>
                  <w:tcBorders>
                    <w:tl2br w:val="nil"/>
                    <w:tr2bl w:val="nil"/>
                  </w:tcBorders>
                  <w:vAlign w:val="center"/>
                </w:tcPr>
                <w:p w14:paraId="075E602B">
                  <w:pPr>
                    <w:pStyle w:val="26"/>
                    <w:jc w:val="center"/>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0.3t</w:t>
                  </w:r>
                </w:p>
              </w:tc>
            </w:tr>
          </w:tbl>
          <w:p w14:paraId="2DB55B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default" w:ascii="Times New Roman" w:hAnsi="Times New Roman" w:eastAsia="宋体" w:cs="Times New Roman"/>
                <w:color w:val="000000"/>
                <w:spacing w:val="0"/>
                <w:kern w:val="2"/>
                <w:sz w:val="24"/>
                <w:szCs w:val="24"/>
                <w:highlight w:val="none"/>
                <w:lang w:val="en-US" w:eastAsia="zh-CN"/>
              </w:rPr>
              <w:t>主要为</w:t>
            </w:r>
            <w:r>
              <w:rPr>
                <w:rFonts w:hint="eastAsia" w:cs="Times New Roman"/>
                <w:color w:val="auto"/>
                <w:spacing w:val="0"/>
                <w:kern w:val="2"/>
                <w:sz w:val="24"/>
                <w:szCs w:val="24"/>
                <w:highlight w:val="none"/>
                <w:lang w:val="en-US" w:eastAsia="zh-CN"/>
              </w:rPr>
              <w:t>循环水池、水洗产生的</w:t>
            </w:r>
            <w:r>
              <w:rPr>
                <w:rFonts w:hint="eastAsia" w:ascii="Times New Roman" w:hAnsi="Times New Roman" w:eastAsia="宋体" w:cs="Times New Roman"/>
                <w:color w:val="auto"/>
                <w:spacing w:val="0"/>
                <w:kern w:val="2"/>
                <w:sz w:val="24"/>
                <w:szCs w:val="24"/>
                <w:highlight w:val="none"/>
                <w:lang w:val="en-US" w:eastAsia="zh-CN"/>
              </w:rPr>
              <w:t>废</w:t>
            </w:r>
            <w:r>
              <w:rPr>
                <w:rFonts w:hint="eastAsia" w:ascii="Times New Roman" w:hAnsi="Times New Roman" w:eastAsia="宋体" w:cs="Times New Roman"/>
                <w:color w:val="auto"/>
                <w:spacing w:val="0"/>
                <w:kern w:val="2"/>
                <w:sz w:val="24"/>
                <w:szCs w:val="24"/>
                <w:lang w:val="en-US" w:eastAsia="zh-CN"/>
              </w:rPr>
              <w:t>水排放至</w:t>
            </w:r>
            <w:r>
              <w:rPr>
                <w:rFonts w:hint="eastAsia" w:ascii="宋体" w:hAnsi="宋体" w:eastAsia="宋体" w:cs="宋体"/>
                <w:color w:val="auto"/>
                <w:kern w:val="2"/>
                <w:sz w:val="24"/>
                <w:szCs w:val="24"/>
                <w:vertAlign w:val="baseline"/>
                <w:lang w:val="en-US" w:eastAsia="zh-CN"/>
              </w:rPr>
              <w:t>“</w:t>
            </w:r>
            <w:r>
              <w:rPr>
                <w:rFonts w:hint="eastAsia" w:ascii="宋体" w:hAnsi="宋体" w:cs="宋体"/>
                <w:color w:val="auto"/>
                <w:kern w:val="2"/>
                <w:sz w:val="24"/>
                <w:szCs w:val="24"/>
                <w:vertAlign w:val="baseline"/>
                <w:lang w:val="en-US" w:eastAsia="zh-CN"/>
              </w:rPr>
              <w:t>隔油+调节+二级气浮+SBR</w:t>
            </w:r>
            <w:r>
              <w:rPr>
                <w:rFonts w:hint="eastAsia" w:ascii="宋体" w:hAnsi="宋体" w:eastAsia="宋体" w:cs="宋体"/>
                <w:color w:val="auto"/>
                <w:kern w:val="2"/>
                <w:sz w:val="24"/>
                <w:szCs w:val="24"/>
                <w:vertAlign w:val="baseline"/>
                <w:lang w:val="en-US" w:eastAsia="zh-CN"/>
              </w:rPr>
              <w:t>”工艺</w:t>
            </w:r>
            <w:r>
              <w:rPr>
                <w:rFonts w:hint="eastAsia" w:ascii="宋体" w:hAnsi="宋体" w:cs="宋体"/>
                <w:color w:val="auto"/>
                <w:kern w:val="2"/>
                <w:sz w:val="24"/>
                <w:szCs w:val="24"/>
                <w:vertAlign w:val="baseline"/>
                <w:lang w:val="en-US" w:eastAsia="zh-CN"/>
              </w:rPr>
              <w:t>污水处理站处理</w:t>
            </w:r>
            <w:r>
              <w:rPr>
                <w:rFonts w:hint="eastAsia" w:ascii="Times New Roman" w:hAnsi="Times New Roman" w:eastAsia="宋体" w:cs="Times New Roman"/>
                <w:color w:val="auto"/>
                <w:spacing w:val="0"/>
                <w:kern w:val="2"/>
                <w:sz w:val="24"/>
                <w:szCs w:val="24"/>
                <w:lang w:val="en-US" w:eastAsia="zh-CN"/>
              </w:rPr>
              <w:t>需</w:t>
            </w:r>
            <w:r>
              <w:rPr>
                <w:rFonts w:hint="default" w:ascii="Times New Roman" w:hAnsi="Times New Roman" w:eastAsia="宋体" w:cs="Times New Roman"/>
                <w:color w:val="auto"/>
                <w:kern w:val="2"/>
                <w:sz w:val="24"/>
                <w:szCs w:val="24"/>
                <w:vertAlign w:val="baseline"/>
                <w:lang w:val="en-US" w:eastAsia="zh-CN"/>
              </w:rPr>
              <w:t>达</w:t>
            </w:r>
            <w:r>
              <w:rPr>
                <w:rFonts w:hint="default" w:ascii="Times New Roman" w:hAnsi="Times New Roman" w:eastAsia="宋体" w:cs="Times New Roman"/>
                <w:color w:val="auto"/>
                <w:kern w:val="2"/>
                <w:sz w:val="24"/>
                <w:szCs w:val="24"/>
                <w:lang w:val="en-US" w:eastAsia="zh-CN"/>
              </w:rPr>
              <w:t>到</w:t>
            </w:r>
            <w:r>
              <w:rPr>
                <w:rFonts w:hint="default" w:ascii="Times New Roman" w:hAnsi="Times New Roman" w:eastAsia="宋体" w:cs="Times New Roman"/>
                <w:color w:val="auto"/>
                <w:kern w:val="2"/>
                <w:sz w:val="24"/>
                <w:szCs w:val="24"/>
              </w:rPr>
              <w:t>《污水综合排放标准》（GB8978-1996）</w:t>
            </w:r>
            <w:r>
              <w:rPr>
                <w:rFonts w:hint="eastAsia" w:cs="Times New Roman"/>
                <w:color w:val="auto"/>
                <w:kern w:val="2"/>
                <w:sz w:val="24"/>
                <w:szCs w:val="24"/>
                <w:lang w:val="en-US" w:eastAsia="zh-CN"/>
              </w:rPr>
              <w:t>三</w:t>
            </w:r>
            <w:r>
              <w:rPr>
                <w:rFonts w:hint="default" w:ascii="Times New Roman" w:hAnsi="Times New Roman" w:eastAsia="宋体" w:cs="Times New Roman"/>
                <w:color w:val="auto"/>
                <w:kern w:val="2"/>
                <w:sz w:val="24"/>
                <w:szCs w:val="24"/>
              </w:rPr>
              <w:t>级标准</w:t>
            </w:r>
            <w:r>
              <w:rPr>
                <w:rFonts w:hint="eastAsia" w:ascii="Times New Roman" w:hAnsi="Times New Roman" w:eastAsia="宋体" w:cs="Times New Roman"/>
                <w:color w:val="auto"/>
                <w:spacing w:val="0"/>
                <w:kern w:val="2"/>
                <w:sz w:val="24"/>
                <w:szCs w:val="24"/>
                <w:lang w:val="en-US" w:eastAsia="zh-CN"/>
              </w:rPr>
              <w:t>后</w:t>
            </w:r>
            <w:r>
              <w:rPr>
                <w:rFonts w:hint="eastAsia" w:cs="Times New Roman"/>
                <w:color w:val="auto"/>
                <w:spacing w:val="0"/>
                <w:kern w:val="2"/>
                <w:sz w:val="24"/>
                <w:szCs w:val="24"/>
                <w:lang w:val="en-US" w:eastAsia="zh-CN"/>
              </w:rPr>
              <w:t>排入中水池内，排入园区管网内</w:t>
            </w:r>
            <w:r>
              <w:rPr>
                <w:rFonts w:hint="eastAsia" w:ascii="Times New Roman" w:hAnsi="Times New Roman" w:eastAsia="宋体" w:cs="Times New Roman"/>
                <w:color w:val="auto"/>
                <w:spacing w:val="0"/>
                <w:kern w:val="2"/>
                <w:sz w:val="24"/>
                <w:szCs w:val="24"/>
                <w:lang w:val="en-US" w:eastAsia="zh-CN"/>
              </w:rPr>
              <w:t>最终</w:t>
            </w:r>
            <w:r>
              <w:rPr>
                <w:rFonts w:hint="eastAsia" w:ascii="Times New Roman" w:hAnsi="Times New Roman" w:eastAsia="宋体" w:cs="Times New Roman"/>
                <w:color w:val="auto"/>
                <w:spacing w:val="0"/>
                <w:kern w:val="2"/>
                <w:sz w:val="24"/>
                <w:szCs w:val="24"/>
                <w:highlight w:val="none"/>
                <w:lang w:val="en-US" w:eastAsia="zh-CN"/>
              </w:rPr>
              <w:t>由</w:t>
            </w:r>
            <w:r>
              <w:rPr>
                <w:rFonts w:hint="eastAsia" w:cs="Times New Roman"/>
                <w:sz w:val="24"/>
                <w:lang w:val="en-US" w:eastAsia="zh-CN"/>
              </w:rPr>
              <w:t>轮台县</w:t>
            </w:r>
            <w:r>
              <w:rPr>
                <w:rFonts w:hint="default" w:ascii="Times New Roman" w:hAnsi="Times New Roman" w:eastAsia="宋体" w:cs="Times New Roman"/>
                <w:sz w:val="24"/>
              </w:rPr>
              <w:t>污水处理厂</w:t>
            </w:r>
            <w:r>
              <w:rPr>
                <w:rFonts w:hint="eastAsia" w:ascii="Times New Roman" w:hAnsi="Times New Roman" w:eastAsia="宋体" w:cs="Times New Roman"/>
                <w:color w:val="auto"/>
                <w:spacing w:val="0"/>
                <w:kern w:val="2"/>
                <w:sz w:val="24"/>
                <w:szCs w:val="24"/>
                <w:lang w:val="en-US" w:eastAsia="zh-CN"/>
              </w:rPr>
              <w:t>处理</w:t>
            </w:r>
            <w:r>
              <w:rPr>
                <w:rFonts w:hint="eastAsia" w:cs="Times New Roman"/>
                <w:color w:val="auto"/>
                <w:spacing w:val="0"/>
                <w:kern w:val="2"/>
                <w:sz w:val="24"/>
                <w:szCs w:val="24"/>
                <w:lang w:val="en-US" w:eastAsia="zh-CN"/>
              </w:rPr>
              <w:t>。</w:t>
            </w:r>
          </w:p>
          <w:p w14:paraId="2D5F5034">
            <w:pPr>
              <w:pStyle w:val="2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eastAsia="宋体" w:cs="Times New Roman"/>
                <w:b/>
                <w:bCs/>
                <w:color w:val="auto"/>
                <w:spacing w:val="0"/>
                <w:kern w:val="2"/>
                <w:sz w:val="24"/>
                <w:szCs w:val="24"/>
                <w:lang w:val="en-US" w:eastAsia="zh-CN"/>
              </w:rPr>
            </w:pPr>
            <w:r>
              <w:rPr>
                <w:rFonts w:hint="eastAsia" w:ascii="Times New Roman" w:hAnsi="Times New Roman" w:eastAsia="宋体" w:cs="Times New Roman"/>
                <w:b/>
                <w:bCs/>
                <w:color w:val="auto"/>
                <w:spacing w:val="0"/>
                <w:kern w:val="2"/>
                <w:sz w:val="24"/>
                <w:szCs w:val="24"/>
                <w:lang w:val="en-US" w:eastAsia="zh-CN"/>
              </w:rPr>
              <w:t>2.3 本项目污水处理设施可行性分析</w:t>
            </w:r>
          </w:p>
          <w:p w14:paraId="2964AFB7">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color w:val="auto"/>
                <w:spacing w:val="0"/>
                <w:kern w:val="2"/>
                <w:sz w:val="24"/>
                <w:szCs w:val="24"/>
                <w:lang w:val="en-US" w:eastAsia="zh-CN"/>
              </w:rPr>
              <w:t>对照</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排污许可证申请与核发技术规范 农副食品加工工业—饲料加工、植物油加工工业</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HJ 1110—2020</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中“附录B”废水污染防治可行性技术参考表，本项目污水处理设施可行性见表4-16。</w:t>
            </w:r>
          </w:p>
          <w:p w14:paraId="396A8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黑体" w:eastAsia="黑体" w:cs="黑体"/>
                <w:b w:val="0"/>
                <w:bCs/>
                <w:kern w:val="0"/>
                <w:sz w:val="21"/>
                <w:szCs w:val="21"/>
                <w:highlight w:val="none"/>
                <w:lang w:val="en-US" w:eastAsia="zh-CN" w:bidi="ar-SA"/>
              </w:rPr>
            </w:pPr>
            <w:r>
              <w:rPr>
                <w:rFonts w:hint="default" w:ascii="黑体" w:hAnsi="黑体" w:eastAsia="黑体" w:cs="黑体"/>
                <w:b w:val="0"/>
                <w:bCs/>
                <w:kern w:val="0"/>
                <w:sz w:val="21"/>
                <w:szCs w:val="21"/>
                <w:highlight w:val="none"/>
                <w:lang w:val="en-US" w:eastAsia="zh-CN" w:bidi="ar-SA"/>
              </w:rPr>
              <w:t>表4-1</w:t>
            </w:r>
            <w:r>
              <w:rPr>
                <w:rFonts w:hint="eastAsia" w:ascii="黑体" w:hAnsi="黑体" w:eastAsia="黑体" w:cs="黑体"/>
                <w:b w:val="0"/>
                <w:bCs/>
                <w:kern w:val="0"/>
                <w:sz w:val="21"/>
                <w:szCs w:val="21"/>
                <w:highlight w:val="none"/>
                <w:lang w:val="en-US" w:eastAsia="zh-CN" w:bidi="ar-SA"/>
              </w:rPr>
              <w:t>6</w:t>
            </w:r>
            <w:r>
              <w:rPr>
                <w:rFonts w:hint="default" w:ascii="黑体" w:hAnsi="黑体" w:eastAsia="黑体" w:cs="黑体"/>
                <w:b w:val="0"/>
                <w:bCs/>
                <w:kern w:val="0"/>
                <w:sz w:val="21"/>
                <w:szCs w:val="21"/>
                <w:highlight w:val="none"/>
                <w:lang w:val="en-US" w:eastAsia="zh-CN" w:bidi="ar-SA"/>
              </w:rPr>
              <w:t xml:space="preserve">  本项目污水处理设施可行性分析</w:t>
            </w:r>
          </w:p>
          <w:tbl>
            <w:tblPr>
              <w:tblStyle w:val="22"/>
              <w:tblW w:w="4999"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58"/>
              <w:gridCol w:w="1358"/>
              <w:gridCol w:w="1358"/>
              <w:gridCol w:w="1434"/>
              <w:gridCol w:w="1282"/>
              <w:gridCol w:w="1823"/>
            </w:tblGrid>
            <w:tr w14:paraId="11616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8" w:type="pct"/>
                  <w:tcBorders>
                    <w:tl2br w:val="nil"/>
                    <w:tr2bl w:val="nil"/>
                  </w:tcBorders>
                  <w:vAlign w:val="center"/>
                </w:tcPr>
                <w:p w14:paraId="2EAB8C3D">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废水类别</w:t>
                  </w:r>
                </w:p>
              </w:tc>
              <w:tc>
                <w:tcPr>
                  <w:tcW w:w="788" w:type="pct"/>
                  <w:tcBorders>
                    <w:tl2br w:val="nil"/>
                    <w:tr2bl w:val="nil"/>
                  </w:tcBorders>
                  <w:vAlign w:val="center"/>
                </w:tcPr>
                <w:p w14:paraId="3AEF4734">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污染种类</w:t>
                  </w:r>
                </w:p>
              </w:tc>
              <w:tc>
                <w:tcPr>
                  <w:tcW w:w="788" w:type="pct"/>
                  <w:tcBorders>
                    <w:tl2br w:val="nil"/>
                    <w:tr2bl w:val="nil"/>
                  </w:tcBorders>
                  <w:vAlign w:val="center"/>
                </w:tcPr>
                <w:p w14:paraId="32E64023">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排放去向</w:t>
                  </w:r>
                </w:p>
              </w:tc>
              <w:tc>
                <w:tcPr>
                  <w:tcW w:w="832" w:type="pct"/>
                  <w:tcBorders>
                    <w:tl2br w:val="nil"/>
                    <w:tr2bl w:val="nil"/>
                  </w:tcBorders>
                  <w:vAlign w:val="center"/>
                </w:tcPr>
                <w:p w14:paraId="4EEA1B32">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可行性技术</w:t>
                  </w:r>
                </w:p>
              </w:tc>
              <w:tc>
                <w:tcPr>
                  <w:tcW w:w="744" w:type="pct"/>
                  <w:tcBorders>
                    <w:tl2br w:val="nil"/>
                    <w:tr2bl w:val="nil"/>
                  </w:tcBorders>
                  <w:vAlign w:val="center"/>
                </w:tcPr>
                <w:p w14:paraId="634C7000">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本项目工艺</w:t>
                  </w:r>
                </w:p>
              </w:tc>
              <w:tc>
                <w:tcPr>
                  <w:tcW w:w="1058" w:type="pct"/>
                  <w:tcBorders>
                    <w:tl2br w:val="nil"/>
                    <w:tr2bl w:val="nil"/>
                  </w:tcBorders>
                  <w:vAlign w:val="center"/>
                </w:tcPr>
                <w:p w14:paraId="39AD9399">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ascii="Times New Roman" w:hAnsi="Times New Roman" w:eastAsia="宋体" w:cs="Times New Roman"/>
                      <w:b w:val="0"/>
                      <w:bCs w:val="0"/>
                      <w:color w:val="auto"/>
                      <w:spacing w:val="0"/>
                      <w:kern w:val="2"/>
                      <w:sz w:val="21"/>
                      <w:szCs w:val="21"/>
                      <w:vertAlign w:val="baseline"/>
                      <w:lang w:val="en-US" w:eastAsia="zh-CN" w:bidi="ar-SA"/>
                    </w:rPr>
                    <w:t>是否可行</w:t>
                  </w:r>
                </w:p>
              </w:tc>
            </w:tr>
            <w:tr w14:paraId="4B4CD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8" w:hRule="atLeast"/>
              </w:trPr>
              <w:tc>
                <w:tcPr>
                  <w:tcW w:w="788" w:type="pct"/>
                  <w:tcBorders>
                    <w:tl2br w:val="nil"/>
                    <w:tr2bl w:val="nil"/>
                  </w:tcBorders>
                  <w:vAlign w:val="center"/>
                </w:tcPr>
                <w:p w14:paraId="78CEF6BF">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生活污水</w:t>
                  </w:r>
                </w:p>
              </w:tc>
              <w:tc>
                <w:tcPr>
                  <w:tcW w:w="788" w:type="pct"/>
                  <w:vMerge w:val="restart"/>
                  <w:tcBorders>
                    <w:tl2br w:val="nil"/>
                    <w:tr2bl w:val="nil"/>
                  </w:tcBorders>
                  <w:vAlign w:val="center"/>
                </w:tcPr>
                <w:p w14:paraId="030C7AD0">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pH值、悬浮物、BOD</w:t>
                  </w:r>
                  <w:r>
                    <w:rPr>
                      <w:rFonts w:hint="default" w:ascii="Times New Roman" w:hAnsi="Times New Roman" w:eastAsia="宋体" w:cs="Times New Roman"/>
                      <w:color w:val="auto"/>
                      <w:spacing w:val="0"/>
                      <w:kern w:val="2"/>
                      <w:sz w:val="21"/>
                      <w:szCs w:val="21"/>
                      <w:vertAlign w:val="subscript"/>
                      <w:lang w:val="en-US" w:eastAsia="zh-CN" w:bidi="ar-SA"/>
                    </w:rPr>
                    <w:t>5</w:t>
                  </w:r>
                  <w:r>
                    <w:rPr>
                      <w:rFonts w:hint="default" w:ascii="Times New Roman" w:hAnsi="Times New Roman" w:eastAsia="宋体" w:cs="Times New Roman"/>
                      <w:color w:val="auto"/>
                      <w:spacing w:val="0"/>
                      <w:kern w:val="2"/>
                      <w:sz w:val="21"/>
                      <w:szCs w:val="21"/>
                      <w:vertAlign w:val="baseline"/>
                      <w:lang w:val="en-US" w:eastAsia="zh-CN" w:bidi="ar-SA"/>
                    </w:rPr>
                    <w:t>、COD</w:t>
                  </w:r>
                  <w:r>
                    <w:rPr>
                      <w:rFonts w:hint="default" w:ascii="Times New Roman" w:hAnsi="Times New Roman" w:eastAsia="宋体" w:cs="Times New Roman"/>
                      <w:color w:val="auto"/>
                      <w:spacing w:val="0"/>
                      <w:kern w:val="2"/>
                      <w:sz w:val="21"/>
                      <w:szCs w:val="21"/>
                      <w:vertAlign w:val="subscript"/>
                      <w:lang w:val="en-US" w:eastAsia="zh-CN" w:bidi="ar-SA"/>
                    </w:rPr>
                    <w:t>cr</w:t>
                  </w:r>
                  <w:r>
                    <w:rPr>
                      <w:rFonts w:hint="default" w:ascii="Times New Roman" w:hAnsi="Times New Roman" w:eastAsia="宋体" w:cs="Times New Roman"/>
                      <w:color w:val="auto"/>
                      <w:spacing w:val="0"/>
                      <w:kern w:val="2"/>
                      <w:sz w:val="21"/>
                      <w:szCs w:val="21"/>
                      <w:vertAlign w:val="baseline"/>
                      <w:lang w:val="en-US" w:eastAsia="zh-CN" w:bidi="ar-SA"/>
                    </w:rPr>
                    <w:t>、氨氮、总磷、动植物油</w:t>
                  </w:r>
                </w:p>
              </w:tc>
              <w:tc>
                <w:tcPr>
                  <w:tcW w:w="788" w:type="pct"/>
                  <w:vMerge w:val="restart"/>
                  <w:tcBorders>
                    <w:tl2br w:val="nil"/>
                    <w:tr2bl w:val="nil"/>
                  </w:tcBorders>
                  <w:vAlign w:val="center"/>
                </w:tcPr>
                <w:p w14:paraId="557B3DD4">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间接排放</w:t>
                  </w:r>
                  <w:r>
                    <w:rPr>
                      <w:rFonts w:hint="default" w:ascii="Times New Roman" w:hAnsi="Times New Roman" w:eastAsia="宋体" w:cs="Times New Roman"/>
                      <w:color w:val="auto"/>
                      <w:spacing w:val="0"/>
                      <w:kern w:val="2"/>
                      <w:sz w:val="21"/>
                      <w:szCs w:val="21"/>
                      <w:vertAlign w:val="superscript"/>
                      <w:lang w:val="en-US" w:eastAsia="zh-CN" w:bidi="ar-SA"/>
                    </w:rPr>
                    <w:t>c</w:t>
                  </w:r>
                </w:p>
              </w:tc>
              <w:tc>
                <w:tcPr>
                  <w:tcW w:w="832" w:type="pct"/>
                  <w:vMerge w:val="restart"/>
                  <w:tcBorders>
                    <w:tl2br w:val="nil"/>
                    <w:tr2bl w:val="nil"/>
                  </w:tcBorders>
                  <w:vAlign w:val="center"/>
                </w:tcPr>
                <w:p w14:paraId="39C2920B">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①预处理、气浮、隔油</w:t>
                  </w:r>
                </w:p>
                <w:p w14:paraId="29B61EF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0"/>
                      <w:kern w:val="2"/>
                      <w:sz w:val="21"/>
                      <w:szCs w:val="21"/>
                      <w:vertAlign w:val="baseline"/>
                      <w:lang w:val="en-US" w:eastAsia="zh-CN"/>
                    </w:rPr>
                    <w:t>②生化处理、活性污泥法、生物膜、</w:t>
                  </w:r>
                  <w:r>
                    <w:rPr>
                      <w:rFonts w:hint="eastAsia" w:cs="Times New Roman"/>
                      <w:color w:val="auto"/>
                      <w:spacing w:val="0"/>
                      <w:kern w:val="2"/>
                      <w:sz w:val="21"/>
                      <w:szCs w:val="21"/>
                      <w:vertAlign w:val="baseline"/>
                      <w:lang w:val="en-US" w:eastAsia="zh-CN"/>
                    </w:rPr>
                    <w:t>好氧、</w:t>
                  </w:r>
                  <w:r>
                    <w:rPr>
                      <w:rFonts w:hint="default" w:ascii="Times New Roman" w:hAnsi="Times New Roman" w:eastAsia="宋体" w:cs="Times New Roman"/>
                      <w:color w:val="auto"/>
                      <w:spacing w:val="0"/>
                      <w:kern w:val="2"/>
                      <w:sz w:val="21"/>
                      <w:szCs w:val="21"/>
                      <w:vertAlign w:val="baseline"/>
                      <w:lang w:val="en-US" w:eastAsia="zh-CN"/>
                    </w:rPr>
                    <w:t>厌氧法</w:t>
                  </w:r>
                </w:p>
              </w:tc>
              <w:tc>
                <w:tcPr>
                  <w:tcW w:w="744" w:type="pct"/>
                  <w:vMerge w:val="restart"/>
                  <w:tcBorders>
                    <w:tl2br w:val="nil"/>
                    <w:tr2bl w:val="nil"/>
                  </w:tcBorders>
                  <w:vAlign w:val="center"/>
                </w:tcPr>
                <w:p w14:paraId="7AC5613B">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sz w:val="21"/>
                      <w:szCs w:val="21"/>
                      <w:lang w:val="en-US" w:eastAsia="zh-CN" w:bidi="ar-SA"/>
                    </w:rPr>
                    <w:t>本项目采用预处理、隔油、气浮、</w:t>
                  </w:r>
                  <w:r>
                    <w:rPr>
                      <w:rFonts w:hint="default" w:ascii="Times New Roman" w:hAnsi="Times New Roman" w:eastAsia="宋体" w:cs="Times New Roman"/>
                      <w:color w:val="auto"/>
                      <w:spacing w:val="0"/>
                      <w:kern w:val="2"/>
                      <w:sz w:val="21"/>
                      <w:szCs w:val="21"/>
                      <w:vertAlign w:val="baseline"/>
                      <w:lang w:val="en-US" w:eastAsia="zh-CN" w:bidi="ar-SA"/>
                    </w:rPr>
                    <w:t>活性污泥法</w:t>
                  </w:r>
                </w:p>
              </w:tc>
              <w:tc>
                <w:tcPr>
                  <w:tcW w:w="1058" w:type="pct"/>
                  <w:vMerge w:val="restart"/>
                  <w:tcBorders>
                    <w:tl2br w:val="nil"/>
                    <w:tr2bl w:val="nil"/>
                  </w:tcBorders>
                  <w:vAlign w:val="center"/>
                </w:tcPr>
                <w:p w14:paraId="1FB54D7B">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kern w:val="2"/>
                      <w:sz w:val="21"/>
                      <w:szCs w:val="21"/>
                      <w:vertAlign w:val="baseline"/>
                      <w:lang w:val="en-US" w:eastAsia="zh-CN" w:bidi="ar-SA"/>
                    </w:rPr>
                    <w:t>可行</w:t>
                  </w:r>
                </w:p>
              </w:tc>
            </w:tr>
            <w:tr w14:paraId="55433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88" w:type="pct"/>
                  <w:tcBorders>
                    <w:tl2br w:val="nil"/>
                    <w:tr2bl w:val="nil"/>
                  </w:tcBorders>
                  <w:vAlign w:val="center"/>
                </w:tcPr>
                <w:p w14:paraId="3DBB0008">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生产废水</w:t>
                  </w:r>
                </w:p>
              </w:tc>
              <w:tc>
                <w:tcPr>
                  <w:tcW w:w="788" w:type="pct"/>
                  <w:vMerge w:val="continue"/>
                  <w:tcBorders>
                    <w:tl2br w:val="nil"/>
                    <w:tr2bl w:val="nil"/>
                  </w:tcBorders>
                  <w:vAlign w:val="center"/>
                </w:tcPr>
                <w:p w14:paraId="554AFC44">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p>
              </w:tc>
              <w:tc>
                <w:tcPr>
                  <w:tcW w:w="788" w:type="pct"/>
                  <w:vMerge w:val="continue"/>
                  <w:tcBorders>
                    <w:tl2br w:val="nil"/>
                    <w:tr2bl w:val="nil"/>
                  </w:tcBorders>
                  <w:vAlign w:val="center"/>
                </w:tcPr>
                <w:p w14:paraId="5D83B30D">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p>
              </w:tc>
              <w:tc>
                <w:tcPr>
                  <w:tcW w:w="832" w:type="pct"/>
                  <w:vMerge w:val="continue"/>
                  <w:tcBorders>
                    <w:tl2br w:val="nil"/>
                    <w:tr2bl w:val="nil"/>
                  </w:tcBorders>
                  <w:vAlign w:val="center"/>
                </w:tcPr>
                <w:p w14:paraId="031EB2C6">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p>
              </w:tc>
              <w:tc>
                <w:tcPr>
                  <w:tcW w:w="744" w:type="pct"/>
                  <w:vMerge w:val="continue"/>
                  <w:tcBorders>
                    <w:tl2br w:val="nil"/>
                    <w:tr2bl w:val="nil"/>
                  </w:tcBorders>
                  <w:vAlign w:val="center"/>
                </w:tcPr>
                <w:p w14:paraId="63F7B9FA">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p>
              </w:tc>
              <w:tc>
                <w:tcPr>
                  <w:tcW w:w="1058" w:type="pct"/>
                  <w:vMerge w:val="continue"/>
                  <w:tcBorders>
                    <w:tl2br w:val="nil"/>
                    <w:tr2bl w:val="nil"/>
                  </w:tcBorders>
                  <w:vAlign w:val="center"/>
                </w:tcPr>
                <w:p w14:paraId="393C83BB">
                  <w:pPr>
                    <w:pStyle w:val="26"/>
                    <w:keepNext w:val="0"/>
                    <w:keepLines w:val="0"/>
                    <w:pageBreakBefore w:val="0"/>
                    <w:widowControl w:val="0"/>
                    <w:kinsoku/>
                    <w:wordWrap/>
                    <w:overflowPunct/>
                    <w:topLinePunct w:val="0"/>
                    <w:autoSpaceDE w:val="0"/>
                    <w:autoSpaceDN w:val="0"/>
                    <w:bidi w:val="0"/>
                    <w:adjustRightInd w:val="0"/>
                    <w:snapToGrid/>
                    <w:spacing w:beforeLines="0" w:afterLines="0" w:line="240" w:lineRule="auto"/>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p>
              </w:tc>
            </w:tr>
          </w:tbl>
          <w:p w14:paraId="63762A2B">
            <w:pPr>
              <w:spacing w:line="360" w:lineRule="auto"/>
              <w:ind w:firstLine="480"/>
              <w:rPr>
                <w:rFonts w:hint="default"/>
                <w:lang w:val="en-US" w:eastAsia="zh-CN"/>
              </w:rPr>
            </w:pPr>
            <w:r>
              <w:rPr>
                <w:rFonts w:hint="default" w:ascii="Times New Roman" w:hAnsi="Times New Roman" w:eastAsia="宋体" w:cs="Times New Roman"/>
                <w:sz w:val="24"/>
              </w:rPr>
              <w:t>根据《</w:t>
            </w:r>
            <w:r>
              <w:rPr>
                <w:rFonts w:hint="default" w:ascii="Times New Roman" w:hAnsi="Times New Roman" w:eastAsia="宋体" w:cs="Times New Roman"/>
                <w:sz w:val="24"/>
                <w:lang w:val="en-US" w:eastAsia="zh-CN"/>
              </w:rPr>
              <w:t>排污许可证申请与核发技术规范 农副食品加工工业—饲料加工、植物油加工工业</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HJ 1110—2020</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中“附录B”本项目采用“</w:t>
            </w:r>
            <w:r>
              <w:rPr>
                <w:rFonts w:hint="eastAsia" w:cs="Times New Roman"/>
                <w:sz w:val="24"/>
                <w:lang w:val="en-US" w:eastAsia="zh-CN"/>
              </w:rPr>
              <w:t>活性污泥法</w:t>
            </w:r>
            <w:r>
              <w:rPr>
                <w:rFonts w:hint="eastAsia" w:ascii="Times New Roman" w:hAnsi="Times New Roman" w:eastAsia="宋体" w:cs="Times New Roman"/>
                <w:sz w:val="24"/>
                <w:lang w:val="en-US" w:eastAsia="zh-CN"/>
              </w:rPr>
              <w:t>”为可行性技术</w:t>
            </w:r>
            <w:r>
              <w:rPr>
                <w:rFonts w:hint="default" w:ascii="Times New Roman" w:hAnsi="Times New Roman" w:eastAsia="宋体" w:cs="Times New Roman"/>
                <w:sz w:val="24"/>
              </w:rPr>
              <w:t>。</w:t>
            </w:r>
          </w:p>
          <w:p w14:paraId="0F433825">
            <w:pPr>
              <w:spacing w:line="360" w:lineRule="auto"/>
              <w:rPr>
                <w:rFonts w:hint="default" w:ascii="Times New Roman" w:hAnsi="Times New Roman" w:eastAsia="宋体" w:cs="Times New Roman"/>
                <w:b/>
                <w:bCs w:val="0"/>
                <w:kern w:val="0"/>
                <w:sz w:val="24"/>
                <w:lang w:val="en-US" w:eastAsia="zh-CN"/>
              </w:rPr>
            </w:pPr>
            <w:r>
              <w:rPr>
                <w:rFonts w:hint="eastAsia" w:cs="Times New Roman"/>
                <w:b/>
                <w:bCs w:val="0"/>
                <w:kern w:val="0"/>
                <w:sz w:val="24"/>
                <w:lang w:val="en-US" w:eastAsia="zh-CN"/>
              </w:rPr>
              <w:t xml:space="preserve">2.4 </w:t>
            </w:r>
            <w:r>
              <w:rPr>
                <w:rFonts w:hint="default" w:ascii="Times New Roman" w:hAnsi="Times New Roman" w:eastAsia="宋体" w:cs="Times New Roman"/>
                <w:b/>
                <w:bCs w:val="0"/>
                <w:kern w:val="0"/>
                <w:sz w:val="24"/>
              </w:rPr>
              <w:t>依托污水处理设施的环境可行性</w:t>
            </w:r>
            <w:r>
              <w:rPr>
                <w:rFonts w:hint="default" w:ascii="Times New Roman" w:hAnsi="Times New Roman" w:eastAsia="宋体" w:cs="Times New Roman"/>
                <w:b/>
                <w:bCs w:val="0"/>
                <w:kern w:val="0"/>
                <w:sz w:val="24"/>
                <w:lang w:val="en-US" w:eastAsia="zh-CN"/>
              </w:rPr>
              <w:t>分析</w:t>
            </w:r>
          </w:p>
          <w:p w14:paraId="27D30B01">
            <w:pPr>
              <w:spacing w:line="360" w:lineRule="auto"/>
              <w:ind w:firstLine="480" w:firstLineChars="200"/>
              <w:rPr>
                <w:rFonts w:hint="default" w:ascii="Times New Roman" w:hAnsi="Times New Roman" w:eastAsia="宋体" w:cs="Times New Roman"/>
                <w:color w:val="000000"/>
                <w:sz w:val="24"/>
              </w:rPr>
            </w:pPr>
            <w:r>
              <w:rPr>
                <w:rFonts w:hint="eastAsia" w:cs="Times New Roman"/>
                <w:sz w:val="24"/>
                <w:lang w:val="en-US" w:eastAsia="zh-CN"/>
              </w:rPr>
              <w:t>轮台县</w:t>
            </w:r>
            <w:r>
              <w:rPr>
                <w:rFonts w:hint="default" w:ascii="Times New Roman" w:hAnsi="Times New Roman" w:eastAsia="宋体" w:cs="Times New Roman"/>
                <w:sz w:val="24"/>
              </w:rPr>
              <w:t>污水处理厂坐落于位于</w:t>
            </w:r>
            <w:r>
              <w:rPr>
                <w:rFonts w:hint="eastAsia" w:cs="Times New Roman"/>
                <w:sz w:val="24"/>
                <w:lang w:eastAsia="zh-CN"/>
              </w:rPr>
              <w:t>轮台县</w:t>
            </w:r>
            <w:r>
              <w:rPr>
                <w:rFonts w:hint="default" w:ascii="Times New Roman" w:hAnsi="Times New Roman" w:eastAsia="宋体" w:cs="Times New Roman"/>
                <w:sz w:val="24"/>
              </w:rPr>
              <w:t>城区以南3km处，于2014年05月取得环评批复，2016年12月投入运行，</w:t>
            </w:r>
            <w:r>
              <w:rPr>
                <w:spacing w:val="-5"/>
                <w:sz w:val="24"/>
                <w:szCs w:val="24"/>
              </w:rPr>
              <w:t>2019</w:t>
            </w:r>
            <w:r>
              <w:rPr>
                <w:spacing w:val="-50"/>
                <w:sz w:val="24"/>
                <w:szCs w:val="24"/>
              </w:rPr>
              <w:t xml:space="preserve"> </w:t>
            </w:r>
            <w:r>
              <w:rPr>
                <w:spacing w:val="-5"/>
                <w:sz w:val="24"/>
                <w:szCs w:val="24"/>
              </w:rPr>
              <w:t>年</w:t>
            </w:r>
            <w:r>
              <w:rPr>
                <w:rFonts w:hint="eastAsia"/>
                <w:spacing w:val="-45"/>
                <w:sz w:val="24"/>
                <w:szCs w:val="24"/>
                <w:lang w:val="en-US" w:eastAsia="zh-CN"/>
              </w:rPr>
              <w:t>7</w:t>
            </w:r>
            <w:r>
              <w:rPr>
                <w:spacing w:val="-5"/>
                <w:sz w:val="24"/>
                <w:szCs w:val="24"/>
              </w:rPr>
              <w:t>月</w:t>
            </w:r>
            <w:r>
              <w:rPr>
                <w:rFonts w:hint="eastAsia"/>
                <w:spacing w:val="-47"/>
                <w:sz w:val="24"/>
                <w:szCs w:val="24"/>
                <w:lang w:val="en-US" w:eastAsia="zh-CN"/>
              </w:rPr>
              <w:t>2</w:t>
            </w:r>
            <w:r>
              <w:rPr>
                <w:spacing w:val="-5"/>
                <w:sz w:val="24"/>
                <w:szCs w:val="24"/>
              </w:rPr>
              <w:t>日巴州生态环境局对《轮台县新城区污水处理厂提标</w:t>
            </w:r>
            <w:r>
              <w:rPr>
                <w:spacing w:val="-6"/>
                <w:sz w:val="24"/>
                <w:szCs w:val="24"/>
              </w:rPr>
              <w:t>改造工程</w:t>
            </w:r>
            <w:r>
              <w:rPr>
                <w:sz w:val="24"/>
                <w:szCs w:val="24"/>
              </w:rPr>
              <w:t>环境影响报告表》进行批复，批复文号</w:t>
            </w:r>
            <w:r>
              <w:rPr>
                <w:spacing w:val="-13"/>
                <w:sz w:val="24"/>
                <w:szCs w:val="24"/>
              </w:rPr>
              <w:t>：（</w:t>
            </w:r>
            <w:r>
              <w:rPr>
                <w:sz w:val="24"/>
                <w:szCs w:val="24"/>
              </w:rPr>
              <w:t>巴环评价函</w:t>
            </w:r>
            <w:r>
              <w:rPr>
                <w:rFonts w:hint="eastAsia"/>
                <w:sz w:val="24"/>
                <w:szCs w:val="24"/>
                <w:lang w:eastAsia="zh-CN"/>
              </w:rPr>
              <w:t>〔2019〕</w:t>
            </w:r>
            <w:r>
              <w:rPr>
                <w:sz w:val="24"/>
                <w:szCs w:val="24"/>
              </w:rPr>
              <w:t>125</w:t>
            </w:r>
            <w:r>
              <w:rPr>
                <w:spacing w:val="-45"/>
                <w:sz w:val="24"/>
                <w:szCs w:val="24"/>
              </w:rPr>
              <w:t xml:space="preserve"> </w:t>
            </w:r>
            <w:r>
              <w:rPr>
                <w:sz w:val="24"/>
                <w:szCs w:val="24"/>
              </w:rPr>
              <w:t>号）。2024</w:t>
            </w:r>
            <w:r>
              <w:rPr>
                <w:spacing w:val="-1"/>
                <w:sz w:val="24"/>
                <w:szCs w:val="24"/>
              </w:rPr>
              <w:t>年</w:t>
            </w:r>
            <w:r>
              <w:rPr>
                <w:rFonts w:hint="eastAsia"/>
                <w:spacing w:val="-45"/>
                <w:sz w:val="24"/>
                <w:szCs w:val="24"/>
                <w:lang w:val="en-US" w:eastAsia="zh-CN"/>
              </w:rPr>
              <w:t>7</w:t>
            </w:r>
            <w:r>
              <w:rPr>
                <w:spacing w:val="-1"/>
                <w:sz w:val="24"/>
                <w:szCs w:val="24"/>
              </w:rPr>
              <w:t>月，建设单位委托新疆净诺环安工程咨询服务有限公司进行竣工环</w:t>
            </w:r>
            <w:r>
              <w:rPr>
                <w:spacing w:val="-2"/>
                <w:sz w:val="24"/>
                <w:szCs w:val="24"/>
              </w:rPr>
              <w:t>保验收。</w:t>
            </w:r>
            <w:r>
              <w:rPr>
                <w:sz w:val="24"/>
                <w:szCs w:val="24"/>
              </w:rPr>
              <w:t>处理工艺为</w:t>
            </w:r>
            <w:r>
              <w:rPr>
                <w:rFonts w:hint="default" w:ascii="Times New Roman" w:hAnsi="Times New Roman" w:eastAsia="宋体" w:cs="Times New Roman"/>
                <w:sz w:val="24"/>
              </w:rPr>
              <w:t>收水范围为</w:t>
            </w:r>
            <w:r>
              <w:rPr>
                <w:rFonts w:hint="eastAsia" w:cs="Times New Roman"/>
                <w:sz w:val="24"/>
                <w:lang w:eastAsia="zh-CN"/>
              </w:rPr>
              <w:t>轮台县</w:t>
            </w:r>
            <w:r>
              <w:rPr>
                <w:rFonts w:hint="default" w:ascii="Times New Roman" w:hAnsi="Times New Roman" w:eastAsia="宋体" w:cs="Times New Roman"/>
                <w:sz w:val="24"/>
              </w:rPr>
              <w:t>及经济工业园区</w:t>
            </w:r>
            <w:r>
              <w:rPr>
                <w:rFonts w:hint="default" w:ascii="Times New Roman" w:hAnsi="Times New Roman" w:eastAsia="宋体" w:cs="Times New Roman"/>
                <w:color w:val="000000"/>
                <w:sz w:val="24"/>
              </w:rPr>
              <w:t>，进水包括</w:t>
            </w:r>
            <w:r>
              <w:rPr>
                <w:rFonts w:hint="eastAsia" w:cs="Times New Roman"/>
                <w:color w:val="000000"/>
                <w:sz w:val="24"/>
                <w:lang w:eastAsia="zh-CN"/>
              </w:rPr>
              <w:t>园区</w:t>
            </w:r>
            <w:r>
              <w:rPr>
                <w:rFonts w:hint="default" w:ascii="Times New Roman" w:hAnsi="Times New Roman" w:eastAsia="宋体" w:cs="Times New Roman"/>
                <w:color w:val="000000"/>
                <w:sz w:val="24"/>
              </w:rPr>
              <w:t>生活污水和少量工业废水。</w:t>
            </w:r>
            <w:r>
              <w:rPr>
                <w:rFonts w:hint="eastAsia" w:cs="Times New Roman"/>
                <w:color w:val="000000"/>
                <w:sz w:val="24"/>
                <w:lang w:eastAsia="zh-CN"/>
              </w:rPr>
              <w:t>污水处理厂</w:t>
            </w:r>
            <w:r>
              <w:rPr>
                <w:rFonts w:hint="default" w:ascii="Times New Roman" w:hAnsi="Times New Roman" w:eastAsia="宋体" w:cs="Times New Roman"/>
                <w:color w:val="000000"/>
                <w:sz w:val="24"/>
              </w:rPr>
              <w:t>现有污水处理能力为2.0万m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/d，满足现有</w:t>
            </w:r>
            <w:r>
              <w:rPr>
                <w:rFonts w:hint="eastAsia" w:cs="Times New Roman"/>
                <w:color w:val="000000"/>
                <w:sz w:val="24"/>
                <w:lang w:eastAsia="zh-CN"/>
              </w:rPr>
              <w:t>轮台县</w:t>
            </w:r>
            <w:r>
              <w:rPr>
                <w:rFonts w:hint="default" w:ascii="Times New Roman" w:hAnsi="Times New Roman" w:eastAsia="宋体" w:cs="Times New Roman"/>
                <w:color w:val="000000"/>
                <w:sz w:val="24"/>
              </w:rPr>
              <w:t>及经济工业园区一、二类工业企业污水处理需要。规划处理规模为6.0万m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/d。</w:t>
            </w:r>
            <w:r>
              <w:rPr>
                <w:rFonts w:hint="eastAsia" w:cs="Times New Roman"/>
                <w:color w:val="000000"/>
                <w:sz w:val="24"/>
                <w:lang w:eastAsia="zh-CN"/>
              </w:rPr>
              <w:t>污水处理厂</w:t>
            </w:r>
            <w:r>
              <w:rPr>
                <w:rFonts w:hint="default" w:ascii="Times New Roman" w:hAnsi="Times New Roman" w:eastAsia="宋体" w:cs="Times New Roman"/>
                <w:color w:val="000000"/>
                <w:sz w:val="24"/>
              </w:rPr>
              <w:t>处理工艺采用A</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O二级生化处理工艺，处理后的尾水水质满足《城镇污水处理厂污染物排放标准》（GB18918-2002）一级B标准限值要求及《城市污水再生利用城市杂用水水质》（GB/T18920-2002）中城市绿化用水标准，灌溉期用于生态林灌溉，非灌溉期排入</w:t>
            </w:r>
            <w:r>
              <w:rPr>
                <w:rFonts w:hint="eastAsia" w:cs="Times New Roman"/>
                <w:color w:val="000000"/>
                <w:sz w:val="24"/>
                <w:lang w:eastAsia="zh-CN"/>
              </w:rPr>
              <w:t>污水处理厂</w:t>
            </w:r>
            <w:r>
              <w:rPr>
                <w:rFonts w:hint="default" w:ascii="Times New Roman" w:hAnsi="Times New Roman" w:eastAsia="宋体" w:cs="Times New Roman"/>
                <w:color w:val="000000"/>
                <w:sz w:val="24"/>
              </w:rPr>
              <w:t>以南的戈壁荒地。</w:t>
            </w:r>
          </w:p>
          <w:p w14:paraId="7C0962E9">
            <w:pPr>
              <w:spacing w:line="360" w:lineRule="auto"/>
              <w:ind w:firstLine="480" w:firstLineChars="200"/>
              <w:rPr>
                <w:rFonts w:hint="default"/>
                <w:lang w:val="en-US" w:eastAsia="zh-CN"/>
              </w:rPr>
            </w:pPr>
            <w:r>
              <w:rPr>
                <w:rFonts w:hint="default" w:ascii="Times New Roman" w:hAnsi="Times New Roman" w:eastAsia="宋体" w:cs="Times New Roman"/>
                <w:sz w:val="24"/>
              </w:rPr>
              <w:t>本项目</w:t>
            </w:r>
            <w:r>
              <w:rPr>
                <w:rFonts w:hint="eastAsia" w:cs="Times New Roman"/>
                <w:sz w:val="24"/>
                <w:lang w:val="en-US" w:eastAsia="zh-CN"/>
              </w:rPr>
              <w:t>合计</w:t>
            </w:r>
            <w:r>
              <w:rPr>
                <w:rFonts w:hint="default" w:ascii="Times New Roman" w:hAnsi="Times New Roman" w:eastAsia="宋体" w:cs="Times New Roman"/>
                <w:sz w:val="24"/>
              </w:rPr>
              <w:t>废水</w:t>
            </w:r>
            <w:r>
              <w:rPr>
                <w:rFonts w:hint="eastAsia" w:cs="Times New Roman"/>
                <w:sz w:val="24"/>
                <w:highlight w:val="none"/>
                <w:lang w:val="en-US" w:eastAsia="zh-CN"/>
              </w:rPr>
              <w:t>量169.56</w:t>
            </w:r>
            <w:r>
              <w:rPr>
                <w:rFonts w:hint="default" w:ascii="Times New Roman" w:hAnsi="Times New Roman" w:eastAsia="宋体" w:cs="Times New Roman"/>
                <w:sz w:val="24"/>
                <w:highlight w:val="none"/>
              </w:rPr>
              <w:t>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w:t>
            </w:r>
            <w:r>
              <w:rPr>
                <w:rFonts w:hint="eastAsia" w:cs="Times New Roman"/>
                <w:sz w:val="24"/>
                <w:highlight w:val="none"/>
                <w:lang w:val="en-US" w:eastAsia="zh-CN"/>
              </w:rPr>
              <w:t>d</w:t>
            </w:r>
            <w:r>
              <w:rPr>
                <w:rFonts w:hint="default" w:ascii="Times New Roman" w:hAnsi="Times New Roman" w:eastAsia="宋体" w:cs="Times New Roman"/>
                <w:sz w:val="24"/>
              </w:rPr>
              <w:t>，占</w:t>
            </w:r>
            <w:r>
              <w:rPr>
                <w:rFonts w:hint="eastAsia" w:cs="Times New Roman"/>
                <w:sz w:val="24"/>
                <w:lang w:val="en-US" w:eastAsia="zh-CN"/>
              </w:rPr>
              <w:t>轮台县</w:t>
            </w:r>
            <w:r>
              <w:rPr>
                <w:rFonts w:hint="default" w:ascii="Times New Roman" w:hAnsi="Times New Roman" w:eastAsia="宋体" w:cs="Times New Roman"/>
                <w:sz w:val="24"/>
              </w:rPr>
              <w:t>污水处理厂余量比例较小，并且废水水质浓度低，能满足《污水综合排放标准》</w:t>
            </w:r>
            <w:r>
              <w:rPr>
                <w:rFonts w:hint="eastAsia" w:cs="Times New Roman"/>
                <w:sz w:val="24"/>
                <w:lang w:eastAsia="zh-CN"/>
              </w:rPr>
              <w:t>（</w:t>
            </w:r>
            <w:r>
              <w:rPr>
                <w:rFonts w:hint="default" w:ascii="Times New Roman" w:hAnsi="Times New Roman" w:eastAsia="宋体" w:cs="Times New Roman"/>
                <w:sz w:val="24"/>
              </w:rPr>
              <w:t>GB8978-1996</w:t>
            </w:r>
            <w:r>
              <w:rPr>
                <w:rFonts w:hint="eastAsia" w:cs="Times New Roman"/>
                <w:sz w:val="24"/>
                <w:lang w:eastAsia="zh-CN"/>
              </w:rPr>
              <w:t>）</w:t>
            </w:r>
            <w:r>
              <w:rPr>
                <w:rFonts w:hint="eastAsia" w:cs="Times New Roman"/>
                <w:sz w:val="24"/>
                <w:lang w:val="en-US" w:eastAsia="zh-CN"/>
              </w:rPr>
              <w:t>二</w:t>
            </w:r>
            <w:r>
              <w:rPr>
                <w:rFonts w:hint="default" w:ascii="Times New Roman" w:hAnsi="Times New Roman" w:eastAsia="宋体" w:cs="Times New Roman"/>
                <w:sz w:val="24"/>
              </w:rPr>
              <w:t>级排放标准要求，新增废水等不会对污水处理厂的正常运行造成影响，因此，项目废水直接排入</w:t>
            </w:r>
            <w:r>
              <w:rPr>
                <w:rFonts w:hint="eastAsia" w:cs="Times New Roman"/>
                <w:sz w:val="24"/>
                <w:lang w:val="en-US" w:eastAsia="zh-CN"/>
              </w:rPr>
              <w:t>轮台县</w:t>
            </w:r>
            <w:r>
              <w:rPr>
                <w:rFonts w:hint="default" w:ascii="Times New Roman" w:hAnsi="Times New Roman" w:eastAsia="宋体" w:cs="Times New Roman"/>
                <w:sz w:val="24"/>
              </w:rPr>
              <w:t>污水处理厂集中处理是可行的。</w:t>
            </w:r>
          </w:p>
          <w:p w14:paraId="5ADC9932">
            <w:pPr>
              <w:spacing w:line="360" w:lineRule="auto"/>
              <w:rPr>
                <w:rFonts w:hint="eastAsia" w:cs="Times New Roman"/>
                <w:b/>
                <w:bCs w:val="0"/>
                <w:kern w:val="0"/>
                <w:sz w:val="24"/>
                <w:lang w:val="en-US" w:eastAsia="zh-CN"/>
              </w:rPr>
            </w:pPr>
            <w:r>
              <w:rPr>
                <w:rFonts w:hint="eastAsia" w:cs="Times New Roman"/>
                <w:b/>
                <w:bCs w:val="0"/>
                <w:kern w:val="0"/>
                <w:sz w:val="24"/>
                <w:lang w:val="en-US" w:eastAsia="zh-CN"/>
              </w:rPr>
              <w:t>2.5 废水自行监测计划</w:t>
            </w:r>
          </w:p>
          <w:p w14:paraId="4EA41500">
            <w:pPr>
              <w:pStyle w:val="26"/>
              <w:keepNext w:val="0"/>
              <w:keepLines w:val="0"/>
              <w:pageBreakBefore w:val="0"/>
              <w:widowControl w:val="0"/>
              <w:kinsoku/>
              <w:wordWrap/>
              <w:overflowPunct/>
              <w:topLinePunct w:val="0"/>
              <w:bidi w:val="0"/>
              <w:snapToGrid w:val="0"/>
              <w:spacing w:beforeLines="0" w:afterLines="0" w:line="360" w:lineRule="auto"/>
              <w:ind w:firstLine="480" w:firstLineChars="200"/>
              <w:textAlignment w:val="auto"/>
              <w:rPr>
                <w:rFonts w:hint="default"/>
                <w:lang w:val="en-US" w:eastAsia="zh-CN"/>
              </w:rPr>
            </w:pPr>
            <w:r>
              <w:rPr>
                <w:rFonts w:hint="default" w:ascii="Times New Roman" w:hAnsi="Times New Roman" w:eastAsia="宋体" w:cs="Times New Roman"/>
                <w:lang w:val="en-US" w:eastAsia="zh-CN"/>
              </w:rPr>
              <w:t>根据《排污单位自行监测技术指南 农副食品加工业》（HJ986-2018）</w:t>
            </w:r>
            <w:r>
              <w:rPr>
                <w:rFonts w:hint="default" w:ascii="Times New Roman" w:hAnsi="Times New Roman" w:eastAsia="宋体" w:cs="Times New Roman"/>
                <w:sz w:val="24"/>
              </w:rPr>
              <w:t>规定，本次对</w:t>
            </w:r>
            <w:r>
              <w:rPr>
                <w:rFonts w:hint="eastAsia" w:ascii="Times New Roman" w:hAnsi="Times New Roman" w:eastAsia="宋体" w:cs="Times New Roman"/>
                <w:sz w:val="24"/>
                <w:lang w:val="en-US" w:eastAsia="zh-CN"/>
              </w:rPr>
              <w:t>废水</w:t>
            </w:r>
            <w:r>
              <w:rPr>
                <w:rFonts w:hint="default" w:ascii="Times New Roman" w:hAnsi="Times New Roman" w:eastAsia="宋体" w:cs="Times New Roman"/>
                <w:sz w:val="24"/>
              </w:rPr>
              <w:t>制定监测计划见表</w:t>
            </w:r>
            <w:r>
              <w:rPr>
                <w:rFonts w:hint="eastAsia" w:ascii="Times New Roman" w:hAnsi="Times New Roman" w:eastAsia="宋体" w:cs="Times New Roman"/>
                <w:sz w:val="24"/>
                <w:lang w:val="en-US" w:eastAsia="zh-CN"/>
              </w:rPr>
              <w:t>4-17。</w:t>
            </w:r>
          </w:p>
          <w:p w14:paraId="5815C6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黑体" w:eastAsia="黑体" w:cs="黑体"/>
                <w:b w:val="0"/>
                <w:bCs/>
                <w:kern w:val="0"/>
                <w:sz w:val="21"/>
                <w:szCs w:val="21"/>
                <w:highlight w:val="none"/>
                <w:lang w:val="en-US" w:eastAsia="zh-CN" w:bidi="ar-SA"/>
              </w:rPr>
            </w:pPr>
            <w:r>
              <w:rPr>
                <w:rFonts w:hint="default" w:ascii="黑体" w:hAnsi="黑体" w:eastAsia="黑体" w:cs="黑体"/>
                <w:b w:val="0"/>
                <w:bCs/>
                <w:kern w:val="0"/>
                <w:sz w:val="21"/>
                <w:szCs w:val="21"/>
                <w:highlight w:val="none"/>
                <w:lang w:val="en-US" w:eastAsia="zh-CN" w:bidi="ar-SA"/>
              </w:rPr>
              <w:t>表4-</w:t>
            </w:r>
            <w:r>
              <w:rPr>
                <w:rFonts w:hint="eastAsia" w:ascii="黑体" w:hAnsi="黑体" w:eastAsia="黑体" w:cs="黑体"/>
                <w:b w:val="0"/>
                <w:bCs/>
                <w:kern w:val="0"/>
                <w:sz w:val="21"/>
                <w:szCs w:val="21"/>
                <w:highlight w:val="none"/>
                <w:lang w:val="en-US" w:eastAsia="zh-CN" w:bidi="ar-SA"/>
              </w:rPr>
              <w:t>17</w:t>
            </w:r>
            <w:r>
              <w:rPr>
                <w:rFonts w:hint="default" w:ascii="黑体" w:hAnsi="黑体" w:eastAsia="黑体" w:cs="黑体"/>
                <w:b w:val="0"/>
                <w:bCs/>
                <w:kern w:val="0"/>
                <w:sz w:val="21"/>
                <w:szCs w:val="21"/>
                <w:highlight w:val="none"/>
                <w:lang w:val="en-US" w:eastAsia="zh-CN" w:bidi="ar-SA"/>
              </w:rPr>
              <w:t xml:space="preserve">   监测工作内容一览表</w:t>
            </w:r>
          </w:p>
          <w:tbl>
            <w:tblPr>
              <w:tblStyle w:val="21"/>
              <w:tblW w:w="4998"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9"/>
              <w:gridCol w:w="1737"/>
              <w:gridCol w:w="2371"/>
              <w:gridCol w:w="1244"/>
              <w:gridCol w:w="2671"/>
            </w:tblGrid>
            <w:tr w14:paraId="17E41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342" w:type="pct"/>
                  <w:tcBorders>
                    <w:tl2br w:val="nil"/>
                    <w:tr2bl w:val="nil"/>
                  </w:tcBorders>
                  <w:noWrap w:val="0"/>
                  <w:vAlign w:val="center"/>
                </w:tcPr>
                <w:p w14:paraId="730E6DBD">
                  <w:pPr>
                    <w:autoSpaceDE w:val="0"/>
                    <w:autoSpaceDN w:val="0"/>
                    <w:adjustRightInd w:val="0"/>
                    <w:snapToGri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类型</w:t>
                  </w:r>
                </w:p>
              </w:tc>
              <w:tc>
                <w:tcPr>
                  <w:tcW w:w="1008" w:type="pct"/>
                  <w:tcBorders>
                    <w:tl2br w:val="nil"/>
                    <w:tr2bl w:val="nil"/>
                  </w:tcBorders>
                  <w:noWrap w:val="0"/>
                  <w:vAlign w:val="center"/>
                </w:tcPr>
                <w:p w14:paraId="7560FF7D">
                  <w:pPr>
                    <w:autoSpaceDE w:val="0"/>
                    <w:autoSpaceDN w:val="0"/>
                    <w:adjustRightInd w:val="0"/>
                    <w:snapToGri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监测点</w:t>
                  </w:r>
                </w:p>
              </w:tc>
              <w:tc>
                <w:tcPr>
                  <w:tcW w:w="1376" w:type="pct"/>
                  <w:tcBorders>
                    <w:tl2br w:val="nil"/>
                    <w:tr2bl w:val="nil"/>
                  </w:tcBorders>
                  <w:noWrap w:val="0"/>
                  <w:vAlign w:val="center"/>
                </w:tcPr>
                <w:p w14:paraId="4A6B2AD1">
                  <w:pPr>
                    <w:autoSpaceDE w:val="0"/>
                    <w:autoSpaceDN w:val="0"/>
                    <w:adjustRightInd w:val="0"/>
                    <w:snapToGri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监测因子</w:t>
                  </w:r>
                </w:p>
              </w:tc>
              <w:tc>
                <w:tcPr>
                  <w:tcW w:w="722" w:type="pct"/>
                  <w:tcBorders>
                    <w:tl2br w:val="nil"/>
                    <w:tr2bl w:val="nil"/>
                  </w:tcBorders>
                  <w:noWrap w:val="0"/>
                  <w:vAlign w:val="center"/>
                </w:tcPr>
                <w:p w14:paraId="4229CB1F">
                  <w:pPr>
                    <w:autoSpaceDE w:val="0"/>
                    <w:autoSpaceDN w:val="0"/>
                    <w:adjustRightInd w:val="0"/>
                    <w:snapToGri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建议监测频率</w:t>
                  </w:r>
                </w:p>
              </w:tc>
              <w:tc>
                <w:tcPr>
                  <w:tcW w:w="1549" w:type="pct"/>
                  <w:tcBorders>
                    <w:tl2br w:val="nil"/>
                    <w:tr2bl w:val="nil"/>
                  </w:tcBorders>
                  <w:noWrap w:val="0"/>
                  <w:vAlign w:val="center"/>
                </w:tcPr>
                <w:p w14:paraId="640B5368">
                  <w:pPr>
                    <w:autoSpaceDE w:val="0"/>
                    <w:autoSpaceDN w:val="0"/>
                    <w:adjustRightInd w:val="0"/>
                    <w:snapToGrid w:val="0"/>
                    <w:jc w:val="center"/>
                    <w:rPr>
                      <w:rFonts w:hint="default" w:ascii="Times New Roman" w:hAnsi="Times New Roman" w:cs="Times New Roman"/>
                      <w:kern w:val="0"/>
                      <w:sz w:val="21"/>
                      <w:szCs w:val="21"/>
                      <w:lang w:val="zh-CN"/>
                    </w:rPr>
                  </w:pPr>
                  <w:r>
                    <w:rPr>
                      <w:rFonts w:hint="default" w:ascii="Times New Roman" w:hAnsi="Times New Roman" w:cs="Times New Roman"/>
                      <w:kern w:val="0"/>
                      <w:sz w:val="21"/>
                      <w:szCs w:val="21"/>
                      <w:lang w:val="zh-CN"/>
                    </w:rPr>
                    <w:t>标准</w:t>
                  </w:r>
                </w:p>
              </w:tc>
            </w:tr>
            <w:tr w14:paraId="343AC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42" w:type="pct"/>
                  <w:vMerge w:val="restart"/>
                  <w:tcBorders>
                    <w:tl2br w:val="nil"/>
                    <w:tr2bl w:val="nil"/>
                  </w:tcBorders>
                  <w:noWrap w:val="0"/>
                  <w:vAlign w:val="center"/>
                </w:tcPr>
                <w:p w14:paraId="66DCBF9C">
                  <w:pPr>
                    <w:autoSpaceDE w:val="0"/>
                    <w:autoSpaceDN w:val="0"/>
                    <w:adjustRightInd w:val="0"/>
                    <w:snapToGrid w:val="0"/>
                    <w:jc w:val="center"/>
                    <w:rPr>
                      <w:rFonts w:hint="default" w:ascii="Times New Roman" w:hAnsi="Times New Roman" w:eastAsia="宋体" w:cs="Times New Roman"/>
                      <w:kern w:val="0"/>
                      <w:sz w:val="21"/>
                      <w:szCs w:val="21"/>
                      <w:lang w:val="zh-CN" w:eastAsia="zh-CN"/>
                    </w:rPr>
                  </w:pPr>
                  <w:r>
                    <w:rPr>
                      <w:rFonts w:hint="default" w:ascii="Times New Roman" w:hAnsi="Times New Roman" w:cs="Times New Roman"/>
                      <w:kern w:val="0"/>
                      <w:sz w:val="21"/>
                      <w:szCs w:val="21"/>
                      <w:lang w:val="en-US" w:eastAsia="zh-CN"/>
                    </w:rPr>
                    <w:t>废水</w:t>
                  </w:r>
                </w:p>
              </w:tc>
              <w:tc>
                <w:tcPr>
                  <w:tcW w:w="1008" w:type="pct"/>
                  <w:vMerge w:val="restart"/>
                  <w:tcBorders>
                    <w:tl2br w:val="nil"/>
                    <w:tr2bl w:val="nil"/>
                  </w:tcBorders>
                  <w:noWrap w:val="0"/>
                  <w:vAlign w:val="center"/>
                </w:tcPr>
                <w:p w14:paraId="4503F179">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厂区总排放口</w:t>
                  </w:r>
                  <w:r>
                    <w:rPr>
                      <w:rFonts w:hint="eastAsia" w:cs="Times New Roman"/>
                      <w:kern w:val="0"/>
                      <w:sz w:val="21"/>
                      <w:szCs w:val="21"/>
                      <w:lang w:val="en-US" w:eastAsia="zh-CN"/>
                    </w:rPr>
                    <w:t>（DW001）</w:t>
                  </w:r>
                </w:p>
              </w:tc>
              <w:tc>
                <w:tcPr>
                  <w:tcW w:w="1376" w:type="pct"/>
                  <w:tcBorders>
                    <w:tl2br w:val="nil"/>
                    <w:tr2bl w:val="nil"/>
                  </w:tcBorders>
                  <w:noWrap w:val="0"/>
                  <w:vAlign w:val="center"/>
                </w:tcPr>
                <w:p w14:paraId="65F5CA1A">
                  <w:pPr>
                    <w:adjustRightInd w:val="0"/>
                    <w:snapToGrid w:val="0"/>
                    <w:jc w:val="center"/>
                    <w:rPr>
                      <w:rFonts w:hint="default" w:ascii="Times New Roman" w:hAnsi="Times New Roman" w:cs="Times New Roman"/>
                      <w:snapToGrid w:val="0"/>
                      <w:sz w:val="21"/>
                      <w:szCs w:val="21"/>
                      <w:lang w:val="en-US" w:eastAsia="zh-CN"/>
                    </w:rPr>
                  </w:pPr>
                  <w:r>
                    <w:rPr>
                      <w:rFonts w:hint="eastAsia" w:ascii="Times New Roman" w:hAnsi="Times New Roman" w:cs="Times New Roman"/>
                      <w:snapToGrid w:val="0"/>
                      <w:sz w:val="21"/>
                      <w:szCs w:val="21"/>
                      <w:lang w:val="en-US" w:eastAsia="zh-CN"/>
                    </w:rPr>
                    <w:t>流量、pH、化学需氧量、氨氮</w:t>
                  </w:r>
                </w:p>
              </w:tc>
              <w:tc>
                <w:tcPr>
                  <w:tcW w:w="722" w:type="pct"/>
                  <w:tcBorders>
                    <w:tl2br w:val="nil"/>
                    <w:tr2bl w:val="nil"/>
                  </w:tcBorders>
                  <w:noWrap w:val="0"/>
                  <w:vAlign w:val="center"/>
                </w:tcPr>
                <w:p w14:paraId="53E5C42F">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自动监测</w:t>
                  </w:r>
                </w:p>
              </w:tc>
              <w:tc>
                <w:tcPr>
                  <w:tcW w:w="1549" w:type="pct"/>
                  <w:vMerge w:val="restart"/>
                  <w:tcBorders>
                    <w:tl2br w:val="nil"/>
                    <w:tr2bl w:val="nil"/>
                  </w:tcBorders>
                  <w:noWrap w:val="0"/>
                  <w:vAlign w:val="center"/>
                </w:tcPr>
                <w:p w14:paraId="4ADD4DC8">
                  <w:pPr>
                    <w:autoSpaceDE w:val="0"/>
                    <w:autoSpaceDN w:val="0"/>
                    <w:adjustRightInd w:val="0"/>
                    <w:snapToGrid w:val="0"/>
                    <w:jc w:val="center"/>
                    <w:rPr>
                      <w:rFonts w:hint="default" w:ascii="Times New Roman" w:hAnsi="Times New Roman" w:cs="Times New Roman"/>
                      <w:kern w:val="0"/>
                      <w:sz w:val="21"/>
                      <w:szCs w:val="21"/>
                    </w:rPr>
                  </w:pPr>
                  <w:r>
                    <w:rPr>
                      <w:rFonts w:hint="eastAsia" w:ascii="Times New Roman" w:hAnsi="Times New Roman" w:eastAsia="宋体" w:cs="Times New Roman"/>
                      <w:color w:val="auto"/>
                      <w:spacing w:val="0"/>
                      <w:kern w:val="2"/>
                      <w:sz w:val="21"/>
                      <w:szCs w:val="21"/>
                      <w:highlight w:val="none"/>
                      <w:lang w:val="en-US" w:eastAsia="zh-CN"/>
                    </w:rPr>
                    <w:t>《污水综合排放标准》（GB8978-1996）</w:t>
                  </w:r>
                  <w:r>
                    <w:rPr>
                      <w:rFonts w:hint="eastAsia" w:cs="Times New Roman"/>
                      <w:color w:val="auto"/>
                      <w:spacing w:val="0"/>
                      <w:kern w:val="2"/>
                      <w:sz w:val="21"/>
                      <w:szCs w:val="21"/>
                      <w:highlight w:val="none"/>
                      <w:lang w:val="en-US" w:eastAsia="zh-CN"/>
                    </w:rPr>
                    <w:t>三</w:t>
                  </w:r>
                  <w:r>
                    <w:rPr>
                      <w:rFonts w:hint="eastAsia" w:ascii="Times New Roman" w:hAnsi="Times New Roman" w:eastAsia="宋体" w:cs="Times New Roman"/>
                      <w:color w:val="auto"/>
                      <w:spacing w:val="0"/>
                      <w:kern w:val="2"/>
                      <w:sz w:val="21"/>
                      <w:szCs w:val="21"/>
                      <w:highlight w:val="none"/>
                      <w:lang w:val="en-US" w:eastAsia="zh-CN"/>
                    </w:rPr>
                    <w:t>级标准</w:t>
                  </w:r>
                </w:p>
              </w:tc>
            </w:tr>
            <w:tr w14:paraId="1811E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42" w:type="pct"/>
                  <w:vMerge w:val="continue"/>
                  <w:tcBorders>
                    <w:tl2br w:val="nil"/>
                    <w:tr2bl w:val="nil"/>
                  </w:tcBorders>
                  <w:noWrap w:val="0"/>
                  <w:vAlign w:val="center"/>
                </w:tcPr>
                <w:p w14:paraId="1CDAB7B9">
                  <w:pPr>
                    <w:autoSpaceDE w:val="0"/>
                    <w:autoSpaceDN w:val="0"/>
                    <w:adjustRightInd w:val="0"/>
                    <w:snapToGrid w:val="0"/>
                    <w:jc w:val="center"/>
                    <w:rPr>
                      <w:rFonts w:hint="default" w:ascii="Times New Roman" w:hAnsi="Times New Roman" w:cs="Times New Roman"/>
                      <w:kern w:val="0"/>
                      <w:sz w:val="21"/>
                      <w:szCs w:val="21"/>
                      <w:lang w:val="en-US" w:eastAsia="zh-CN"/>
                    </w:rPr>
                  </w:pPr>
                </w:p>
              </w:tc>
              <w:tc>
                <w:tcPr>
                  <w:tcW w:w="1008" w:type="pct"/>
                  <w:vMerge w:val="continue"/>
                  <w:tcBorders>
                    <w:tl2br w:val="nil"/>
                    <w:tr2bl w:val="nil"/>
                  </w:tcBorders>
                  <w:noWrap w:val="0"/>
                  <w:vAlign w:val="center"/>
                </w:tcPr>
                <w:p w14:paraId="7FBBCC5B">
                  <w:pPr>
                    <w:autoSpaceDE w:val="0"/>
                    <w:autoSpaceDN w:val="0"/>
                    <w:adjustRightInd w:val="0"/>
                    <w:snapToGrid w:val="0"/>
                    <w:jc w:val="center"/>
                    <w:rPr>
                      <w:rFonts w:hint="default" w:ascii="Times New Roman" w:hAnsi="Times New Roman" w:cs="Times New Roman"/>
                      <w:kern w:val="0"/>
                      <w:sz w:val="21"/>
                      <w:szCs w:val="21"/>
                      <w:lang w:val="en-US" w:eastAsia="zh-CN"/>
                    </w:rPr>
                  </w:pPr>
                </w:p>
              </w:tc>
              <w:tc>
                <w:tcPr>
                  <w:tcW w:w="1376" w:type="pct"/>
                  <w:tcBorders>
                    <w:tl2br w:val="nil"/>
                    <w:tr2bl w:val="nil"/>
                  </w:tcBorders>
                  <w:noWrap w:val="0"/>
                  <w:vAlign w:val="center"/>
                </w:tcPr>
                <w:p w14:paraId="71DB81FA">
                  <w:pPr>
                    <w:adjustRightInd w:val="0"/>
                    <w:snapToGrid w:val="0"/>
                    <w:jc w:val="center"/>
                    <w:rPr>
                      <w:rFonts w:hint="eastAsia" w:ascii="Times New Roman" w:hAnsi="Times New Roman" w:cs="Times New Roman"/>
                      <w:snapToGrid w:val="0"/>
                      <w:sz w:val="21"/>
                      <w:szCs w:val="21"/>
                      <w:lang w:val="en-US" w:eastAsia="zh-CN"/>
                    </w:rPr>
                  </w:pPr>
                  <w:r>
                    <w:rPr>
                      <w:rFonts w:hint="eastAsia" w:ascii="Times New Roman" w:hAnsi="Times New Roman" w:cs="Times New Roman"/>
                      <w:snapToGrid w:val="0"/>
                      <w:sz w:val="21"/>
                      <w:szCs w:val="21"/>
                      <w:lang w:val="en-US" w:eastAsia="zh-CN"/>
                    </w:rPr>
                    <w:t>总氮、总磷</w:t>
                  </w:r>
                </w:p>
              </w:tc>
              <w:tc>
                <w:tcPr>
                  <w:tcW w:w="722" w:type="pct"/>
                  <w:tcBorders>
                    <w:tl2br w:val="nil"/>
                    <w:tr2bl w:val="nil"/>
                  </w:tcBorders>
                  <w:noWrap w:val="0"/>
                  <w:vAlign w:val="center"/>
                </w:tcPr>
                <w:p w14:paraId="28740EEF">
                  <w:pPr>
                    <w:autoSpaceDE w:val="0"/>
                    <w:autoSpaceDN w:val="0"/>
                    <w:adjustRightInd w:val="0"/>
                    <w:snapToGrid w:val="0"/>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季度（自动监测）</w:t>
                  </w:r>
                </w:p>
              </w:tc>
              <w:tc>
                <w:tcPr>
                  <w:tcW w:w="1549" w:type="pct"/>
                  <w:vMerge w:val="continue"/>
                  <w:tcBorders>
                    <w:tl2br w:val="nil"/>
                    <w:tr2bl w:val="nil"/>
                  </w:tcBorders>
                  <w:noWrap w:val="0"/>
                  <w:vAlign w:val="center"/>
                </w:tcPr>
                <w:p w14:paraId="4FAEFD32">
                  <w:pPr>
                    <w:autoSpaceDE w:val="0"/>
                    <w:autoSpaceDN w:val="0"/>
                    <w:adjustRightInd w:val="0"/>
                    <w:snapToGrid w:val="0"/>
                    <w:jc w:val="center"/>
                    <w:rPr>
                      <w:rFonts w:hint="default" w:ascii="Times New Roman" w:hAnsi="Times New Roman" w:cs="Times New Roman"/>
                      <w:kern w:val="0"/>
                      <w:sz w:val="21"/>
                      <w:szCs w:val="21"/>
                    </w:rPr>
                  </w:pPr>
                </w:p>
              </w:tc>
            </w:tr>
            <w:tr w14:paraId="0A17D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 w:hRule="atLeast"/>
              </w:trPr>
              <w:tc>
                <w:tcPr>
                  <w:tcW w:w="342" w:type="pct"/>
                  <w:vMerge w:val="continue"/>
                  <w:tcBorders>
                    <w:tl2br w:val="nil"/>
                    <w:tr2bl w:val="nil"/>
                  </w:tcBorders>
                  <w:noWrap w:val="0"/>
                  <w:vAlign w:val="center"/>
                </w:tcPr>
                <w:p w14:paraId="7A574F7E">
                  <w:pPr>
                    <w:autoSpaceDE w:val="0"/>
                    <w:autoSpaceDN w:val="0"/>
                    <w:adjustRightInd w:val="0"/>
                    <w:snapToGrid w:val="0"/>
                    <w:jc w:val="center"/>
                    <w:rPr>
                      <w:rFonts w:hint="default" w:ascii="Times New Roman" w:hAnsi="Times New Roman" w:cs="Times New Roman"/>
                      <w:kern w:val="0"/>
                      <w:sz w:val="21"/>
                      <w:szCs w:val="21"/>
                      <w:lang w:val="en-US" w:eastAsia="zh-CN"/>
                    </w:rPr>
                  </w:pPr>
                </w:p>
              </w:tc>
              <w:tc>
                <w:tcPr>
                  <w:tcW w:w="1008" w:type="pct"/>
                  <w:vMerge w:val="continue"/>
                  <w:tcBorders>
                    <w:tl2br w:val="nil"/>
                    <w:tr2bl w:val="nil"/>
                  </w:tcBorders>
                  <w:noWrap w:val="0"/>
                  <w:vAlign w:val="center"/>
                </w:tcPr>
                <w:p w14:paraId="4099C7E2">
                  <w:pPr>
                    <w:autoSpaceDE w:val="0"/>
                    <w:autoSpaceDN w:val="0"/>
                    <w:adjustRightInd w:val="0"/>
                    <w:snapToGrid w:val="0"/>
                    <w:jc w:val="center"/>
                    <w:rPr>
                      <w:rFonts w:hint="default" w:ascii="Times New Roman" w:hAnsi="Times New Roman" w:cs="Times New Roman"/>
                      <w:kern w:val="0"/>
                      <w:sz w:val="21"/>
                      <w:szCs w:val="21"/>
                      <w:lang w:val="en-US" w:eastAsia="zh-CN"/>
                    </w:rPr>
                  </w:pPr>
                </w:p>
              </w:tc>
              <w:tc>
                <w:tcPr>
                  <w:tcW w:w="1376" w:type="pct"/>
                  <w:tcBorders>
                    <w:tl2br w:val="nil"/>
                    <w:tr2bl w:val="nil"/>
                  </w:tcBorders>
                  <w:noWrap w:val="0"/>
                  <w:vAlign w:val="center"/>
                </w:tcPr>
                <w:p w14:paraId="4B4AA921">
                  <w:pPr>
                    <w:adjustRightInd w:val="0"/>
                    <w:snapToGrid w:val="0"/>
                    <w:jc w:val="center"/>
                    <w:rPr>
                      <w:rFonts w:hint="default" w:ascii="Times New Roman" w:hAnsi="Times New Roman" w:cs="Times New Roman"/>
                      <w:snapToGrid w:val="0"/>
                      <w:sz w:val="21"/>
                      <w:szCs w:val="21"/>
                      <w:lang w:val="en-US" w:eastAsia="zh-CN"/>
                    </w:rPr>
                  </w:pPr>
                  <w:r>
                    <w:rPr>
                      <w:rFonts w:hint="eastAsia" w:ascii="Times New Roman" w:hAnsi="Times New Roman" w:cs="Times New Roman"/>
                      <w:snapToGrid w:val="0"/>
                      <w:sz w:val="21"/>
                      <w:szCs w:val="21"/>
                      <w:lang w:val="en-US" w:eastAsia="zh-CN"/>
                    </w:rPr>
                    <w:t>悬浮物、五日生化需氧量、动植物</w:t>
                  </w:r>
                  <w:r>
                    <w:rPr>
                      <w:rFonts w:hint="eastAsia" w:cs="Times New Roman"/>
                      <w:snapToGrid w:val="0"/>
                      <w:sz w:val="21"/>
                      <w:szCs w:val="21"/>
                      <w:lang w:val="en-US" w:eastAsia="zh-CN"/>
                    </w:rPr>
                    <w:t>油</w:t>
                  </w:r>
                </w:p>
              </w:tc>
              <w:tc>
                <w:tcPr>
                  <w:tcW w:w="722" w:type="pct"/>
                  <w:tcBorders>
                    <w:tl2br w:val="nil"/>
                    <w:tr2bl w:val="nil"/>
                  </w:tcBorders>
                  <w:noWrap w:val="0"/>
                  <w:vAlign w:val="center"/>
                </w:tcPr>
                <w:p w14:paraId="1A133E51">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1次/季度</w:t>
                  </w:r>
                </w:p>
              </w:tc>
              <w:tc>
                <w:tcPr>
                  <w:tcW w:w="1549" w:type="pct"/>
                  <w:vMerge w:val="continue"/>
                  <w:tcBorders>
                    <w:tl2br w:val="nil"/>
                    <w:tr2bl w:val="nil"/>
                  </w:tcBorders>
                  <w:noWrap w:val="0"/>
                  <w:vAlign w:val="center"/>
                </w:tcPr>
                <w:p w14:paraId="0BDBED61">
                  <w:pPr>
                    <w:autoSpaceDE w:val="0"/>
                    <w:autoSpaceDN w:val="0"/>
                    <w:adjustRightInd w:val="0"/>
                    <w:snapToGrid w:val="0"/>
                    <w:jc w:val="center"/>
                    <w:rPr>
                      <w:rFonts w:hint="default" w:ascii="Times New Roman" w:hAnsi="Times New Roman" w:cs="Times New Roman"/>
                      <w:kern w:val="0"/>
                      <w:sz w:val="21"/>
                      <w:szCs w:val="21"/>
                    </w:rPr>
                  </w:pPr>
                </w:p>
              </w:tc>
            </w:tr>
          </w:tbl>
          <w:p w14:paraId="237429F2">
            <w:pPr>
              <w:spacing w:line="360" w:lineRule="auto"/>
              <w:rPr>
                <w:rFonts w:hint="default" w:ascii="Times New Roman" w:hAnsi="Times New Roman" w:eastAsia="宋体" w:cs="Times New Roman"/>
                <w:b/>
                <w:bCs/>
                <w:sz w:val="24"/>
              </w:rPr>
            </w:pPr>
            <w:r>
              <w:rPr>
                <w:rFonts w:hint="eastAsia" w:cs="Times New Roman"/>
                <w:b/>
                <w:bCs/>
                <w:sz w:val="24"/>
                <w:lang w:val="en-US" w:eastAsia="zh-CN"/>
              </w:rPr>
              <w:t xml:space="preserve">3 </w:t>
            </w:r>
            <w:r>
              <w:rPr>
                <w:rFonts w:hint="default" w:ascii="Times New Roman" w:hAnsi="Times New Roman" w:eastAsia="宋体" w:cs="Times New Roman"/>
                <w:b/>
                <w:bCs/>
                <w:sz w:val="24"/>
              </w:rPr>
              <w:t>声环境</w:t>
            </w:r>
          </w:p>
          <w:p w14:paraId="6D1114BF">
            <w:pPr>
              <w:spacing w:line="360" w:lineRule="auto"/>
              <w:rPr>
                <w:rFonts w:hint="default" w:ascii="Times New Roman" w:hAnsi="Times New Roman" w:eastAsia="宋体" w:cs="Times New Roman"/>
                <w:b/>
                <w:bCs w:val="0"/>
                <w:sz w:val="24"/>
              </w:rPr>
            </w:pPr>
            <w:r>
              <w:rPr>
                <w:rFonts w:hint="eastAsia" w:cs="Times New Roman"/>
                <w:b/>
                <w:bCs w:val="0"/>
                <w:sz w:val="24"/>
                <w:lang w:val="en-US" w:eastAsia="zh-CN"/>
              </w:rPr>
              <w:t>3</w:t>
            </w:r>
            <w:r>
              <w:rPr>
                <w:rFonts w:hint="eastAsia" w:ascii="Times New Roman" w:hAnsi="Times New Roman" w:eastAsia="宋体" w:cs="Times New Roman"/>
                <w:b/>
                <w:bCs w:val="0"/>
                <w:sz w:val="24"/>
                <w:lang w:val="en-US" w:eastAsia="zh-CN"/>
              </w:rPr>
              <w:t>.</w:t>
            </w:r>
            <w:r>
              <w:rPr>
                <w:rFonts w:hint="default" w:ascii="Times New Roman" w:hAnsi="Times New Roman" w:eastAsia="宋体" w:cs="Times New Roman"/>
                <w:b/>
                <w:bCs w:val="0"/>
                <w:sz w:val="24"/>
              </w:rPr>
              <w:t>1</w:t>
            </w:r>
            <w:r>
              <w:rPr>
                <w:rFonts w:hint="eastAsia" w:cs="Times New Roman"/>
                <w:b/>
                <w:bCs w:val="0"/>
                <w:sz w:val="24"/>
                <w:lang w:val="en-US" w:eastAsia="zh-CN"/>
              </w:rPr>
              <w:t xml:space="preserve"> </w:t>
            </w:r>
            <w:r>
              <w:rPr>
                <w:rFonts w:hint="default" w:ascii="Times New Roman" w:hAnsi="Times New Roman" w:eastAsia="宋体" w:cs="Times New Roman"/>
                <w:b/>
                <w:bCs w:val="0"/>
                <w:sz w:val="24"/>
              </w:rPr>
              <w:t>源强分析</w:t>
            </w:r>
          </w:p>
          <w:p w14:paraId="0D7BECE4">
            <w:pPr>
              <w:adjustRightInd w:val="0"/>
              <w:snapToGrid w:val="0"/>
              <w:spacing w:line="360" w:lineRule="auto"/>
              <w:ind w:firstLine="480"/>
              <w:rPr>
                <w:rFonts w:hint="default"/>
              </w:rPr>
            </w:pPr>
            <w:bookmarkStart w:id="3" w:name="_Hlk21430199"/>
            <w:r>
              <w:rPr>
                <w:rFonts w:hint="default" w:ascii="Times New Roman" w:hAnsi="Times New Roman" w:eastAsia="宋体" w:cs="Times New Roman"/>
                <w:sz w:val="24"/>
              </w:rPr>
              <w:t>项目运营期噪声源主要包括各个生产设备产生的噪声，项目主要噪声源强情况统计于表</w:t>
            </w:r>
            <w:r>
              <w:rPr>
                <w:rFonts w:hint="eastAsia" w:ascii="Times New Roman" w:hAnsi="Times New Roman" w:eastAsia="宋体" w:cs="Times New Roman"/>
                <w:sz w:val="24"/>
                <w:lang w:val="en-US" w:eastAsia="zh-CN"/>
              </w:rPr>
              <w:t>4-</w:t>
            </w:r>
            <w:r>
              <w:rPr>
                <w:rFonts w:hint="eastAsia" w:cs="Times New Roman"/>
                <w:sz w:val="24"/>
                <w:lang w:val="en-US" w:eastAsia="zh-CN"/>
              </w:rPr>
              <w:t>18</w:t>
            </w:r>
            <w:r>
              <w:rPr>
                <w:rFonts w:hint="default" w:ascii="Times New Roman" w:hAnsi="Times New Roman" w:eastAsia="宋体" w:cs="Times New Roman"/>
                <w:sz w:val="24"/>
              </w:rPr>
              <w:t>。</w:t>
            </w:r>
          </w:p>
          <w:p w14:paraId="09DC4463">
            <w:pPr>
              <w:pStyle w:val="33"/>
              <w:rPr>
                <w:rFonts w:hint="default" w:ascii="黑体" w:hAnsi="黑体" w:eastAsia="黑体" w:cs="黑体"/>
                <w:b w:val="0"/>
                <w:bCs/>
                <w:color w:val="auto"/>
                <w:kern w:val="0"/>
                <w:sz w:val="21"/>
                <w:szCs w:val="21"/>
                <w:highlight w:val="none"/>
                <w:lang w:val="en-US" w:eastAsia="zh-CN" w:bidi="ar-SA"/>
              </w:rPr>
            </w:pPr>
            <w:r>
              <w:rPr>
                <w:rFonts w:hint="default" w:ascii="黑体" w:hAnsi="黑体" w:eastAsia="黑体" w:cs="黑体"/>
                <w:b w:val="0"/>
                <w:bCs/>
                <w:color w:val="auto"/>
                <w:kern w:val="0"/>
                <w:sz w:val="21"/>
                <w:szCs w:val="21"/>
                <w:highlight w:val="none"/>
                <w:lang w:val="en-US" w:eastAsia="zh-CN" w:bidi="ar-SA"/>
              </w:rPr>
              <w:t>表4-</w:t>
            </w:r>
            <w:r>
              <w:rPr>
                <w:rFonts w:hint="eastAsia" w:ascii="黑体" w:hAnsi="黑体" w:eastAsia="黑体" w:cs="黑体"/>
                <w:b w:val="0"/>
                <w:bCs/>
                <w:color w:val="auto"/>
                <w:kern w:val="0"/>
                <w:sz w:val="21"/>
                <w:szCs w:val="21"/>
                <w:highlight w:val="none"/>
                <w:lang w:val="en-US" w:eastAsia="zh-CN" w:bidi="ar-SA"/>
              </w:rPr>
              <w:t>18</w:t>
            </w:r>
            <w:r>
              <w:rPr>
                <w:rFonts w:hint="default" w:ascii="黑体" w:hAnsi="黑体" w:eastAsia="黑体" w:cs="黑体"/>
                <w:b w:val="0"/>
                <w:bCs/>
                <w:color w:val="auto"/>
                <w:kern w:val="0"/>
                <w:sz w:val="21"/>
                <w:szCs w:val="21"/>
                <w:highlight w:val="none"/>
                <w:lang w:val="en-US" w:eastAsia="zh-CN" w:bidi="ar-SA"/>
              </w:rPr>
              <w:t xml:space="preserve">  </w:t>
            </w:r>
            <w:r>
              <w:rPr>
                <w:rFonts w:hint="eastAsia" w:ascii="黑体" w:hAnsi="黑体" w:eastAsia="黑体" w:cs="黑体"/>
                <w:b w:val="0"/>
                <w:bCs/>
                <w:color w:val="auto"/>
                <w:kern w:val="0"/>
                <w:sz w:val="21"/>
                <w:szCs w:val="21"/>
                <w:highlight w:val="none"/>
                <w:lang w:val="en-US" w:eastAsia="zh-CN" w:bidi="ar-SA"/>
              </w:rPr>
              <w:t xml:space="preserve">  </w:t>
            </w:r>
            <w:r>
              <w:rPr>
                <w:rFonts w:hint="default" w:ascii="黑体" w:hAnsi="黑体" w:eastAsia="黑体" w:cs="黑体"/>
                <w:b w:val="0"/>
                <w:bCs/>
                <w:color w:val="auto"/>
                <w:kern w:val="0"/>
                <w:sz w:val="21"/>
                <w:szCs w:val="21"/>
                <w:highlight w:val="none"/>
                <w:lang w:val="en-US" w:eastAsia="zh-CN" w:bidi="ar-SA"/>
              </w:rPr>
              <w:t xml:space="preserve"> 噪声源强统计表</w:t>
            </w:r>
          </w:p>
          <w:tbl>
            <w:tblPr>
              <w:tblStyle w:val="21"/>
              <w:tblW w:w="4974" w:type="pct"/>
              <w:tblInd w:w="-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6"/>
              <w:gridCol w:w="1537"/>
              <w:gridCol w:w="1558"/>
              <w:gridCol w:w="518"/>
              <w:gridCol w:w="698"/>
              <w:gridCol w:w="3753"/>
            </w:tblGrid>
            <w:tr w14:paraId="19DD1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295" w:type="pct"/>
                  <w:tcBorders>
                    <w:tl2br w:val="nil"/>
                    <w:tr2bl w:val="nil"/>
                  </w:tcBorders>
                  <w:noWrap w:val="0"/>
                  <w:vAlign w:val="center"/>
                </w:tcPr>
                <w:p w14:paraId="1CE48BD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896" w:type="pct"/>
                  <w:tcBorders>
                    <w:tl2br w:val="nil"/>
                    <w:tr2bl w:val="nil"/>
                  </w:tcBorders>
                  <w:noWrap w:val="0"/>
                  <w:vAlign w:val="center"/>
                </w:tcPr>
                <w:p w14:paraId="424A22C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所在车间</w:t>
                  </w:r>
                </w:p>
              </w:tc>
              <w:tc>
                <w:tcPr>
                  <w:tcW w:w="908" w:type="pct"/>
                  <w:tcBorders>
                    <w:tl2br w:val="nil"/>
                    <w:tr2bl w:val="nil"/>
                  </w:tcBorders>
                  <w:noWrap w:val="0"/>
                  <w:vAlign w:val="center"/>
                </w:tcPr>
                <w:p w14:paraId="5F37CBE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302" w:type="pct"/>
                  <w:tcBorders>
                    <w:tl2br w:val="nil"/>
                    <w:tr2bl w:val="nil"/>
                  </w:tcBorders>
                  <w:noWrap w:val="0"/>
                  <w:vAlign w:val="center"/>
                </w:tcPr>
                <w:p w14:paraId="6FB6605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单位</w:t>
                  </w:r>
                </w:p>
              </w:tc>
              <w:tc>
                <w:tcPr>
                  <w:tcW w:w="407" w:type="pct"/>
                  <w:tcBorders>
                    <w:tl2br w:val="nil"/>
                    <w:tr2bl w:val="nil"/>
                  </w:tcBorders>
                  <w:noWrap w:val="0"/>
                  <w:vAlign w:val="center"/>
                </w:tcPr>
                <w:p w14:paraId="7E4F6CB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数量</w:t>
                  </w:r>
                </w:p>
              </w:tc>
              <w:tc>
                <w:tcPr>
                  <w:tcW w:w="2188" w:type="pct"/>
                  <w:tcBorders>
                    <w:tl2br w:val="nil"/>
                    <w:tr2bl w:val="nil"/>
                  </w:tcBorders>
                  <w:noWrap w:val="0"/>
                  <w:vAlign w:val="center"/>
                </w:tcPr>
                <w:p w14:paraId="18E5516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单台设备1米处声压级Leq dB（A）</w:t>
                  </w:r>
                </w:p>
              </w:tc>
            </w:tr>
            <w:tr w14:paraId="5F6D5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95" w:type="pct"/>
                  <w:tcBorders>
                    <w:tl2br w:val="nil"/>
                    <w:tr2bl w:val="nil"/>
                  </w:tcBorders>
                  <w:noWrap w:val="0"/>
                  <w:vAlign w:val="center"/>
                </w:tcPr>
                <w:p w14:paraId="67D2059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96" w:type="pct"/>
                  <w:vMerge w:val="restart"/>
                  <w:tcBorders>
                    <w:tl2br w:val="nil"/>
                    <w:tr2bl w:val="nil"/>
                  </w:tcBorders>
                  <w:noWrap w:val="0"/>
                  <w:vAlign w:val="center"/>
                </w:tcPr>
                <w:p w14:paraId="633D49B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剥绒</w:t>
                  </w:r>
                  <w:r>
                    <w:rPr>
                      <w:rFonts w:hint="eastAsia" w:ascii="Times New Roman" w:hAnsi="Times New Roman" w:eastAsia="宋体" w:cs="Times New Roman"/>
                      <w:szCs w:val="21"/>
                      <w:lang w:val="en-US" w:eastAsia="zh-CN"/>
                    </w:rPr>
                    <w:t>车间</w:t>
                  </w:r>
                </w:p>
              </w:tc>
              <w:tc>
                <w:tcPr>
                  <w:tcW w:w="908" w:type="pct"/>
                  <w:tcBorders>
                    <w:tl2br w:val="nil"/>
                    <w:tr2bl w:val="nil"/>
                  </w:tcBorders>
                  <w:noWrap w:val="0"/>
                  <w:vAlign w:val="center"/>
                </w:tcPr>
                <w:p w14:paraId="12B8907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提升机</w:t>
                  </w:r>
                </w:p>
              </w:tc>
              <w:tc>
                <w:tcPr>
                  <w:tcW w:w="302" w:type="pct"/>
                  <w:tcBorders>
                    <w:tl2br w:val="nil"/>
                    <w:tr2bl w:val="nil"/>
                  </w:tcBorders>
                  <w:noWrap w:val="0"/>
                  <w:vAlign w:val="center"/>
                </w:tcPr>
                <w:p w14:paraId="40BFE68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747F379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1B4D202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80</w:t>
                  </w:r>
                </w:p>
              </w:tc>
            </w:tr>
            <w:tr w14:paraId="14194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95" w:type="pct"/>
                  <w:tcBorders>
                    <w:tl2br w:val="nil"/>
                    <w:tr2bl w:val="nil"/>
                  </w:tcBorders>
                  <w:noWrap w:val="0"/>
                  <w:vAlign w:val="center"/>
                </w:tcPr>
                <w:p w14:paraId="4BF4422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96" w:type="pct"/>
                  <w:vMerge w:val="continue"/>
                  <w:tcBorders>
                    <w:tl2br w:val="nil"/>
                    <w:tr2bl w:val="nil"/>
                  </w:tcBorders>
                  <w:noWrap w:val="0"/>
                  <w:vAlign w:val="center"/>
                </w:tcPr>
                <w:p w14:paraId="231C281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18892F7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清籽机</w:t>
                  </w:r>
                </w:p>
              </w:tc>
              <w:tc>
                <w:tcPr>
                  <w:tcW w:w="302" w:type="pct"/>
                  <w:tcBorders>
                    <w:tl2br w:val="nil"/>
                    <w:tr2bl w:val="nil"/>
                  </w:tcBorders>
                  <w:noWrap w:val="0"/>
                  <w:vAlign w:val="center"/>
                </w:tcPr>
                <w:p w14:paraId="750159E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62B2F60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3E6F33A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80</w:t>
                  </w:r>
                </w:p>
              </w:tc>
            </w:tr>
            <w:tr w14:paraId="6FEBB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 w:hRule="atLeast"/>
              </w:trPr>
              <w:tc>
                <w:tcPr>
                  <w:tcW w:w="295" w:type="pct"/>
                  <w:tcBorders>
                    <w:tl2br w:val="nil"/>
                    <w:tr2bl w:val="nil"/>
                  </w:tcBorders>
                  <w:noWrap w:val="0"/>
                  <w:vAlign w:val="center"/>
                </w:tcPr>
                <w:p w14:paraId="55605ED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3</w:t>
                  </w:r>
                </w:p>
              </w:tc>
              <w:tc>
                <w:tcPr>
                  <w:tcW w:w="896" w:type="pct"/>
                  <w:vMerge w:val="continue"/>
                  <w:tcBorders>
                    <w:tl2br w:val="nil"/>
                    <w:tr2bl w:val="nil"/>
                  </w:tcBorders>
                  <w:noWrap w:val="0"/>
                  <w:vAlign w:val="center"/>
                </w:tcPr>
                <w:p w14:paraId="5F0AA2B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637D7B1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中央</w:t>
                  </w:r>
                  <w:r>
                    <w:rPr>
                      <w:rFonts w:hint="eastAsia" w:cs="Times New Roman"/>
                      <w:szCs w:val="21"/>
                      <w:lang w:val="en-US" w:eastAsia="zh-CN"/>
                    </w:rPr>
                    <w:t>除</w:t>
                  </w:r>
                  <w:r>
                    <w:rPr>
                      <w:rFonts w:hint="eastAsia" w:ascii="Times New Roman" w:hAnsi="Times New Roman" w:eastAsia="宋体" w:cs="Times New Roman"/>
                      <w:szCs w:val="21"/>
                      <w:lang w:val="en-US" w:eastAsia="zh-CN"/>
                    </w:rPr>
                    <w:t>尘设备</w:t>
                  </w:r>
                </w:p>
              </w:tc>
              <w:tc>
                <w:tcPr>
                  <w:tcW w:w="302" w:type="pct"/>
                  <w:tcBorders>
                    <w:tl2br w:val="nil"/>
                    <w:tr2bl w:val="nil"/>
                  </w:tcBorders>
                  <w:noWrap w:val="0"/>
                  <w:vAlign w:val="center"/>
                </w:tcPr>
                <w:p w14:paraId="5F4E756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4561C5A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2A793D2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r>
            <w:tr w14:paraId="178A6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295" w:type="pct"/>
                  <w:tcBorders>
                    <w:tl2br w:val="nil"/>
                    <w:tr2bl w:val="nil"/>
                  </w:tcBorders>
                  <w:noWrap w:val="0"/>
                  <w:vAlign w:val="center"/>
                </w:tcPr>
                <w:p w14:paraId="47D665D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4</w:t>
                  </w:r>
                </w:p>
              </w:tc>
              <w:tc>
                <w:tcPr>
                  <w:tcW w:w="896" w:type="pct"/>
                  <w:vMerge w:val="restart"/>
                  <w:tcBorders>
                    <w:tl2br w:val="nil"/>
                    <w:tr2bl w:val="nil"/>
                  </w:tcBorders>
                  <w:noWrap w:val="0"/>
                  <w:vAlign w:val="center"/>
                </w:tcPr>
                <w:p w14:paraId="584239A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预处理</w:t>
                  </w:r>
                  <w:r>
                    <w:rPr>
                      <w:rFonts w:hint="default" w:ascii="Times New Roman" w:hAnsi="Times New Roman" w:eastAsia="宋体" w:cs="Times New Roman"/>
                      <w:szCs w:val="21"/>
                    </w:rPr>
                    <w:t>车间</w:t>
                  </w:r>
                </w:p>
              </w:tc>
              <w:tc>
                <w:tcPr>
                  <w:tcW w:w="908" w:type="pct"/>
                  <w:tcBorders>
                    <w:tl2br w:val="nil"/>
                    <w:tr2bl w:val="nil"/>
                  </w:tcBorders>
                  <w:noWrap w:val="0"/>
                  <w:vAlign w:val="center"/>
                </w:tcPr>
                <w:p w14:paraId="5577D3B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清籽机</w:t>
                  </w:r>
                </w:p>
              </w:tc>
              <w:tc>
                <w:tcPr>
                  <w:tcW w:w="302" w:type="pct"/>
                  <w:tcBorders>
                    <w:tl2br w:val="nil"/>
                    <w:tr2bl w:val="nil"/>
                  </w:tcBorders>
                  <w:noWrap w:val="0"/>
                  <w:vAlign w:val="center"/>
                </w:tcPr>
                <w:p w14:paraId="6EBE4EA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15A8474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2188" w:type="pct"/>
                  <w:tcBorders>
                    <w:tl2br w:val="nil"/>
                    <w:tr2bl w:val="nil"/>
                  </w:tcBorders>
                  <w:noWrap w:val="0"/>
                  <w:vAlign w:val="center"/>
                </w:tcPr>
                <w:p w14:paraId="7C3FB74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80</w:t>
                  </w:r>
                </w:p>
              </w:tc>
            </w:tr>
            <w:tr w14:paraId="4629A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95" w:type="pct"/>
                  <w:tcBorders>
                    <w:tl2br w:val="nil"/>
                    <w:tr2bl w:val="nil"/>
                  </w:tcBorders>
                  <w:noWrap w:val="0"/>
                  <w:vAlign w:val="center"/>
                </w:tcPr>
                <w:p w14:paraId="6E8D039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5</w:t>
                  </w:r>
                </w:p>
              </w:tc>
              <w:tc>
                <w:tcPr>
                  <w:tcW w:w="896" w:type="pct"/>
                  <w:vMerge w:val="continue"/>
                  <w:tcBorders>
                    <w:tl2br w:val="nil"/>
                    <w:tr2bl w:val="nil"/>
                  </w:tcBorders>
                  <w:noWrap w:val="0"/>
                  <w:vAlign w:val="center"/>
                </w:tcPr>
                <w:p w14:paraId="211FF17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4459DD4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default" w:ascii="Times New Roman" w:hAnsi="Times New Roman" w:eastAsia="Arial" w:cs="Times New Roman"/>
                      <w:snapToGrid w:val="0"/>
                      <w:color w:val="000000"/>
                      <w:kern w:val="0"/>
                      <w:sz w:val="21"/>
                      <w:szCs w:val="21"/>
                      <w:lang w:val="en-US" w:eastAsia="zh-CN"/>
                    </w:rPr>
                    <w:t>提升机</w:t>
                  </w:r>
                </w:p>
              </w:tc>
              <w:tc>
                <w:tcPr>
                  <w:tcW w:w="302" w:type="pct"/>
                  <w:tcBorders>
                    <w:tl2br w:val="nil"/>
                    <w:tr2bl w:val="nil"/>
                  </w:tcBorders>
                  <w:noWrap w:val="0"/>
                  <w:vAlign w:val="center"/>
                </w:tcPr>
                <w:p w14:paraId="6847277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54EC6B5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1</w:t>
                  </w:r>
                </w:p>
              </w:tc>
              <w:tc>
                <w:tcPr>
                  <w:tcW w:w="2188" w:type="pct"/>
                  <w:tcBorders>
                    <w:tl2br w:val="nil"/>
                    <w:tr2bl w:val="nil"/>
                  </w:tcBorders>
                  <w:noWrap w:val="0"/>
                  <w:vAlign w:val="center"/>
                </w:tcPr>
                <w:p w14:paraId="7D574D1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80</w:t>
                  </w:r>
                </w:p>
              </w:tc>
            </w:tr>
            <w:tr w14:paraId="258E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5" w:type="pct"/>
                  <w:tcBorders>
                    <w:tl2br w:val="nil"/>
                    <w:tr2bl w:val="nil"/>
                  </w:tcBorders>
                  <w:noWrap w:val="0"/>
                  <w:vAlign w:val="center"/>
                </w:tcPr>
                <w:p w14:paraId="559DEE3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6</w:t>
                  </w:r>
                </w:p>
              </w:tc>
              <w:tc>
                <w:tcPr>
                  <w:tcW w:w="896" w:type="pct"/>
                  <w:vMerge w:val="continue"/>
                  <w:tcBorders>
                    <w:tl2br w:val="nil"/>
                    <w:tr2bl w:val="nil"/>
                  </w:tcBorders>
                  <w:noWrap w:val="0"/>
                  <w:vAlign w:val="center"/>
                </w:tcPr>
                <w:p w14:paraId="0E4854A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7FF6D61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蒸</w:t>
                  </w:r>
                  <w:r>
                    <w:rPr>
                      <w:rFonts w:hint="eastAsia" w:cs="Times New Roman"/>
                      <w:szCs w:val="21"/>
                      <w:lang w:val="en-US" w:eastAsia="zh-CN"/>
                    </w:rPr>
                    <w:t>发</w:t>
                  </w:r>
                </w:p>
              </w:tc>
              <w:tc>
                <w:tcPr>
                  <w:tcW w:w="302" w:type="pct"/>
                  <w:tcBorders>
                    <w:tl2br w:val="nil"/>
                    <w:tr2bl w:val="nil"/>
                  </w:tcBorders>
                  <w:noWrap w:val="0"/>
                  <w:vAlign w:val="center"/>
                </w:tcPr>
                <w:p w14:paraId="02F180D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7DB6796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7355272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w:t>
                  </w:r>
                </w:p>
              </w:tc>
            </w:tr>
            <w:tr w14:paraId="17CA0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1" w:hRule="atLeast"/>
              </w:trPr>
              <w:tc>
                <w:tcPr>
                  <w:tcW w:w="295" w:type="pct"/>
                  <w:tcBorders>
                    <w:tl2br w:val="nil"/>
                    <w:tr2bl w:val="nil"/>
                  </w:tcBorders>
                  <w:noWrap w:val="0"/>
                  <w:vAlign w:val="center"/>
                </w:tcPr>
                <w:p w14:paraId="32C9A6E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7</w:t>
                  </w:r>
                </w:p>
              </w:tc>
              <w:tc>
                <w:tcPr>
                  <w:tcW w:w="896" w:type="pct"/>
                  <w:vMerge w:val="continue"/>
                  <w:tcBorders>
                    <w:tl2br w:val="nil"/>
                    <w:tr2bl w:val="nil"/>
                  </w:tcBorders>
                  <w:noWrap w:val="0"/>
                  <w:vAlign w:val="center"/>
                </w:tcPr>
                <w:p w14:paraId="5E0F885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5B4E17C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中央</w:t>
                  </w:r>
                  <w:r>
                    <w:rPr>
                      <w:rFonts w:hint="eastAsia" w:cs="Times New Roman"/>
                      <w:szCs w:val="21"/>
                      <w:lang w:val="en-US" w:eastAsia="zh-CN"/>
                    </w:rPr>
                    <w:t>除</w:t>
                  </w:r>
                  <w:r>
                    <w:rPr>
                      <w:rFonts w:hint="eastAsia" w:ascii="Times New Roman" w:hAnsi="Times New Roman" w:eastAsia="宋体" w:cs="Times New Roman"/>
                      <w:szCs w:val="21"/>
                      <w:lang w:val="en-US" w:eastAsia="zh-CN"/>
                    </w:rPr>
                    <w:t>尘设备</w:t>
                  </w:r>
                </w:p>
              </w:tc>
              <w:tc>
                <w:tcPr>
                  <w:tcW w:w="302" w:type="pct"/>
                  <w:tcBorders>
                    <w:tl2br w:val="nil"/>
                    <w:tr2bl w:val="nil"/>
                  </w:tcBorders>
                  <w:noWrap w:val="0"/>
                  <w:vAlign w:val="center"/>
                </w:tcPr>
                <w:p w14:paraId="29297ED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2CE1608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617D73B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75</w:t>
                  </w:r>
                </w:p>
              </w:tc>
            </w:tr>
            <w:tr w14:paraId="1B68F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5" w:type="pct"/>
                  <w:tcBorders>
                    <w:tl2br w:val="nil"/>
                    <w:tr2bl w:val="nil"/>
                  </w:tcBorders>
                  <w:noWrap w:val="0"/>
                  <w:vAlign w:val="center"/>
                </w:tcPr>
                <w:p w14:paraId="3070B75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8</w:t>
                  </w:r>
                </w:p>
              </w:tc>
              <w:tc>
                <w:tcPr>
                  <w:tcW w:w="896" w:type="pct"/>
                  <w:vMerge w:val="restart"/>
                  <w:tcBorders>
                    <w:tl2br w:val="nil"/>
                    <w:tr2bl w:val="nil"/>
                  </w:tcBorders>
                  <w:noWrap w:val="0"/>
                  <w:vAlign w:val="center"/>
                </w:tcPr>
                <w:p w14:paraId="445E7C2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浸出</w:t>
                  </w:r>
                  <w:r>
                    <w:rPr>
                      <w:rFonts w:hint="eastAsia" w:cs="Times New Roman"/>
                      <w:szCs w:val="21"/>
                      <w:lang w:val="en-US" w:eastAsia="zh-CN"/>
                    </w:rPr>
                    <w:t>车间</w:t>
                  </w:r>
                </w:p>
              </w:tc>
              <w:tc>
                <w:tcPr>
                  <w:tcW w:w="908" w:type="pct"/>
                  <w:tcBorders>
                    <w:tl2br w:val="nil"/>
                    <w:tr2bl w:val="nil"/>
                  </w:tcBorders>
                  <w:noWrap w:val="0"/>
                  <w:vAlign w:val="center"/>
                </w:tcPr>
                <w:p w14:paraId="6466AEE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刮板机</w:t>
                  </w:r>
                </w:p>
              </w:tc>
              <w:tc>
                <w:tcPr>
                  <w:tcW w:w="302" w:type="pct"/>
                  <w:tcBorders>
                    <w:tl2br w:val="nil"/>
                    <w:tr2bl w:val="nil"/>
                  </w:tcBorders>
                  <w:noWrap w:val="0"/>
                  <w:vAlign w:val="center"/>
                </w:tcPr>
                <w:p w14:paraId="692040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7BF1EC2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c>
                <w:tcPr>
                  <w:tcW w:w="2188" w:type="pct"/>
                  <w:tcBorders>
                    <w:tl2br w:val="nil"/>
                    <w:tr2bl w:val="nil"/>
                  </w:tcBorders>
                  <w:noWrap w:val="0"/>
                  <w:vAlign w:val="center"/>
                </w:tcPr>
                <w:p w14:paraId="52CA4A8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60</w:t>
                  </w:r>
                </w:p>
              </w:tc>
            </w:tr>
            <w:tr w14:paraId="5DF22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5" w:type="pct"/>
                  <w:tcBorders>
                    <w:tl2br w:val="nil"/>
                    <w:tr2bl w:val="nil"/>
                  </w:tcBorders>
                  <w:noWrap w:val="0"/>
                  <w:vAlign w:val="center"/>
                </w:tcPr>
                <w:p w14:paraId="51F96FA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896" w:type="pct"/>
                  <w:vMerge w:val="continue"/>
                  <w:tcBorders>
                    <w:tl2br w:val="nil"/>
                    <w:tr2bl w:val="nil"/>
                  </w:tcBorders>
                  <w:noWrap w:val="0"/>
                  <w:vAlign w:val="center"/>
                </w:tcPr>
                <w:p w14:paraId="76AF8A1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292DCF6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浸出萃取机</w:t>
                  </w:r>
                </w:p>
              </w:tc>
              <w:tc>
                <w:tcPr>
                  <w:tcW w:w="302" w:type="pct"/>
                  <w:tcBorders>
                    <w:tl2br w:val="nil"/>
                    <w:tr2bl w:val="nil"/>
                  </w:tcBorders>
                  <w:noWrap w:val="0"/>
                  <w:vAlign w:val="center"/>
                </w:tcPr>
                <w:p w14:paraId="0835496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7D84599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188" w:type="pct"/>
                  <w:tcBorders>
                    <w:tl2br w:val="nil"/>
                    <w:tr2bl w:val="nil"/>
                  </w:tcBorders>
                  <w:noWrap w:val="0"/>
                  <w:vAlign w:val="center"/>
                </w:tcPr>
                <w:p w14:paraId="3116702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65</w:t>
                  </w:r>
                </w:p>
              </w:tc>
            </w:tr>
            <w:tr w14:paraId="790E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295" w:type="pct"/>
                  <w:tcBorders>
                    <w:tl2br w:val="nil"/>
                    <w:tr2bl w:val="nil"/>
                  </w:tcBorders>
                  <w:noWrap w:val="0"/>
                  <w:vAlign w:val="center"/>
                </w:tcPr>
                <w:p w14:paraId="270A69E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96" w:type="pct"/>
                  <w:vMerge w:val="continue"/>
                  <w:tcBorders>
                    <w:tl2br w:val="nil"/>
                    <w:tr2bl w:val="nil"/>
                  </w:tcBorders>
                  <w:noWrap w:val="0"/>
                  <w:vAlign w:val="center"/>
                </w:tcPr>
                <w:p w14:paraId="4793BB8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7E7C28F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埋刮板</w:t>
                  </w:r>
                </w:p>
              </w:tc>
              <w:tc>
                <w:tcPr>
                  <w:tcW w:w="302" w:type="pct"/>
                  <w:tcBorders>
                    <w:tl2br w:val="nil"/>
                    <w:tr2bl w:val="nil"/>
                  </w:tcBorders>
                  <w:noWrap w:val="0"/>
                  <w:vAlign w:val="center"/>
                </w:tcPr>
                <w:p w14:paraId="6E0C316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428FCCC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2188" w:type="pct"/>
                  <w:tcBorders>
                    <w:tl2br w:val="nil"/>
                    <w:tr2bl w:val="nil"/>
                  </w:tcBorders>
                  <w:noWrap w:val="0"/>
                  <w:vAlign w:val="center"/>
                </w:tcPr>
                <w:p w14:paraId="482B02D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r>
            <w:tr w14:paraId="5FD9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5" w:type="pct"/>
                  <w:tcBorders>
                    <w:tl2br w:val="nil"/>
                    <w:tr2bl w:val="nil"/>
                  </w:tcBorders>
                  <w:noWrap w:val="0"/>
                  <w:vAlign w:val="center"/>
                </w:tcPr>
                <w:p w14:paraId="1A914D3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11</w:t>
                  </w:r>
                </w:p>
              </w:tc>
              <w:tc>
                <w:tcPr>
                  <w:tcW w:w="896" w:type="pct"/>
                  <w:vMerge w:val="continue"/>
                  <w:tcBorders>
                    <w:tl2br w:val="nil"/>
                    <w:tr2bl w:val="nil"/>
                  </w:tcBorders>
                  <w:noWrap w:val="0"/>
                  <w:vAlign w:val="center"/>
                </w:tcPr>
                <w:p w14:paraId="7CD0E75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446D274D">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过滤机</w:t>
                  </w:r>
                </w:p>
              </w:tc>
              <w:tc>
                <w:tcPr>
                  <w:tcW w:w="302" w:type="pct"/>
                  <w:tcBorders>
                    <w:tl2br w:val="nil"/>
                    <w:tr2bl w:val="nil"/>
                  </w:tcBorders>
                  <w:noWrap w:val="0"/>
                  <w:vAlign w:val="center"/>
                </w:tcPr>
                <w:p w14:paraId="13FE6F26">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54A5E4B9">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570FAB3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w:t>
                  </w:r>
                </w:p>
              </w:tc>
            </w:tr>
            <w:tr w14:paraId="47B9F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5" w:type="pct"/>
                  <w:tcBorders>
                    <w:tl2br w:val="nil"/>
                    <w:tr2bl w:val="nil"/>
                  </w:tcBorders>
                  <w:noWrap w:val="0"/>
                  <w:vAlign w:val="center"/>
                </w:tcPr>
                <w:p w14:paraId="280E9C9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12</w:t>
                  </w:r>
                </w:p>
              </w:tc>
              <w:tc>
                <w:tcPr>
                  <w:tcW w:w="896" w:type="pct"/>
                  <w:vMerge w:val="continue"/>
                  <w:tcBorders>
                    <w:tl2br w:val="nil"/>
                    <w:tr2bl w:val="nil"/>
                  </w:tcBorders>
                  <w:noWrap w:val="0"/>
                  <w:vAlign w:val="center"/>
                </w:tcPr>
                <w:p w14:paraId="5A50A04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p>
              </w:tc>
              <w:tc>
                <w:tcPr>
                  <w:tcW w:w="908" w:type="pct"/>
                  <w:tcBorders>
                    <w:tl2br w:val="nil"/>
                    <w:tr2bl w:val="nil"/>
                  </w:tcBorders>
                  <w:noWrap w:val="0"/>
                  <w:vAlign w:val="center"/>
                </w:tcPr>
                <w:p w14:paraId="56F89F0F">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中央集尘设备</w:t>
                  </w:r>
                </w:p>
              </w:tc>
              <w:tc>
                <w:tcPr>
                  <w:tcW w:w="302" w:type="pct"/>
                  <w:tcBorders>
                    <w:tl2br w:val="nil"/>
                    <w:tr2bl w:val="nil"/>
                  </w:tcBorders>
                  <w:noWrap w:val="0"/>
                  <w:vAlign w:val="center"/>
                </w:tcPr>
                <w:p w14:paraId="0524CB4F">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6733BDE7">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0DC45BD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r>
            <w:tr w14:paraId="7D07A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 w:hRule="atLeast"/>
              </w:trPr>
              <w:tc>
                <w:tcPr>
                  <w:tcW w:w="295" w:type="pct"/>
                  <w:tcBorders>
                    <w:tl2br w:val="nil"/>
                    <w:tr2bl w:val="nil"/>
                  </w:tcBorders>
                  <w:noWrap w:val="0"/>
                  <w:vAlign w:val="center"/>
                </w:tcPr>
                <w:p w14:paraId="18B628B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szCs w:val="21"/>
                      <w:lang w:val="en-US" w:eastAsia="zh-CN"/>
                    </w:rPr>
                  </w:pPr>
                  <w:r>
                    <w:rPr>
                      <w:rFonts w:hint="eastAsia" w:cs="Times New Roman"/>
                      <w:szCs w:val="21"/>
                      <w:lang w:val="en-US" w:eastAsia="zh-CN"/>
                    </w:rPr>
                    <w:t>13</w:t>
                  </w:r>
                </w:p>
              </w:tc>
              <w:tc>
                <w:tcPr>
                  <w:tcW w:w="896" w:type="pct"/>
                  <w:vMerge w:val="restart"/>
                  <w:tcBorders>
                    <w:tl2br w:val="nil"/>
                    <w:tr2bl w:val="nil"/>
                  </w:tcBorders>
                  <w:noWrap w:val="0"/>
                  <w:vAlign w:val="center"/>
                </w:tcPr>
                <w:p w14:paraId="24AAF08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rPr>
                  </w:pPr>
                  <w:r>
                    <w:rPr>
                      <w:rFonts w:hint="eastAsia" w:cs="Times New Roman"/>
                      <w:szCs w:val="21"/>
                      <w:highlight w:val="none"/>
                      <w:lang w:val="en-US" w:eastAsia="zh-CN"/>
                    </w:rPr>
                    <w:t>精炼</w:t>
                  </w:r>
                  <w:r>
                    <w:rPr>
                      <w:rFonts w:hint="default" w:ascii="Times New Roman" w:hAnsi="Times New Roman" w:eastAsia="宋体" w:cs="Times New Roman"/>
                      <w:szCs w:val="21"/>
                    </w:rPr>
                    <w:t>车间</w:t>
                  </w:r>
                </w:p>
              </w:tc>
              <w:tc>
                <w:tcPr>
                  <w:tcW w:w="908" w:type="pct"/>
                  <w:tcBorders>
                    <w:tl2br w:val="nil"/>
                    <w:tr2bl w:val="nil"/>
                  </w:tcBorders>
                  <w:noWrap w:val="0"/>
                  <w:vAlign w:val="center"/>
                </w:tcPr>
                <w:p w14:paraId="0B1F0EF4">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cs="Times New Roman"/>
                      <w:szCs w:val="21"/>
                      <w:lang w:val="en-US" w:eastAsia="zh-CN"/>
                    </w:rPr>
                  </w:pPr>
                  <w:r>
                    <w:rPr>
                      <w:rFonts w:hint="eastAsia" w:cs="Times New Roman"/>
                      <w:szCs w:val="21"/>
                      <w:lang w:val="en-US" w:eastAsia="zh-CN"/>
                    </w:rPr>
                    <w:t>水洗机</w:t>
                  </w:r>
                </w:p>
              </w:tc>
              <w:tc>
                <w:tcPr>
                  <w:tcW w:w="302" w:type="pct"/>
                  <w:tcBorders>
                    <w:tl2br w:val="nil"/>
                    <w:tr2bl w:val="nil"/>
                  </w:tcBorders>
                  <w:noWrap w:val="0"/>
                  <w:vAlign w:val="center"/>
                </w:tcPr>
                <w:p w14:paraId="65B31D74">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4484B0FB">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2ED5A89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r>
            <w:tr w14:paraId="29CB7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5" w:type="pct"/>
                  <w:tcBorders>
                    <w:tl2br w:val="nil"/>
                    <w:tr2bl w:val="nil"/>
                  </w:tcBorders>
                  <w:noWrap w:val="0"/>
                  <w:vAlign w:val="center"/>
                </w:tcPr>
                <w:p w14:paraId="2099DE9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szCs w:val="21"/>
                      <w:lang w:val="en-US" w:eastAsia="zh-CN"/>
                    </w:rPr>
                  </w:pPr>
                  <w:r>
                    <w:rPr>
                      <w:rFonts w:hint="eastAsia" w:cs="Times New Roman"/>
                      <w:szCs w:val="21"/>
                      <w:lang w:val="en-US" w:eastAsia="zh-CN"/>
                    </w:rPr>
                    <w:t>14</w:t>
                  </w:r>
                </w:p>
              </w:tc>
              <w:tc>
                <w:tcPr>
                  <w:tcW w:w="896" w:type="pct"/>
                  <w:vMerge w:val="continue"/>
                  <w:tcBorders>
                    <w:tl2br w:val="nil"/>
                    <w:tr2bl w:val="nil"/>
                  </w:tcBorders>
                  <w:noWrap w:val="0"/>
                  <w:vAlign w:val="center"/>
                </w:tcPr>
                <w:p w14:paraId="68A8FFB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szCs w:val="21"/>
                      <w:highlight w:val="none"/>
                      <w:lang w:val="en-US" w:eastAsia="zh-CN"/>
                    </w:rPr>
                  </w:pPr>
                </w:p>
              </w:tc>
              <w:tc>
                <w:tcPr>
                  <w:tcW w:w="908" w:type="pct"/>
                  <w:tcBorders>
                    <w:tl2br w:val="nil"/>
                    <w:tr2bl w:val="nil"/>
                  </w:tcBorders>
                  <w:noWrap w:val="0"/>
                  <w:vAlign w:val="center"/>
                </w:tcPr>
                <w:p w14:paraId="747A2031">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eastAsia" w:cs="Times New Roman"/>
                      <w:szCs w:val="21"/>
                      <w:lang w:val="en-US" w:eastAsia="zh-CN"/>
                    </w:rPr>
                  </w:pPr>
                  <w:r>
                    <w:rPr>
                      <w:rFonts w:hint="eastAsia"/>
                      <w:bCs/>
                      <w:sz w:val="21"/>
                      <w:szCs w:val="21"/>
                    </w:rPr>
                    <w:t>棉籽油冷却器</w:t>
                  </w:r>
                </w:p>
              </w:tc>
              <w:tc>
                <w:tcPr>
                  <w:tcW w:w="302" w:type="pct"/>
                  <w:tcBorders>
                    <w:tl2br w:val="nil"/>
                    <w:tr2bl w:val="nil"/>
                  </w:tcBorders>
                  <w:noWrap w:val="0"/>
                  <w:vAlign w:val="center"/>
                </w:tcPr>
                <w:p w14:paraId="31A70616">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台</w:t>
                  </w:r>
                </w:p>
              </w:tc>
              <w:tc>
                <w:tcPr>
                  <w:tcW w:w="407" w:type="pct"/>
                  <w:tcBorders>
                    <w:tl2br w:val="nil"/>
                    <w:tr2bl w:val="nil"/>
                  </w:tcBorders>
                  <w:noWrap w:val="0"/>
                  <w:vAlign w:val="center"/>
                </w:tcPr>
                <w:p w14:paraId="4B6F96BE">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c>
                <w:tcPr>
                  <w:tcW w:w="2188" w:type="pct"/>
                  <w:tcBorders>
                    <w:tl2br w:val="nil"/>
                    <w:tr2bl w:val="nil"/>
                  </w:tcBorders>
                  <w:noWrap w:val="0"/>
                  <w:vAlign w:val="center"/>
                </w:tcPr>
                <w:p w14:paraId="7F64614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65</w:t>
                  </w:r>
                </w:p>
              </w:tc>
            </w:tr>
            <w:bookmarkEnd w:id="3"/>
          </w:tbl>
          <w:p w14:paraId="1BB0FEC6">
            <w:pPr>
              <w:widowControl/>
              <w:snapToGrid w:val="0"/>
              <w:spacing w:line="360" w:lineRule="auto"/>
              <w:rPr>
                <w:rFonts w:hint="default" w:ascii="Times New Roman" w:hAnsi="Times New Roman" w:eastAsia="宋体" w:cs="Times New Roman"/>
                <w:b/>
                <w:bCs/>
                <w:sz w:val="24"/>
              </w:rPr>
            </w:pPr>
            <w:r>
              <w:rPr>
                <w:rFonts w:hint="eastAsia" w:cs="Times New Roman"/>
                <w:b/>
                <w:bCs/>
                <w:sz w:val="24"/>
                <w:lang w:val="en-US" w:eastAsia="zh-CN"/>
              </w:rPr>
              <w:t>3</w:t>
            </w:r>
            <w:r>
              <w:rPr>
                <w:rFonts w:hint="eastAsia" w:ascii="Times New Roman" w:hAnsi="Times New Roman" w:eastAsia="宋体" w:cs="Times New Roman"/>
                <w:b/>
                <w:bCs/>
                <w:sz w:val="24"/>
                <w:lang w:val="en-US" w:eastAsia="zh-CN"/>
              </w:rPr>
              <w:t>.2</w:t>
            </w:r>
            <w:r>
              <w:rPr>
                <w:rFonts w:hint="eastAsia" w:cs="Times New Roman"/>
                <w:b/>
                <w:bCs/>
                <w:sz w:val="24"/>
                <w:lang w:val="en-US" w:eastAsia="zh-CN"/>
              </w:rPr>
              <w:t xml:space="preserve"> </w:t>
            </w:r>
            <w:r>
              <w:rPr>
                <w:rFonts w:hint="default" w:ascii="Times New Roman" w:hAnsi="Times New Roman" w:eastAsia="宋体" w:cs="Times New Roman"/>
                <w:b/>
                <w:bCs/>
                <w:sz w:val="24"/>
              </w:rPr>
              <w:t>影响分析和治理措施</w:t>
            </w:r>
          </w:p>
          <w:p w14:paraId="1EBA55A3">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营</w:t>
            </w:r>
            <w:r>
              <w:rPr>
                <w:rFonts w:hint="default" w:ascii="Times New Roman" w:hAnsi="Times New Roman" w:eastAsia="宋体" w:cs="Times New Roman"/>
                <w:sz w:val="24"/>
                <w:szCs w:val="24"/>
                <w:highlight w:val="none"/>
              </w:rPr>
              <w:t>运期噪声主要来自</w:t>
            </w:r>
            <w:r>
              <w:rPr>
                <w:rFonts w:hint="eastAsia" w:ascii="Times New Roman" w:hAnsi="Times New Roman" w:eastAsia="宋体" w:cs="Times New Roman"/>
                <w:sz w:val="24"/>
                <w:szCs w:val="24"/>
                <w:highlight w:val="none"/>
                <w:lang w:val="en-US" w:eastAsia="zh-CN"/>
              </w:rPr>
              <w:t>提升机</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清籽机</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破碎机</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中央集尘设备</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刮板机</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浸出萃取机</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埋刮板</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过滤机</w:t>
            </w:r>
            <w:r>
              <w:rPr>
                <w:rFonts w:hint="default" w:ascii="Times New Roman" w:hAnsi="Times New Roman" w:eastAsia="宋体" w:cs="Times New Roman"/>
                <w:sz w:val="24"/>
                <w:szCs w:val="24"/>
                <w:highlight w:val="none"/>
              </w:rPr>
              <w:t>等生产设备运行时产生的噪声，噪声源强约为60-85dB（A）。</w:t>
            </w:r>
          </w:p>
          <w:p w14:paraId="7C1E25F1">
            <w:pPr>
              <w:spacing w:line="360" w:lineRule="auto"/>
              <w:ind w:firstLine="480"/>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按照《环境影响评价技术导则声环境》（HJ2.4-2009）的要求，可选择点声源预测模式，来模拟预测本项目主要声源排放噪声随距离的衰减变化规律。</w:t>
            </w:r>
          </w:p>
          <w:p w14:paraId="03B07A5C">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1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①</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对室外噪声源主要考虑噪声的几何发散衰减及环境因素衰减：</w:t>
            </w:r>
          </w:p>
          <w:p w14:paraId="5D973EFB">
            <w:pPr>
              <w:spacing w:line="360" w:lineRule="auto"/>
              <w:ind w:firstLine="480"/>
              <w:jc w:val="center"/>
              <w:rPr>
                <w:rFonts w:hint="default" w:ascii="Times New Roman" w:hAnsi="Times New Roman" w:eastAsia="宋体" w:cs="Times New Roman"/>
                <w:sz w:val="24"/>
              </w:rPr>
            </w:pPr>
            <w:r>
              <w:rPr>
                <w:rFonts w:hint="default" w:ascii="Times New Roman" w:hAnsi="Times New Roman" w:eastAsia="宋体" w:cs="Times New Roman"/>
                <w:sz w:val="24"/>
              </w:rPr>
              <w:t>LA(r)=LA(r0)-20lg(r/r0)</w:t>
            </w:r>
          </w:p>
          <w:p w14:paraId="732B1CA0">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式中：r，r0——分别为距声源的距离，m；</w:t>
            </w:r>
          </w:p>
          <w:p w14:paraId="261F4E23">
            <w:pPr>
              <w:spacing w:line="360" w:lineRule="auto"/>
              <w:ind w:firstLine="1200" w:firstLineChars="500"/>
              <w:rPr>
                <w:rFonts w:hint="default" w:ascii="Times New Roman" w:hAnsi="Times New Roman" w:eastAsia="宋体" w:cs="Times New Roman"/>
                <w:sz w:val="24"/>
              </w:rPr>
            </w:pPr>
            <w:r>
              <w:rPr>
                <w:rFonts w:hint="default" w:ascii="Times New Roman" w:hAnsi="Times New Roman" w:eastAsia="宋体" w:cs="Times New Roman"/>
                <w:sz w:val="24"/>
              </w:rPr>
              <w:t>L(r)，LA(r0)——分别为r与r0处的等效声级，dB(A)。</w:t>
            </w:r>
          </w:p>
          <w:p w14:paraId="12600A30">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②对室内噪声源采用室内声源噪声模式并换算成等效的室外声源：</w:t>
            </w:r>
          </w:p>
          <w:p w14:paraId="591B6B97">
            <w:pPr>
              <w:spacing w:line="360" w:lineRule="auto"/>
              <w:ind w:firstLine="480"/>
              <w:jc w:val="center"/>
              <w:rPr>
                <w:rFonts w:hint="default" w:ascii="Times New Roman" w:hAnsi="Times New Roman" w:eastAsia="宋体" w:cs="Times New Roman"/>
                <w:sz w:val="24"/>
              </w:rPr>
            </w:pPr>
            <w:r>
              <w:rPr>
                <w:rFonts w:hint="default" w:ascii="Times New Roman" w:hAnsi="Times New Roman" w:eastAsia="宋体" w:cs="Times New Roman"/>
                <w:sz w:val="24"/>
              </w:rPr>
              <w:object>
                <v:shape id="_x0000_i1025" o:spt="75" type="#_x0000_t75" style="height:31pt;width:125.65pt;" o:ole="t" filled="f" o:preferrelative="t" stroked="f" coordsize="21600,21600">
                  <v:path/>
                  <v:fill on="f" focussize="0,0"/>
                  <v:stroke on="f"/>
                  <v:imagedata r:id="rId21" o:title=""/>
                  <o:lock v:ext="edit" aspectratio="t"/>
                  <w10:wrap type="none"/>
                  <w10:anchorlock/>
                </v:shape>
                <o:OLEObject Type="Embed" ProgID="Equation.DSMT4" ShapeID="_x0000_i1025" DrawAspect="Content" ObjectID="_1468075725" r:id="rId20">
                  <o:LockedField>false</o:LockedField>
                </o:OLEObject>
              </w:object>
            </w:r>
          </w:p>
          <w:p w14:paraId="566B066E">
            <w:pPr>
              <w:spacing w:line="360" w:lineRule="auto"/>
              <w:ind w:firstLine="480"/>
              <w:jc w:val="center"/>
              <w:rPr>
                <w:rFonts w:hint="default" w:ascii="Times New Roman" w:hAnsi="Times New Roman" w:eastAsia="宋体" w:cs="Times New Roman"/>
                <w:sz w:val="24"/>
              </w:rPr>
            </w:pPr>
            <w:r>
              <w:rPr>
                <w:rFonts w:hint="default" w:ascii="Times New Roman" w:hAnsi="Times New Roman" w:eastAsia="宋体" w:cs="Times New Roman"/>
                <w:sz w:val="24"/>
              </w:rPr>
              <w:object>
                <v:shape id="_x0000_i1026" o:spt="75" type="#_x0000_t75" style="height:18.4pt;width:129pt;" o:ole="t" filled="f" o:preferrelative="t" stroked="f" coordsize="21600,21600">
                  <v:path/>
                  <v:fill on="f" focussize="0,0"/>
                  <v:stroke on="f"/>
                  <v:imagedata r:id="rId23" o:title=""/>
                  <o:lock v:ext="edit" aspectratio="t"/>
                  <w10:wrap type="none"/>
                  <w10:anchorlock/>
                </v:shape>
                <o:OLEObject Type="Embed" ProgID="Equation.DSMT4" ShapeID="_x0000_i1026" DrawAspect="Content" ObjectID="_1468075726" r:id="rId22">
                  <o:LockedField>false</o:LockedField>
                </o:OLEObject>
              </w:object>
            </w:r>
          </w:p>
          <w:p w14:paraId="00C49A02">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式中：Ln——室内靠近围护结构处产生的声压级，dB；</w:t>
            </w:r>
          </w:p>
          <w:p w14:paraId="41D256F7">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LW——室外靠近围护结构处产生的声压级，dB；</w:t>
            </w:r>
          </w:p>
          <w:p w14:paraId="1C05C7E6">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Le——声源的声压级，dB；</w:t>
            </w:r>
          </w:p>
          <w:p w14:paraId="7699856B">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r——声源与室内靠近围护结构处的距离，m；</w:t>
            </w:r>
          </w:p>
          <w:p w14:paraId="4ECD899C">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R——房间常数，m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w:t>
            </w:r>
          </w:p>
          <w:p w14:paraId="6FA38157">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Q——方向性因子；</w:t>
            </w:r>
          </w:p>
          <w:p w14:paraId="3FBFE196">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TL——围护结构的传输损失，dB；</w:t>
            </w:r>
          </w:p>
          <w:p w14:paraId="7DA2FA47">
            <w:pPr>
              <w:spacing w:line="360" w:lineRule="auto"/>
              <w:ind w:firstLine="720" w:firstLineChars="300"/>
              <w:rPr>
                <w:rFonts w:hint="default" w:ascii="Times New Roman" w:hAnsi="Times New Roman" w:eastAsia="宋体" w:cs="Times New Roman"/>
                <w:sz w:val="24"/>
              </w:rPr>
            </w:pPr>
            <w:r>
              <w:rPr>
                <w:rFonts w:hint="default" w:ascii="Times New Roman" w:hAnsi="Times New Roman" w:eastAsia="宋体" w:cs="Times New Roman"/>
                <w:sz w:val="24"/>
              </w:rPr>
              <w:t>S——透声面积，m</w:t>
            </w:r>
            <w:r>
              <w:rPr>
                <w:rFonts w:hint="default" w:ascii="Times New Roman" w:hAnsi="Times New Roman" w:eastAsia="宋体" w:cs="Times New Roman"/>
                <w:sz w:val="24"/>
                <w:vertAlign w:val="superscript"/>
              </w:rPr>
              <w:t>2</w:t>
            </w:r>
          </w:p>
          <w:p w14:paraId="18B8CCB2">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③对两个以上多个声源同时存在时，其预测点总声压级采用下面公式：</w:t>
            </w:r>
          </w:p>
          <w:p w14:paraId="555CEF63">
            <w:pPr>
              <w:spacing w:line="360" w:lineRule="auto"/>
              <w:ind w:firstLine="1320" w:firstLineChars="550"/>
              <w:rPr>
                <w:rFonts w:hint="default" w:ascii="Times New Roman" w:hAnsi="Times New Roman" w:eastAsia="宋体" w:cs="Times New Roman"/>
                <w:sz w:val="24"/>
              </w:rPr>
            </w:pPr>
            <w:r>
              <w:rPr>
                <w:rFonts w:hint="default" w:ascii="Times New Roman" w:hAnsi="Times New Roman" w:eastAsia="宋体" w:cs="Times New Roman"/>
                <w:sz w:val="24"/>
              </w:rPr>
              <w:t>Leq=10lg(</w:t>
            </w:r>
            <w:r>
              <w:rPr>
                <w:rFonts w:hint="default" w:ascii="Times New Roman" w:hAnsi="Times New Roman" w:eastAsia="宋体" w:cs="Times New Roman"/>
                <w:sz w:val="24"/>
              </w:rPr>
              <w:sym w:font="Symbol" w:char="F0E5"/>
            </w:r>
            <w:r>
              <w:rPr>
                <w:rFonts w:hint="default" w:ascii="Times New Roman" w:hAnsi="Times New Roman" w:eastAsia="宋体" w:cs="Times New Roman"/>
                <w:sz w:val="24"/>
              </w:rPr>
              <w:t>10</w:t>
            </w:r>
            <w:r>
              <w:rPr>
                <w:rFonts w:hint="default" w:ascii="Times New Roman" w:hAnsi="Times New Roman" w:eastAsia="宋体" w:cs="Times New Roman"/>
                <w:sz w:val="24"/>
                <w:vertAlign w:val="superscript"/>
              </w:rPr>
              <w:t>0.1Li</w:t>
            </w:r>
            <w:r>
              <w:rPr>
                <w:rFonts w:hint="default" w:ascii="Times New Roman" w:hAnsi="Times New Roman" w:eastAsia="宋体" w:cs="Times New Roman"/>
                <w:sz w:val="24"/>
              </w:rPr>
              <w:t>)</w:t>
            </w:r>
          </w:p>
          <w:p w14:paraId="418BE181">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式中：Leq-----预测点的总等效声级，dB(A)；</w:t>
            </w:r>
          </w:p>
          <w:p w14:paraId="70227B74">
            <w:pPr>
              <w:spacing w:line="360" w:lineRule="auto"/>
              <w:ind w:firstLine="1200" w:firstLineChars="500"/>
              <w:rPr>
                <w:rFonts w:hint="default" w:ascii="Times New Roman" w:hAnsi="Times New Roman" w:eastAsia="宋体" w:cs="Times New Roman"/>
                <w:sz w:val="24"/>
              </w:rPr>
            </w:pPr>
            <w:r>
              <w:rPr>
                <w:rFonts w:hint="default" w:ascii="Times New Roman" w:hAnsi="Times New Roman" w:eastAsia="宋体" w:cs="Times New Roman"/>
                <w:sz w:val="24"/>
              </w:rPr>
              <w:t>Li-----第i个声源对预测点的声级影响，dB(A)。</w:t>
            </w:r>
          </w:p>
          <w:p w14:paraId="116A362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④预测结果与评价</w:t>
            </w:r>
          </w:p>
          <w:p w14:paraId="547F31CF">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项目区周围不存在环境敏感保护目标，因此，本评价以现状监测中的厂界测点作为关心点，项目建成投产后，厂界各测点的变化情况。预测中，选择现状监测的同一点位作为影响预测的受声点，以工程噪声在边界处的贡献值作为评价量。</w:t>
            </w:r>
          </w:p>
          <w:p w14:paraId="6DA81277">
            <w:pPr>
              <w:spacing w:line="360" w:lineRule="auto"/>
              <w:rPr>
                <w:rFonts w:hint="eastAsia" w:ascii="Times New Roman" w:hAnsi="Times New Roman" w:eastAsia="宋体" w:cs="Times New Roman"/>
                <w:sz w:val="24"/>
                <w:lang w:val="zh-CN" w:eastAsia="zh-CN"/>
              </w:rPr>
            </w:pPr>
            <w:r>
              <w:rPr>
                <w:rFonts w:hint="eastAsia" w:ascii="Times New Roman" w:hAnsi="Times New Roman" w:eastAsia="宋体" w:cs="Times New Roman"/>
                <w:sz w:val="24"/>
                <w:lang w:val="zh-CN" w:eastAsia="zh-CN"/>
              </w:rPr>
              <w:drawing>
                <wp:inline distT="0" distB="0" distL="114300" distR="114300">
                  <wp:extent cx="5504815" cy="3757930"/>
                  <wp:effectExtent l="9525" t="9525" r="10160" b="23495"/>
                  <wp:docPr id="1" name="图片 1" descr="38052366-b509-4d43-b0d7-ba267f3af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052366-b509-4d43-b0d7-ba267f3afcc3"/>
                          <pic:cNvPicPr>
                            <a:picLocks noChangeAspect="1"/>
                          </pic:cNvPicPr>
                        </pic:nvPicPr>
                        <pic:blipFill>
                          <a:blip r:embed="rId24"/>
                          <a:stretch>
                            <a:fillRect/>
                          </a:stretch>
                        </pic:blipFill>
                        <pic:spPr>
                          <a:xfrm>
                            <a:off x="0" y="0"/>
                            <a:ext cx="5504815" cy="3757930"/>
                          </a:xfrm>
                          <a:prstGeom prst="rect">
                            <a:avLst/>
                          </a:prstGeom>
                          <a:ln>
                            <a:solidFill>
                              <a:schemeClr val="tx1"/>
                            </a:solidFill>
                          </a:ln>
                        </pic:spPr>
                      </pic:pic>
                    </a:graphicData>
                  </a:graphic>
                </wp:inline>
              </w:drawing>
            </w:r>
          </w:p>
          <w:p w14:paraId="0C1474D8">
            <w:pPr>
              <w:keepNext w:val="0"/>
              <w:keepLines w:val="0"/>
              <w:pageBreakBefore w:val="0"/>
              <w:widowControl w:val="0"/>
              <w:tabs>
                <w:tab w:val="left" w:pos="450"/>
              </w:tabs>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图9  本项目噪声预测图</w:t>
            </w:r>
          </w:p>
          <w:p w14:paraId="34905BF2">
            <w:pPr>
              <w:tabs>
                <w:tab w:val="left" w:pos="450"/>
              </w:tabs>
              <w:spacing w:line="360" w:lineRule="auto"/>
              <w:ind w:firstLine="480"/>
              <w:rPr>
                <w:rFonts w:hint="default"/>
                <w:lang w:val="zh-CN"/>
              </w:rPr>
            </w:pPr>
            <w:r>
              <w:rPr>
                <w:rFonts w:hint="default" w:ascii="Times New Roman" w:hAnsi="Times New Roman" w:eastAsia="宋体" w:cs="Times New Roman"/>
                <w:sz w:val="24"/>
                <w:lang w:val="zh-CN"/>
              </w:rPr>
              <w:t>根据预测模式，分析本项目噪声对项目附近声环境质量的影响程度和范围。本次对项目边界噪声作预测，边界的噪声预测结果见表</w:t>
            </w:r>
            <w:r>
              <w:rPr>
                <w:rFonts w:hint="eastAsia" w:ascii="Times New Roman" w:hAnsi="Times New Roman" w:eastAsia="宋体" w:cs="Times New Roman"/>
                <w:sz w:val="24"/>
                <w:lang w:val="en-US" w:eastAsia="zh-CN"/>
              </w:rPr>
              <w:t>4-</w:t>
            </w:r>
            <w:r>
              <w:rPr>
                <w:rFonts w:hint="eastAsia" w:cs="Times New Roman"/>
                <w:sz w:val="24"/>
                <w:lang w:val="en-US" w:eastAsia="zh-CN"/>
              </w:rPr>
              <w:t>19</w:t>
            </w:r>
            <w:r>
              <w:rPr>
                <w:rFonts w:hint="default" w:ascii="Times New Roman" w:hAnsi="Times New Roman" w:eastAsia="宋体" w:cs="Times New Roman"/>
                <w:sz w:val="24"/>
                <w:lang w:val="zh-CN"/>
              </w:rPr>
              <w:t>。</w:t>
            </w:r>
          </w:p>
          <w:p w14:paraId="4F69E987">
            <w:pPr>
              <w:pStyle w:val="34"/>
              <w:ind w:firstLine="422"/>
              <w:jc w:val="right"/>
              <w:rPr>
                <w:rFonts w:hint="default" w:ascii="黑体" w:hAnsi="黑体" w:eastAsia="黑体" w:cs="黑体"/>
                <w:b w:val="0"/>
                <w:bCs/>
                <w:color w:val="auto"/>
                <w:kern w:val="0"/>
                <w:sz w:val="21"/>
                <w:szCs w:val="21"/>
                <w:highlight w:val="none"/>
                <w:lang w:val="en-US" w:eastAsia="zh-CN" w:bidi="ar-SA"/>
              </w:rPr>
            </w:pPr>
            <w:r>
              <w:rPr>
                <w:rFonts w:hint="default" w:ascii="黑体" w:hAnsi="黑体" w:eastAsia="黑体" w:cs="黑体"/>
                <w:b w:val="0"/>
                <w:bCs/>
                <w:color w:val="auto"/>
                <w:kern w:val="0"/>
                <w:sz w:val="21"/>
                <w:szCs w:val="21"/>
                <w:highlight w:val="none"/>
                <w:lang w:val="en-US" w:eastAsia="zh-CN" w:bidi="ar-SA"/>
              </w:rPr>
              <w:t>表4-</w:t>
            </w:r>
            <w:r>
              <w:rPr>
                <w:rFonts w:hint="eastAsia" w:ascii="黑体" w:hAnsi="黑体" w:eastAsia="黑体" w:cs="黑体"/>
                <w:b w:val="0"/>
                <w:bCs/>
                <w:color w:val="auto"/>
                <w:kern w:val="0"/>
                <w:sz w:val="21"/>
                <w:szCs w:val="21"/>
                <w:highlight w:val="none"/>
                <w:lang w:val="en-US" w:eastAsia="zh-CN" w:bidi="ar-SA"/>
              </w:rPr>
              <w:t>19</w:t>
            </w:r>
            <w:r>
              <w:rPr>
                <w:rFonts w:hint="default" w:ascii="黑体" w:hAnsi="黑体" w:eastAsia="黑体" w:cs="黑体"/>
                <w:b w:val="0"/>
                <w:bCs/>
                <w:color w:val="auto"/>
                <w:kern w:val="0"/>
                <w:sz w:val="21"/>
                <w:szCs w:val="21"/>
                <w:highlight w:val="none"/>
                <w:lang w:val="en-US" w:eastAsia="zh-CN" w:bidi="ar-SA"/>
              </w:rPr>
              <w:t xml:space="preserve">    厂界周边预测点噪声值一览表     单位：dB(A)</w:t>
            </w:r>
          </w:p>
          <w:tbl>
            <w:tblPr>
              <w:tblStyle w:val="21"/>
              <w:tblW w:w="870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82"/>
              <w:gridCol w:w="808"/>
              <w:gridCol w:w="764"/>
              <w:gridCol w:w="822"/>
              <w:gridCol w:w="752"/>
              <w:gridCol w:w="834"/>
              <w:gridCol w:w="804"/>
              <w:gridCol w:w="846"/>
              <w:gridCol w:w="793"/>
            </w:tblGrid>
            <w:tr w14:paraId="5CC9C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64" w:hRule="atLeast"/>
                <w:jc w:val="center"/>
              </w:trPr>
              <w:tc>
                <w:tcPr>
                  <w:tcW w:w="1311" w:type="pct"/>
                  <w:tcBorders>
                    <w:tl2br w:val="nil"/>
                    <w:tr2bl w:val="nil"/>
                  </w:tcBorders>
                  <w:noWrap w:val="0"/>
                  <w:vAlign w:val="center"/>
                </w:tcPr>
                <w:p w14:paraId="1619C149">
                  <w:pPr>
                    <w:pStyle w:val="35"/>
                    <w:rPr>
                      <w:rFonts w:hint="default" w:ascii="Times New Roman" w:hAnsi="Times New Roman" w:eastAsia="宋体" w:cs="Times New Roman"/>
                    </w:rPr>
                  </w:pPr>
                  <w:r>
                    <w:rPr>
                      <w:rFonts w:hint="default" w:ascii="Times New Roman" w:hAnsi="Times New Roman" w:eastAsia="宋体" w:cs="Times New Roman"/>
                    </w:rPr>
                    <w:t>预测点</w:t>
                  </w:r>
                </w:p>
              </w:tc>
              <w:tc>
                <w:tcPr>
                  <w:tcW w:w="903" w:type="pct"/>
                  <w:gridSpan w:val="2"/>
                  <w:tcBorders>
                    <w:tl2br w:val="nil"/>
                    <w:tr2bl w:val="nil"/>
                  </w:tcBorders>
                  <w:noWrap w:val="0"/>
                  <w:vAlign w:val="center"/>
                </w:tcPr>
                <w:p w14:paraId="014905A7">
                  <w:pPr>
                    <w:pStyle w:val="35"/>
                    <w:rPr>
                      <w:rFonts w:hint="default" w:ascii="Times New Roman" w:hAnsi="Times New Roman" w:eastAsia="宋体" w:cs="Times New Roman"/>
                    </w:rPr>
                  </w:pPr>
                  <w:r>
                    <w:rPr>
                      <w:rFonts w:hint="default" w:ascii="Times New Roman" w:hAnsi="Times New Roman" w:eastAsia="宋体" w:cs="Times New Roman"/>
                    </w:rPr>
                    <w:t>东侧</w:t>
                  </w:r>
                </w:p>
              </w:tc>
              <w:tc>
                <w:tcPr>
                  <w:tcW w:w="904" w:type="pct"/>
                  <w:gridSpan w:val="2"/>
                  <w:tcBorders>
                    <w:tl2br w:val="nil"/>
                    <w:tr2bl w:val="nil"/>
                  </w:tcBorders>
                  <w:noWrap w:val="0"/>
                  <w:vAlign w:val="center"/>
                </w:tcPr>
                <w:p w14:paraId="48C82E5C">
                  <w:pPr>
                    <w:pStyle w:val="35"/>
                    <w:rPr>
                      <w:rFonts w:hint="default" w:ascii="Times New Roman" w:hAnsi="Times New Roman" w:eastAsia="宋体" w:cs="Times New Roman"/>
                    </w:rPr>
                  </w:pPr>
                  <w:r>
                    <w:rPr>
                      <w:rFonts w:hint="default" w:ascii="Times New Roman" w:hAnsi="Times New Roman" w:eastAsia="宋体" w:cs="Times New Roman"/>
                    </w:rPr>
                    <w:t>南侧</w:t>
                  </w:r>
                </w:p>
              </w:tc>
              <w:tc>
                <w:tcPr>
                  <w:tcW w:w="941" w:type="pct"/>
                  <w:gridSpan w:val="2"/>
                  <w:tcBorders>
                    <w:tl2br w:val="nil"/>
                    <w:tr2bl w:val="nil"/>
                  </w:tcBorders>
                  <w:noWrap w:val="0"/>
                  <w:vAlign w:val="center"/>
                </w:tcPr>
                <w:p w14:paraId="727CA49B">
                  <w:pPr>
                    <w:pStyle w:val="35"/>
                    <w:rPr>
                      <w:rFonts w:hint="default" w:ascii="Times New Roman" w:hAnsi="Times New Roman" w:eastAsia="宋体" w:cs="Times New Roman"/>
                    </w:rPr>
                  </w:pPr>
                  <w:r>
                    <w:rPr>
                      <w:rFonts w:hint="default" w:ascii="Times New Roman" w:hAnsi="Times New Roman" w:eastAsia="宋体" w:cs="Times New Roman"/>
                    </w:rPr>
                    <w:t>西侧</w:t>
                  </w:r>
                </w:p>
              </w:tc>
              <w:tc>
                <w:tcPr>
                  <w:tcW w:w="939" w:type="pct"/>
                  <w:gridSpan w:val="2"/>
                  <w:tcBorders>
                    <w:tl2br w:val="nil"/>
                    <w:tr2bl w:val="nil"/>
                  </w:tcBorders>
                  <w:noWrap w:val="0"/>
                  <w:vAlign w:val="center"/>
                </w:tcPr>
                <w:p w14:paraId="44B7B751">
                  <w:pPr>
                    <w:pStyle w:val="35"/>
                    <w:rPr>
                      <w:rFonts w:hint="default" w:ascii="Times New Roman" w:hAnsi="Times New Roman" w:eastAsia="宋体" w:cs="Times New Roman"/>
                    </w:rPr>
                  </w:pPr>
                  <w:r>
                    <w:rPr>
                      <w:rFonts w:hint="default" w:ascii="Times New Roman" w:hAnsi="Times New Roman" w:eastAsia="宋体" w:cs="Times New Roman"/>
                    </w:rPr>
                    <w:t>北侧</w:t>
                  </w:r>
                </w:p>
              </w:tc>
            </w:tr>
            <w:tr w14:paraId="239F5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09" w:hRule="atLeast"/>
                <w:jc w:val="center"/>
              </w:trPr>
              <w:tc>
                <w:tcPr>
                  <w:tcW w:w="1311" w:type="pct"/>
                  <w:vMerge w:val="restart"/>
                  <w:tcBorders>
                    <w:tl2br w:val="nil"/>
                    <w:tr2bl w:val="nil"/>
                  </w:tcBorders>
                  <w:noWrap w:val="0"/>
                  <w:vAlign w:val="center"/>
                </w:tcPr>
                <w:p w14:paraId="0DDF26D8">
                  <w:pPr>
                    <w:pStyle w:val="35"/>
                    <w:rPr>
                      <w:rFonts w:hint="default" w:ascii="Times New Roman" w:hAnsi="Times New Roman" w:eastAsia="宋体" w:cs="Times New Roman"/>
                    </w:rPr>
                  </w:pPr>
                  <w:r>
                    <w:rPr>
                      <w:rFonts w:hint="default" w:ascii="Times New Roman" w:hAnsi="Times New Roman" w:eastAsia="宋体" w:cs="Times New Roman"/>
                    </w:rPr>
                    <w:t>噪声贡献值（dB）</w:t>
                  </w:r>
                </w:p>
              </w:tc>
              <w:tc>
                <w:tcPr>
                  <w:tcW w:w="464" w:type="pct"/>
                  <w:tcBorders>
                    <w:tl2br w:val="nil"/>
                    <w:tr2bl w:val="nil"/>
                  </w:tcBorders>
                  <w:noWrap w:val="0"/>
                  <w:vAlign w:val="center"/>
                </w:tcPr>
                <w:p w14:paraId="74FF46F2">
                  <w:pPr>
                    <w:pStyle w:val="35"/>
                    <w:rPr>
                      <w:rFonts w:hint="default" w:ascii="Times New Roman" w:hAnsi="Times New Roman" w:eastAsia="宋体" w:cs="Times New Roman"/>
                    </w:rPr>
                  </w:pPr>
                  <w:r>
                    <w:rPr>
                      <w:rFonts w:hint="default" w:ascii="Times New Roman" w:hAnsi="Times New Roman" w:eastAsia="宋体" w:cs="Times New Roman"/>
                    </w:rPr>
                    <w:t>昼间</w:t>
                  </w:r>
                </w:p>
              </w:tc>
              <w:tc>
                <w:tcPr>
                  <w:tcW w:w="438" w:type="pct"/>
                  <w:tcBorders>
                    <w:tl2br w:val="nil"/>
                    <w:tr2bl w:val="nil"/>
                  </w:tcBorders>
                  <w:noWrap w:val="0"/>
                  <w:vAlign w:val="center"/>
                </w:tcPr>
                <w:p w14:paraId="5A8EB7F4">
                  <w:pPr>
                    <w:pStyle w:val="35"/>
                    <w:rPr>
                      <w:rFonts w:hint="default" w:ascii="Times New Roman" w:hAnsi="Times New Roman" w:eastAsia="宋体" w:cs="Times New Roman"/>
                    </w:rPr>
                  </w:pPr>
                  <w:r>
                    <w:rPr>
                      <w:rFonts w:hint="default" w:ascii="Times New Roman" w:hAnsi="Times New Roman" w:eastAsia="宋体" w:cs="Times New Roman"/>
                    </w:rPr>
                    <w:t>夜间</w:t>
                  </w:r>
                </w:p>
              </w:tc>
              <w:tc>
                <w:tcPr>
                  <w:tcW w:w="472" w:type="pct"/>
                  <w:tcBorders>
                    <w:tl2br w:val="nil"/>
                    <w:tr2bl w:val="nil"/>
                  </w:tcBorders>
                  <w:noWrap w:val="0"/>
                  <w:vAlign w:val="center"/>
                </w:tcPr>
                <w:p w14:paraId="7F84A92E">
                  <w:pPr>
                    <w:pStyle w:val="35"/>
                    <w:rPr>
                      <w:rFonts w:hint="default" w:ascii="Times New Roman" w:hAnsi="Times New Roman" w:eastAsia="宋体" w:cs="Times New Roman"/>
                    </w:rPr>
                  </w:pPr>
                  <w:r>
                    <w:rPr>
                      <w:rFonts w:hint="default" w:ascii="Times New Roman" w:hAnsi="Times New Roman" w:eastAsia="宋体" w:cs="Times New Roman"/>
                    </w:rPr>
                    <w:t>昼间</w:t>
                  </w:r>
                </w:p>
              </w:tc>
              <w:tc>
                <w:tcPr>
                  <w:tcW w:w="431" w:type="pct"/>
                  <w:tcBorders>
                    <w:tl2br w:val="nil"/>
                    <w:tr2bl w:val="nil"/>
                  </w:tcBorders>
                  <w:noWrap w:val="0"/>
                  <w:vAlign w:val="center"/>
                </w:tcPr>
                <w:p w14:paraId="71B16C51">
                  <w:pPr>
                    <w:pStyle w:val="35"/>
                    <w:rPr>
                      <w:rFonts w:hint="default" w:ascii="Times New Roman" w:hAnsi="Times New Roman" w:eastAsia="宋体" w:cs="Times New Roman"/>
                    </w:rPr>
                  </w:pPr>
                  <w:r>
                    <w:rPr>
                      <w:rFonts w:hint="default" w:ascii="Times New Roman" w:hAnsi="Times New Roman" w:eastAsia="宋体" w:cs="Times New Roman"/>
                    </w:rPr>
                    <w:t>夜间</w:t>
                  </w:r>
                </w:p>
              </w:tc>
              <w:tc>
                <w:tcPr>
                  <w:tcW w:w="479" w:type="pct"/>
                  <w:tcBorders>
                    <w:tl2br w:val="nil"/>
                    <w:tr2bl w:val="nil"/>
                  </w:tcBorders>
                  <w:noWrap w:val="0"/>
                  <w:vAlign w:val="center"/>
                </w:tcPr>
                <w:p w14:paraId="61873EA4">
                  <w:pPr>
                    <w:pStyle w:val="35"/>
                    <w:rPr>
                      <w:rFonts w:hint="default" w:ascii="Times New Roman" w:hAnsi="Times New Roman" w:eastAsia="宋体" w:cs="Times New Roman"/>
                    </w:rPr>
                  </w:pPr>
                  <w:r>
                    <w:rPr>
                      <w:rFonts w:hint="default" w:ascii="Times New Roman" w:hAnsi="Times New Roman" w:eastAsia="宋体" w:cs="Times New Roman"/>
                    </w:rPr>
                    <w:t>昼间</w:t>
                  </w:r>
                </w:p>
              </w:tc>
              <w:tc>
                <w:tcPr>
                  <w:tcW w:w="462" w:type="pct"/>
                  <w:tcBorders>
                    <w:tl2br w:val="nil"/>
                    <w:tr2bl w:val="nil"/>
                  </w:tcBorders>
                  <w:noWrap w:val="0"/>
                  <w:vAlign w:val="center"/>
                </w:tcPr>
                <w:p w14:paraId="4A290BC1">
                  <w:pPr>
                    <w:pStyle w:val="35"/>
                    <w:rPr>
                      <w:rFonts w:hint="default" w:ascii="Times New Roman" w:hAnsi="Times New Roman" w:eastAsia="宋体" w:cs="Times New Roman"/>
                    </w:rPr>
                  </w:pPr>
                  <w:r>
                    <w:rPr>
                      <w:rFonts w:hint="default" w:ascii="Times New Roman" w:hAnsi="Times New Roman" w:eastAsia="宋体" w:cs="Times New Roman"/>
                    </w:rPr>
                    <w:t>夜间</w:t>
                  </w:r>
                </w:p>
              </w:tc>
              <w:tc>
                <w:tcPr>
                  <w:tcW w:w="486" w:type="pct"/>
                  <w:tcBorders>
                    <w:tl2br w:val="nil"/>
                    <w:tr2bl w:val="nil"/>
                  </w:tcBorders>
                  <w:noWrap w:val="0"/>
                  <w:vAlign w:val="center"/>
                </w:tcPr>
                <w:p w14:paraId="6933A7B7">
                  <w:pPr>
                    <w:pStyle w:val="35"/>
                    <w:rPr>
                      <w:rFonts w:hint="default" w:ascii="Times New Roman" w:hAnsi="Times New Roman" w:eastAsia="宋体" w:cs="Times New Roman"/>
                    </w:rPr>
                  </w:pPr>
                  <w:r>
                    <w:rPr>
                      <w:rFonts w:hint="default" w:ascii="Times New Roman" w:hAnsi="Times New Roman" w:eastAsia="宋体" w:cs="Times New Roman"/>
                    </w:rPr>
                    <w:t>昼间</w:t>
                  </w:r>
                </w:p>
              </w:tc>
              <w:tc>
                <w:tcPr>
                  <w:tcW w:w="452" w:type="pct"/>
                  <w:tcBorders>
                    <w:tl2br w:val="nil"/>
                    <w:tr2bl w:val="nil"/>
                  </w:tcBorders>
                  <w:noWrap w:val="0"/>
                  <w:vAlign w:val="center"/>
                </w:tcPr>
                <w:p w14:paraId="68C61628">
                  <w:pPr>
                    <w:pStyle w:val="35"/>
                    <w:rPr>
                      <w:rFonts w:hint="default" w:ascii="Times New Roman" w:hAnsi="Times New Roman" w:eastAsia="宋体" w:cs="Times New Roman"/>
                    </w:rPr>
                  </w:pPr>
                  <w:r>
                    <w:rPr>
                      <w:rFonts w:hint="default" w:ascii="Times New Roman" w:hAnsi="Times New Roman" w:eastAsia="宋体" w:cs="Times New Roman"/>
                    </w:rPr>
                    <w:t>夜间</w:t>
                  </w:r>
                </w:p>
              </w:tc>
            </w:tr>
            <w:tr w14:paraId="7E8B1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09" w:hRule="atLeast"/>
                <w:jc w:val="center"/>
              </w:trPr>
              <w:tc>
                <w:tcPr>
                  <w:tcW w:w="1311" w:type="pct"/>
                  <w:vMerge w:val="continue"/>
                  <w:tcBorders>
                    <w:tl2br w:val="nil"/>
                    <w:tr2bl w:val="nil"/>
                  </w:tcBorders>
                  <w:noWrap w:val="0"/>
                  <w:vAlign w:val="center"/>
                </w:tcPr>
                <w:p w14:paraId="4EAF6F40">
                  <w:pPr>
                    <w:pStyle w:val="35"/>
                    <w:rPr>
                      <w:rFonts w:hint="default" w:ascii="Times New Roman" w:hAnsi="Times New Roman" w:eastAsia="宋体" w:cs="Times New Roman"/>
                    </w:rPr>
                  </w:pPr>
                </w:p>
              </w:tc>
              <w:tc>
                <w:tcPr>
                  <w:tcW w:w="464" w:type="pct"/>
                  <w:tcBorders>
                    <w:tl2br w:val="nil"/>
                    <w:tr2bl w:val="nil"/>
                  </w:tcBorders>
                  <w:noWrap w:val="0"/>
                  <w:vAlign w:val="center"/>
                </w:tcPr>
                <w:p w14:paraId="5D7EB9A3">
                  <w:pPr>
                    <w:pStyle w:val="35"/>
                    <w:rPr>
                      <w:rFonts w:hint="default" w:ascii="Times New Roman" w:hAnsi="Times New Roman" w:eastAsia="宋体" w:cs="Times New Roman"/>
                    </w:rPr>
                  </w:pPr>
                  <w:r>
                    <w:rPr>
                      <w:rFonts w:hint="default" w:ascii="Times New Roman" w:hAnsi="Times New Roman" w:eastAsia="宋体" w:cs="Times New Roman"/>
                    </w:rPr>
                    <w:t>50.4</w:t>
                  </w:r>
                </w:p>
              </w:tc>
              <w:tc>
                <w:tcPr>
                  <w:tcW w:w="438" w:type="pct"/>
                  <w:tcBorders>
                    <w:tl2br w:val="nil"/>
                    <w:tr2bl w:val="nil"/>
                  </w:tcBorders>
                  <w:noWrap w:val="0"/>
                  <w:vAlign w:val="center"/>
                </w:tcPr>
                <w:p w14:paraId="0055A9D1">
                  <w:pPr>
                    <w:pStyle w:val="35"/>
                    <w:rPr>
                      <w:rFonts w:hint="default" w:ascii="Times New Roman" w:hAnsi="Times New Roman" w:eastAsia="宋体" w:cs="Times New Roman"/>
                    </w:rPr>
                  </w:pPr>
                  <w:r>
                    <w:rPr>
                      <w:rFonts w:hint="default" w:ascii="Times New Roman" w:hAnsi="Times New Roman" w:eastAsia="宋体" w:cs="Times New Roman"/>
                    </w:rPr>
                    <w:t>41.7</w:t>
                  </w:r>
                </w:p>
              </w:tc>
              <w:tc>
                <w:tcPr>
                  <w:tcW w:w="472" w:type="pct"/>
                  <w:tcBorders>
                    <w:tl2br w:val="nil"/>
                    <w:tr2bl w:val="nil"/>
                  </w:tcBorders>
                  <w:noWrap w:val="0"/>
                  <w:vAlign w:val="center"/>
                </w:tcPr>
                <w:p w14:paraId="606F40D9">
                  <w:pPr>
                    <w:pStyle w:val="35"/>
                    <w:rPr>
                      <w:rFonts w:hint="default" w:ascii="Times New Roman" w:hAnsi="Times New Roman" w:eastAsia="宋体" w:cs="Times New Roman"/>
                    </w:rPr>
                  </w:pPr>
                  <w:r>
                    <w:rPr>
                      <w:rFonts w:hint="default" w:ascii="Times New Roman" w:hAnsi="Times New Roman" w:eastAsia="宋体" w:cs="Times New Roman"/>
                    </w:rPr>
                    <w:t>51.1</w:t>
                  </w:r>
                </w:p>
              </w:tc>
              <w:tc>
                <w:tcPr>
                  <w:tcW w:w="431" w:type="pct"/>
                  <w:tcBorders>
                    <w:tl2br w:val="nil"/>
                    <w:tr2bl w:val="nil"/>
                  </w:tcBorders>
                  <w:noWrap w:val="0"/>
                  <w:vAlign w:val="center"/>
                </w:tcPr>
                <w:p w14:paraId="5127C057">
                  <w:pPr>
                    <w:pStyle w:val="35"/>
                    <w:rPr>
                      <w:rFonts w:hint="default" w:ascii="Times New Roman" w:hAnsi="Times New Roman" w:eastAsia="宋体" w:cs="Times New Roman"/>
                    </w:rPr>
                  </w:pPr>
                  <w:r>
                    <w:rPr>
                      <w:rFonts w:hint="default" w:ascii="Times New Roman" w:hAnsi="Times New Roman" w:eastAsia="宋体" w:cs="Times New Roman"/>
                    </w:rPr>
                    <w:t>40.5</w:t>
                  </w:r>
                </w:p>
              </w:tc>
              <w:tc>
                <w:tcPr>
                  <w:tcW w:w="479" w:type="pct"/>
                  <w:tcBorders>
                    <w:tl2br w:val="nil"/>
                    <w:tr2bl w:val="nil"/>
                  </w:tcBorders>
                  <w:noWrap w:val="0"/>
                  <w:vAlign w:val="center"/>
                </w:tcPr>
                <w:p w14:paraId="1CBAC38B">
                  <w:pPr>
                    <w:pStyle w:val="35"/>
                    <w:rPr>
                      <w:rFonts w:hint="default" w:ascii="Times New Roman" w:hAnsi="Times New Roman" w:eastAsia="宋体" w:cs="Times New Roman"/>
                    </w:rPr>
                  </w:pPr>
                  <w:r>
                    <w:rPr>
                      <w:rFonts w:hint="default" w:ascii="Times New Roman" w:hAnsi="Times New Roman" w:eastAsia="宋体" w:cs="Times New Roman"/>
                    </w:rPr>
                    <w:t>53.8</w:t>
                  </w:r>
                </w:p>
              </w:tc>
              <w:tc>
                <w:tcPr>
                  <w:tcW w:w="462" w:type="pct"/>
                  <w:tcBorders>
                    <w:tl2br w:val="nil"/>
                    <w:tr2bl w:val="nil"/>
                  </w:tcBorders>
                  <w:noWrap w:val="0"/>
                  <w:vAlign w:val="center"/>
                </w:tcPr>
                <w:p w14:paraId="5E19A936">
                  <w:pPr>
                    <w:pStyle w:val="35"/>
                    <w:rPr>
                      <w:rFonts w:hint="default" w:ascii="Times New Roman" w:hAnsi="Times New Roman" w:eastAsia="宋体" w:cs="Times New Roman"/>
                    </w:rPr>
                  </w:pPr>
                  <w:r>
                    <w:rPr>
                      <w:rFonts w:hint="default" w:ascii="Times New Roman" w:hAnsi="Times New Roman" w:eastAsia="宋体" w:cs="Times New Roman"/>
                    </w:rPr>
                    <w:t>43.3</w:t>
                  </w:r>
                </w:p>
              </w:tc>
              <w:tc>
                <w:tcPr>
                  <w:tcW w:w="486" w:type="pct"/>
                  <w:tcBorders>
                    <w:tl2br w:val="nil"/>
                    <w:tr2bl w:val="nil"/>
                  </w:tcBorders>
                  <w:noWrap w:val="0"/>
                  <w:vAlign w:val="center"/>
                </w:tcPr>
                <w:p w14:paraId="629F5FF2">
                  <w:pPr>
                    <w:pStyle w:val="35"/>
                    <w:rPr>
                      <w:rFonts w:hint="default" w:ascii="Times New Roman" w:hAnsi="Times New Roman" w:eastAsia="宋体" w:cs="Times New Roman"/>
                    </w:rPr>
                  </w:pPr>
                  <w:r>
                    <w:rPr>
                      <w:rFonts w:hint="default" w:ascii="Times New Roman" w:hAnsi="Times New Roman" w:eastAsia="宋体" w:cs="Times New Roman"/>
                    </w:rPr>
                    <w:t>52.6</w:t>
                  </w:r>
                </w:p>
              </w:tc>
              <w:tc>
                <w:tcPr>
                  <w:tcW w:w="452" w:type="pct"/>
                  <w:tcBorders>
                    <w:tl2br w:val="nil"/>
                    <w:tr2bl w:val="nil"/>
                  </w:tcBorders>
                  <w:noWrap w:val="0"/>
                  <w:vAlign w:val="center"/>
                </w:tcPr>
                <w:p w14:paraId="3540E1BA">
                  <w:pPr>
                    <w:pStyle w:val="35"/>
                    <w:rPr>
                      <w:rFonts w:hint="default" w:ascii="Times New Roman" w:hAnsi="Times New Roman" w:eastAsia="宋体" w:cs="Times New Roman"/>
                    </w:rPr>
                  </w:pPr>
                  <w:r>
                    <w:rPr>
                      <w:rFonts w:hint="default" w:ascii="Times New Roman" w:hAnsi="Times New Roman" w:eastAsia="宋体" w:cs="Times New Roman"/>
                    </w:rPr>
                    <w:t>41.2</w:t>
                  </w:r>
                </w:p>
              </w:tc>
            </w:tr>
            <w:tr w14:paraId="61F55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311" w:type="pct"/>
                  <w:tcBorders>
                    <w:tl2br w:val="nil"/>
                    <w:tr2bl w:val="nil"/>
                  </w:tcBorders>
                  <w:noWrap w:val="0"/>
                  <w:vAlign w:val="center"/>
                </w:tcPr>
                <w:p w14:paraId="54F12CB9">
                  <w:pPr>
                    <w:pStyle w:val="35"/>
                    <w:rPr>
                      <w:rFonts w:hint="default" w:ascii="Times New Roman" w:hAnsi="Times New Roman" w:eastAsia="宋体" w:cs="Times New Roman"/>
                    </w:rPr>
                  </w:pPr>
                  <w:r>
                    <w:rPr>
                      <w:rFonts w:hint="default" w:ascii="Times New Roman" w:hAnsi="Times New Roman" w:eastAsia="宋体" w:cs="Times New Roman"/>
                    </w:rPr>
                    <w:t>噪声达标值（dB）</w:t>
                  </w:r>
                </w:p>
              </w:tc>
              <w:tc>
                <w:tcPr>
                  <w:tcW w:w="3688" w:type="pct"/>
                  <w:gridSpan w:val="8"/>
                  <w:tcBorders>
                    <w:tl2br w:val="nil"/>
                    <w:tr2bl w:val="nil"/>
                  </w:tcBorders>
                  <w:noWrap w:val="0"/>
                  <w:vAlign w:val="center"/>
                </w:tcPr>
                <w:p w14:paraId="6644C733">
                  <w:pPr>
                    <w:pStyle w:val="35"/>
                    <w:rPr>
                      <w:rFonts w:hint="eastAsia" w:ascii="Times New Roman" w:hAnsi="Times New Roman" w:eastAsia="宋体" w:cs="Times New Roman"/>
                      <w:lang w:eastAsia="zh-CN"/>
                    </w:rPr>
                  </w:pPr>
                  <w:r>
                    <w:rPr>
                      <w:rFonts w:hint="default" w:ascii="Times New Roman" w:hAnsi="Times New Roman" w:eastAsia="宋体" w:cs="Times New Roman"/>
                    </w:rPr>
                    <w:t>昼间6</w:t>
                  </w:r>
                  <w:r>
                    <w:rPr>
                      <w:rFonts w:hint="eastAsia" w:ascii="Times New Roman" w:hAnsi="Times New Roman" w:cs="Times New Roman"/>
                      <w:lang w:val="en-US" w:eastAsia="zh-CN"/>
                    </w:rPr>
                    <w:t>0</w:t>
                  </w:r>
                  <w:r>
                    <w:rPr>
                      <w:rFonts w:hint="default" w:ascii="Times New Roman" w:hAnsi="Times New Roman" w:eastAsia="宋体" w:cs="Times New Roman"/>
                    </w:rPr>
                    <w:t>，夜间5</w:t>
                  </w:r>
                  <w:r>
                    <w:rPr>
                      <w:rFonts w:hint="eastAsia" w:ascii="Times New Roman" w:hAnsi="Times New Roman" w:cs="Times New Roman"/>
                      <w:lang w:val="en-US" w:eastAsia="zh-CN"/>
                    </w:rPr>
                    <w:t>0</w:t>
                  </w:r>
                </w:p>
              </w:tc>
            </w:tr>
          </w:tbl>
          <w:p w14:paraId="43100322">
            <w:pPr>
              <w:widowControl/>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由上表可知，本项目运营后，厂界昼间及夜间噪声能够满足《工业企业厂界环境噪声排放标准》（GB12348-2008）中的</w:t>
            </w:r>
            <w:r>
              <w:rPr>
                <w:rFonts w:hint="eastAsia" w:cs="Times New Roman"/>
                <w:sz w:val="24"/>
                <w:lang w:val="en-US" w:eastAsia="zh-CN"/>
              </w:rPr>
              <w:t>2</w:t>
            </w:r>
            <w:r>
              <w:rPr>
                <w:rFonts w:hint="default" w:ascii="Times New Roman" w:hAnsi="Times New Roman" w:eastAsia="宋体" w:cs="Times New Roman"/>
                <w:sz w:val="24"/>
              </w:rPr>
              <w:t>类标准。</w:t>
            </w:r>
          </w:p>
          <w:p w14:paraId="4F96CDA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本环评建议企业做到以下几点：</w:t>
            </w:r>
          </w:p>
          <w:p w14:paraId="398AA7B9">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（1）建设单位合理安排相关操作时间；</w:t>
            </w:r>
          </w:p>
          <w:p w14:paraId="6132BC4E">
            <w:pPr>
              <w:pStyle w:val="36"/>
              <w:spacing w:before="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（2）采用“闹静分开”和合理布局的设施原则，对于强噪声设备或操作应尽可能远离厂界布置。</w:t>
            </w:r>
          </w:p>
          <w:p w14:paraId="25ECA11E">
            <w:pPr>
              <w:pStyle w:val="36"/>
              <w:spacing w:before="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（3）根据本项目噪声源特征，建议在设计和设备采购阶段，充分选用先进的低噪设备，以从声源上降低设备本身噪声，以减少对工人和周围环境的影响。</w:t>
            </w:r>
          </w:p>
          <w:p w14:paraId="1B5545CB">
            <w:pPr>
              <w:pStyle w:val="36"/>
              <w:spacing w:before="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（4）在高噪声设备安装隔声和减振设施，如在设备的底部加减振垫，在设备的四周可开设一定宽度和深度的沟槽，里面填充松软物质，用来隔离振动的传递。</w:t>
            </w:r>
          </w:p>
          <w:p w14:paraId="7D674607">
            <w:pPr>
              <w:pStyle w:val="36"/>
              <w:spacing w:before="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（5）加强设备的维护，确保设备处于良好的运转状态，杜绝因设备不正常运转时产生的高噪声现象。</w:t>
            </w:r>
          </w:p>
          <w:p w14:paraId="56C24411">
            <w:pPr>
              <w:pStyle w:val="36"/>
              <w:spacing w:before="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（6）在室内墙壁装饰或悬挂吸声体；在机械排风口安装消声器来降低空气动力噪声；车间采用隔声门窗将噪声源封闭起来。</w:t>
            </w:r>
          </w:p>
          <w:p w14:paraId="3DAB03D3">
            <w:pPr>
              <w:pStyle w:val="36"/>
              <w:spacing w:before="0"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（7）建议在厂区四周形成绿化带，不仅可以美化环境，同时还可以起到一定的吸声降噪作用，结合周边景观情况，厂区内应做好绿化工作。</w:t>
            </w:r>
          </w:p>
          <w:p w14:paraId="7398B7C9">
            <w:pPr>
              <w:widowControl/>
              <w:snapToGrid w:val="0"/>
              <w:spacing w:line="360" w:lineRule="auto"/>
              <w:ind w:firstLine="480" w:firstLineChars="200"/>
              <w:rPr>
                <w:rFonts w:ascii="宋体" w:hAnsi="宋体" w:eastAsia="宋体" w:cs="宋体"/>
                <w:b/>
                <w:bCs/>
                <w:sz w:val="24"/>
                <w:lang w:val="en-US" w:eastAsia="zh-CN" w:bidi="ar-SA"/>
              </w:rPr>
            </w:pPr>
            <w:r>
              <w:rPr>
                <w:rFonts w:hint="default" w:ascii="Times New Roman" w:hAnsi="Times New Roman" w:eastAsia="宋体" w:cs="Times New Roman"/>
                <w:sz w:val="24"/>
              </w:rPr>
              <w:t>项目在运营过程中的噪声能满足《工业企业厂界环境噪声排放标准》（GB12348—2008）</w:t>
            </w:r>
            <w:r>
              <w:rPr>
                <w:rFonts w:hint="eastAsia" w:cs="Times New Roman"/>
                <w:sz w:val="24"/>
                <w:lang w:val="en-US" w:eastAsia="zh-CN"/>
              </w:rPr>
              <w:t>2</w:t>
            </w:r>
            <w:r>
              <w:rPr>
                <w:rFonts w:hint="default" w:ascii="Times New Roman" w:hAnsi="Times New Roman" w:eastAsia="宋体" w:cs="Times New Roman"/>
                <w:sz w:val="24"/>
              </w:rPr>
              <w:t>类标准。项目区周围1km范围内无居住居民及其他特殊敏感目标分布，噪声对周围环境的影响较小</w:t>
            </w:r>
          </w:p>
          <w:p w14:paraId="308E3067">
            <w:pPr>
              <w:widowControl w:val="0"/>
              <w:spacing w:line="360" w:lineRule="auto"/>
              <w:jc w:val="both"/>
              <w:rPr>
                <w:rFonts w:hint="default" w:ascii="Times New Roman" w:hAnsi="Times New Roman" w:eastAsia="宋体" w:cs="Times New Roman"/>
                <w:b/>
                <w:bCs/>
                <w:sz w:val="24"/>
                <w:lang w:val="en-US" w:eastAsia="zh-CN" w:bidi="ar-SA"/>
              </w:rPr>
            </w:pPr>
            <w:r>
              <w:rPr>
                <w:rFonts w:hint="eastAsia" w:cs="Times New Roman"/>
                <w:b/>
                <w:bCs/>
                <w:sz w:val="24"/>
                <w:lang w:val="en-US" w:eastAsia="zh-CN" w:bidi="ar-SA"/>
              </w:rPr>
              <w:t>3</w:t>
            </w:r>
            <w:r>
              <w:rPr>
                <w:rFonts w:hint="eastAsia" w:ascii="Times New Roman" w:hAnsi="Times New Roman" w:eastAsia="宋体" w:cs="Times New Roman"/>
                <w:b/>
                <w:bCs/>
                <w:sz w:val="24"/>
                <w:lang w:val="en-US" w:eastAsia="zh-CN" w:bidi="ar-SA"/>
              </w:rPr>
              <w:t>.3</w:t>
            </w:r>
            <w:r>
              <w:rPr>
                <w:rFonts w:hint="eastAsia" w:cs="Times New Roman"/>
                <w:b/>
                <w:bCs/>
                <w:sz w:val="24"/>
                <w:lang w:val="en-US" w:eastAsia="zh-CN" w:bidi="ar-SA"/>
              </w:rPr>
              <w:t xml:space="preserve"> 自行监测计划</w:t>
            </w:r>
          </w:p>
          <w:p w14:paraId="5D5C6473">
            <w:pPr>
              <w:tabs>
                <w:tab w:val="left" w:pos="0"/>
              </w:tabs>
              <w:spacing w:line="360" w:lineRule="auto"/>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根据</w:t>
            </w:r>
            <w:r>
              <w:rPr>
                <w:rFonts w:hint="default" w:ascii="Times New Roman" w:hAnsi="Times New Roman" w:eastAsia="宋体" w:cs="Times New Roman"/>
                <w:sz w:val="24"/>
              </w:rPr>
              <w:t xml:space="preserve">《排污许可证申请与核发技术规范 </w:t>
            </w:r>
            <w:r>
              <w:rPr>
                <w:rFonts w:hint="eastAsia" w:ascii="Times New Roman" w:hAnsi="Times New Roman" w:eastAsia="宋体" w:cs="Times New Roman"/>
                <w:sz w:val="24"/>
                <w:lang w:val="en-US" w:eastAsia="zh-CN"/>
              </w:rPr>
              <w:t>总则</w:t>
            </w:r>
            <w:r>
              <w:rPr>
                <w:rFonts w:hint="default" w:ascii="Times New Roman" w:hAnsi="Times New Roman" w:eastAsia="宋体" w:cs="Times New Roman"/>
                <w:sz w:val="24"/>
              </w:rPr>
              <w:t>》（HJ</w:t>
            </w:r>
            <w:r>
              <w:rPr>
                <w:rFonts w:hint="eastAsia" w:ascii="Times New Roman" w:hAnsi="Times New Roman" w:eastAsia="宋体" w:cs="Times New Roman"/>
                <w:sz w:val="24"/>
                <w:lang w:val="en-US" w:eastAsia="zh-CN"/>
              </w:rPr>
              <w:t>942</w:t>
            </w:r>
            <w:r>
              <w:rPr>
                <w:rFonts w:hint="default" w:ascii="Times New Roman" w:hAnsi="Times New Roman" w:eastAsia="宋体" w:cs="Times New Roman"/>
                <w:sz w:val="24"/>
              </w:rPr>
              <w:t>-201</w:t>
            </w:r>
            <w:r>
              <w:rPr>
                <w:rFonts w:hint="eastAsia" w:ascii="Times New Roman" w:hAnsi="Times New Roman" w:eastAsia="宋体" w:cs="Times New Roman"/>
                <w:sz w:val="24"/>
                <w:lang w:val="en-US" w:eastAsia="zh-CN"/>
              </w:rPr>
              <w:t>8</w:t>
            </w:r>
            <w:r>
              <w:rPr>
                <w:rFonts w:hint="default" w:ascii="Times New Roman" w:hAnsi="Times New Roman" w:eastAsia="宋体" w:cs="Times New Roman"/>
                <w:sz w:val="24"/>
              </w:rPr>
              <w:t>）规定，本次对工程制定监测计划。监测计划见表</w:t>
            </w:r>
            <w:r>
              <w:rPr>
                <w:rFonts w:hint="eastAsia" w:ascii="Times New Roman" w:hAnsi="Times New Roman" w:eastAsia="宋体" w:cs="Times New Roman"/>
                <w:sz w:val="24"/>
                <w:lang w:val="en-US" w:eastAsia="zh-CN"/>
              </w:rPr>
              <w:t>4-</w:t>
            </w:r>
            <w:r>
              <w:rPr>
                <w:rFonts w:hint="eastAsia" w:cs="Times New Roman"/>
                <w:sz w:val="24"/>
                <w:lang w:val="en-US" w:eastAsia="zh-CN"/>
              </w:rPr>
              <w:t>20</w:t>
            </w:r>
            <w:r>
              <w:rPr>
                <w:rFonts w:hint="default" w:ascii="Times New Roman" w:hAnsi="Times New Roman" w:eastAsia="宋体" w:cs="Times New Roman"/>
                <w:sz w:val="24"/>
              </w:rPr>
              <w:t>。</w:t>
            </w:r>
          </w:p>
          <w:p w14:paraId="15679092">
            <w:pPr>
              <w:widowControl w:val="0"/>
              <w:spacing w:before="0" w:after="0"/>
              <w:ind w:firstLine="422"/>
              <w:jc w:val="center"/>
              <w:rPr>
                <w:rFonts w:hint="default" w:ascii="黑体" w:hAnsi="黑体" w:eastAsia="黑体" w:cs="黑体"/>
                <w:b w:val="0"/>
                <w:bCs/>
                <w:color w:val="auto"/>
                <w:kern w:val="0"/>
                <w:sz w:val="21"/>
                <w:szCs w:val="21"/>
                <w:highlight w:val="none"/>
                <w:lang w:val="en-US" w:eastAsia="zh-CN" w:bidi="ar-SA"/>
              </w:rPr>
            </w:pPr>
            <w:r>
              <w:rPr>
                <w:rFonts w:hint="default" w:ascii="黑体" w:hAnsi="黑体" w:eastAsia="黑体" w:cs="黑体"/>
                <w:b w:val="0"/>
                <w:bCs/>
                <w:color w:val="auto"/>
                <w:kern w:val="0"/>
                <w:sz w:val="21"/>
                <w:szCs w:val="21"/>
                <w:highlight w:val="none"/>
                <w:lang w:val="en-US" w:eastAsia="zh-CN" w:bidi="ar-SA"/>
              </w:rPr>
              <w:t>表4-</w:t>
            </w:r>
            <w:r>
              <w:rPr>
                <w:rFonts w:hint="eastAsia" w:ascii="黑体" w:hAnsi="黑体" w:eastAsia="黑体" w:cs="黑体"/>
                <w:b w:val="0"/>
                <w:bCs/>
                <w:color w:val="auto"/>
                <w:kern w:val="0"/>
                <w:sz w:val="21"/>
                <w:szCs w:val="21"/>
                <w:highlight w:val="none"/>
                <w:lang w:val="en-US" w:eastAsia="zh-CN" w:bidi="ar-SA"/>
              </w:rPr>
              <w:t>20</w:t>
            </w:r>
            <w:r>
              <w:rPr>
                <w:rFonts w:hint="default" w:ascii="黑体" w:hAnsi="黑体" w:eastAsia="黑体" w:cs="黑体"/>
                <w:b w:val="0"/>
                <w:bCs/>
                <w:color w:val="auto"/>
                <w:kern w:val="0"/>
                <w:sz w:val="21"/>
                <w:szCs w:val="21"/>
                <w:highlight w:val="none"/>
                <w:lang w:val="en-US" w:eastAsia="zh-CN" w:bidi="ar-SA"/>
              </w:rPr>
              <w:t xml:space="preserve">    监测工作内容一览表</w:t>
            </w:r>
          </w:p>
          <w:tbl>
            <w:tblPr>
              <w:tblStyle w:val="21"/>
              <w:tblW w:w="8703"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158"/>
              <w:gridCol w:w="1193"/>
              <w:gridCol w:w="1712"/>
              <w:gridCol w:w="3902"/>
            </w:tblGrid>
            <w:tr w14:paraId="5AA2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24" w:type="pct"/>
                  <w:tcBorders>
                    <w:tl2br w:val="nil"/>
                    <w:tr2bl w:val="nil"/>
                  </w:tcBorders>
                  <w:noWrap w:val="0"/>
                  <w:vAlign w:val="center"/>
                </w:tcPr>
                <w:p w14:paraId="7F340BB7">
                  <w:pPr>
                    <w:autoSpaceDE w:val="0"/>
                    <w:autoSpaceDN w:val="0"/>
                    <w:adjustRightInd w:val="0"/>
                    <w:snapToGri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类型</w:t>
                  </w:r>
                </w:p>
              </w:tc>
              <w:tc>
                <w:tcPr>
                  <w:tcW w:w="665" w:type="pct"/>
                  <w:tcBorders>
                    <w:tl2br w:val="nil"/>
                    <w:tr2bl w:val="nil"/>
                  </w:tcBorders>
                  <w:noWrap w:val="0"/>
                  <w:vAlign w:val="center"/>
                </w:tcPr>
                <w:p w14:paraId="5CCCFFFF">
                  <w:pPr>
                    <w:autoSpaceDE w:val="0"/>
                    <w:autoSpaceDN w:val="0"/>
                    <w:adjustRightInd w:val="0"/>
                    <w:snapToGri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监测点</w:t>
                  </w:r>
                </w:p>
              </w:tc>
              <w:tc>
                <w:tcPr>
                  <w:tcW w:w="685" w:type="pct"/>
                  <w:tcBorders>
                    <w:tl2br w:val="nil"/>
                    <w:tr2bl w:val="nil"/>
                  </w:tcBorders>
                  <w:noWrap w:val="0"/>
                  <w:vAlign w:val="center"/>
                </w:tcPr>
                <w:p w14:paraId="4BC993B6">
                  <w:pPr>
                    <w:autoSpaceDE w:val="0"/>
                    <w:autoSpaceDN w:val="0"/>
                    <w:adjustRightInd w:val="0"/>
                    <w:snapToGri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监测因子</w:t>
                  </w:r>
                </w:p>
              </w:tc>
              <w:tc>
                <w:tcPr>
                  <w:tcW w:w="983" w:type="pct"/>
                  <w:tcBorders>
                    <w:tl2br w:val="nil"/>
                    <w:tr2bl w:val="nil"/>
                  </w:tcBorders>
                  <w:noWrap w:val="0"/>
                  <w:vAlign w:val="center"/>
                </w:tcPr>
                <w:p w14:paraId="432D46E5">
                  <w:pPr>
                    <w:autoSpaceDE w:val="0"/>
                    <w:autoSpaceDN w:val="0"/>
                    <w:adjustRightInd w:val="0"/>
                    <w:snapToGri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建议监测频率</w:t>
                  </w:r>
                </w:p>
              </w:tc>
              <w:tc>
                <w:tcPr>
                  <w:tcW w:w="2241" w:type="pct"/>
                  <w:tcBorders>
                    <w:tl2br w:val="nil"/>
                    <w:tr2bl w:val="nil"/>
                  </w:tcBorders>
                  <w:noWrap w:val="0"/>
                  <w:vAlign w:val="center"/>
                </w:tcPr>
                <w:p w14:paraId="18DFE78A">
                  <w:pPr>
                    <w:autoSpaceDE w:val="0"/>
                    <w:autoSpaceDN w:val="0"/>
                    <w:adjustRightInd w:val="0"/>
                    <w:snapToGri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标准</w:t>
                  </w:r>
                </w:p>
              </w:tc>
            </w:tr>
            <w:tr w14:paraId="60A5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424" w:type="pct"/>
                  <w:tcBorders>
                    <w:tl2br w:val="nil"/>
                    <w:tr2bl w:val="nil"/>
                  </w:tcBorders>
                  <w:noWrap w:val="0"/>
                  <w:vAlign w:val="center"/>
                </w:tcPr>
                <w:p w14:paraId="7562D0F1">
                  <w:pPr>
                    <w:autoSpaceDE w:val="0"/>
                    <w:autoSpaceDN w:val="0"/>
                    <w:adjustRightInd w:val="0"/>
                    <w:snapToGri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噪声</w:t>
                  </w:r>
                </w:p>
              </w:tc>
              <w:tc>
                <w:tcPr>
                  <w:tcW w:w="665" w:type="pct"/>
                  <w:tcBorders>
                    <w:tl2br w:val="nil"/>
                    <w:tr2bl w:val="nil"/>
                  </w:tcBorders>
                  <w:noWrap w:val="0"/>
                  <w:vAlign w:val="center"/>
                </w:tcPr>
                <w:p w14:paraId="36F09066">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厂界</w:t>
                  </w:r>
                </w:p>
              </w:tc>
              <w:tc>
                <w:tcPr>
                  <w:tcW w:w="685" w:type="pct"/>
                  <w:tcBorders>
                    <w:tl2br w:val="nil"/>
                    <w:tr2bl w:val="nil"/>
                  </w:tcBorders>
                  <w:noWrap w:val="0"/>
                  <w:vAlign w:val="center"/>
                </w:tcPr>
                <w:p w14:paraId="2AE0A712">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L</w:t>
                  </w:r>
                  <w:r>
                    <w:rPr>
                      <w:rFonts w:hint="default" w:ascii="Times New Roman" w:hAnsi="Times New Roman" w:eastAsia="宋体" w:cs="Times New Roman"/>
                      <w:kern w:val="0"/>
                      <w:szCs w:val="21"/>
                      <w:vertAlign w:val="subscript"/>
                    </w:rPr>
                    <w:t>eq</w:t>
                  </w:r>
                </w:p>
              </w:tc>
              <w:tc>
                <w:tcPr>
                  <w:tcW w:w="983" w:type="pct"/>
                  <w:tcBorders>
                    <w:tl2br w:val="nil"/>
                    <w:tr2bl w:val="nil"/>
                  </w:tcBorders>
                  <w:noWrap w:val="0"/>
                  <w:vAlign w:val="center"/>
                </w:tcPr>
                <w:p w14:paraId="7B1A30C2">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1次/年</w:t>
                  </w:r>
                </w:p>
              </w:tc>
              <w:tc>
                <w:tcPr>
                  <w:tcW w:w="2241" w:type="pct"/>
                  <w:tcBorders>
                    <w:tl2br w:val="nil"/>
                    <w:tr2bl w:val="nil"/>
                  </w:tcBorders>
                  <w:noWrap w:val="0"/>
                  <w:vAlign w:val="center"/>
                </w:tcPr>
                <w:p w14:paraId="545AF75F">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zh-CN"/>
                    </w:rPr>
                    <w:t>《工业企业厂界环境噪声排放标准》（</w:t>
                  </w:r>
                  <w:r>
                    <w:rPr>
                      <w:rFonts w:hint="default" w:ascii="Times New Roman" w:hAnsi="Times New Roman" w:eastAsia="宋体" w:cs="Times New Roman"/>
                      <w:kern w:val="0"/>
                      <w:szCs w:val="21"/>
                    </w:rPr>
                    <w:t>GB12348-2008</w:t>
                  </w:r>
                  <w:r>
                    <w:rPr>
                      <w:rFonts w:hint="default" w:ascii="Times New Roman" w:hAnsi="Times New Roman" w:eastAsia="宋体" w:cs="Times New Roman"/>
                      <w:kern w:val="0"/>
                      <w:szCs w:val="21"/>
                      <w:lang w:val="zh-CN"/>
                    </w:rPr>
                    <w:t>）中</w:t>
                  </w:r>
                  <w:r>
                    <w:rPr>
                      <w:rFonts w:hint="eastAsia" w:cs="Times New Roman"/>
                      <w:kern w:val="0"/>
                      <w:szCs w:val="21"/>
                      <w:lang w:val="en-US" w:eastAsia="zh-CN"/>
                    </w:rPr>
                    <w:t>2</w:t>
                  </w:r>
                  <w:r>
                    <w:rPr>
                      <w:rFonts w:hint="default" w:ascii="Times New Roman" w:hAnsi="Times New Roman" w:eastAsia="宋体" w:cs="Times New Roman"/>
                      <w:kern w:val="0"/>
                      <w:szCs w:val="21"/>
                    </w:rPr>
                    <w:t>类标准</w:t>
                  </w:r>
                </w:p>
              </w:tc>
            </w:tr>
          </w:tbl>
          <w:p w14:paraId="2D859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 xml:space="preserve">4 </w:t>
            </w:r>
            <w:r>
              <w:rPr>
                <w:rFonts w:hint="default" w:ascii="Times New Roman" w:hAnsi="Times New Roman" w:eastAsia="宋体" w:cs="Times New Roman"/>
                <w:b/>
                <w:bCs/>
                <w:color w:val="auto"/>
                <w:sz w:val="24"/>
                <w:szCs w:val="24"/>
                <w:lang w:val="en-US" w:eastAsia="zh-CN"/>
              </w:rPr>
              <w:t>固体废弃物</w:t>
            </w:r>
            <w:r>
              <w:rPr>
                <w:rFonts w:hint="eastAsia" w:cs="Times New Roman"/>
                <w:b/>
                <w:bCs/>
                <w:color w:val="auto"/>
                <w:sz w:val="24"/>
                <w:szCs w:val="24"/>
                <w:lang w:val="en-US" w:eastAsia="zh-CN"/>
              </w:rPr>
              <w:t xml:space="preserve"> </w:t>
            </w:r>
          </w:p>
          <w:p w14:paraId="6210217B">
            <w:pPr>
              <w:pStyle w:val="26"/>
              <w:keepNext w:val="0"/>
              <w:keepLines w:val="0"/>
              <w:pageBreakBefore w:val="0"/>
              <w:widowControl w:val="0"/>
              <w:numPr>
                <w:ilvl w:val="0"/>
                <w:numId w:val="0"/>
              </w:numPr>
              <w:suppressLineNumbers w:val="0"/>
              <w:kinsoku/>
              <w:wordWrap/>
              <w:overflowPunct/>
              <w:topLinePunct w:val="0"/>
              <w:bidi w:val="0"/>
              <w:snapToGrid/>
              <w:spacing w:before="0" w:beforeLines="0" w:beforeAutospacing="0" w:after="0" w:afterLines="0" w:afterAutospacing="0" w:line="500" w:lineRule="exact"/>
              <w:ind w:right="0"/>
              <w:textAlignment w:val="auto"/>
              <w:rPr>
                <w:rFonts w:hint="default" w:ascii="Times New Roman" w:hAnsi="Times New Roman" w:eastAsia="宋体" w:cs="Times New Roman"/>
                <w:b/>
                <w:bCs/>
                <w:color w:val="auto"/>
                <w:spacing w:val="0"/>
                <w:kern w:val="2"/>
                <w:sz w:val="24"/>
                <w:szCs w:val="24"/>
                <w:lang w:val="en-US" w:eastAsia="zh-CN"/>
              </w:rPr>
            </w:pPr>
            <w:r>
              <w:rPr>
                <w:rFonts w:hint="eastAsia" w:ascii="Times New Roman" w:hAnsi="Times New Roman" w:eastAsia="宋体" w:cs="Times New Roman"/>
                <w:b/>
                <w:bCs/>
                <w:color w:val="auto"/>
                <w:spacing w:val="0"/>
                <w:kern w:val="2"/>
                <w:sz w:val="24"/>
                <w:szCs w:val="24"/>
                <w:lang w:val="en-US" w:eastAsia="zh-CN"/>
              </w:rPr>
              <w:t>4.1 固体废物</w:t>
            </w:r>
          </w:p>
          <w:p w14:paraId="3D057118">
            <w:pPr>
              <w:pStyle w:val="26"/>
              <w:keepNext w:val="0"/>
              <w:keepLines w:val="0"/>
              <w:pageBreakBefore w:val="0"/>
              <w:widowControl w:val="0"/>
              <w:numPr>
                <w:ilvl w:val="0"/>
                <w:numId w:val="0"/>
              </w:numPr>
              <w:suppressLineNumbers w:val="0"/>
              <w:kinsoku/>
              <w:wordWrap/>
              <w:overflowPunct/>
              <w:topLinePunct w:val="0"/>
              <w:bidi w:val="0"/>
              <w:snapToGrid/>
              <w:spacing w:before="0" w:beforeLines="0" w:beforeAutospacing="0" w:after="0" w:afterLines="0" w:afterAutospacing="0" w:line="500" w:lineRule="exact"/>
              <w:ind w:left="0" w:leftChars="0" w:right="0"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运营期固体废物主要为生活垃圾</w:t>
            </w:r>
            <w:r>
              <w:rPr>
                <w:rFonts w:hint="eastAsia" w:ascii="Times New Roman" w:hAnsi="Times New Roman" w:eastAsia="宋体" w:cs="Times New Roman"/>
                <w:color w:val="auto"/>
                <w:spacing w:val="0"/>
                <w:kern w:val="2"/>
                <w:sz w:val="24"/>
                <w:szCs w:val="24"/>
                <w:lang w:val="en-US" w:eastAsia="zh-CN"/>
              </w:rPr>
              <w:t>、</w:t>
            </w:r>
            <w:r>
              <w:rPr>
                <w:rFonts w:hint="default" w:ascii="Times New Roman" w:hAnsi="Times New Roman" w:eastAsia="宋体" w:cs="Times New Roman"/>
                <w:color w:val="auto"/>
                <w:spacing w:val="0"/>
                <w:kern w:val="2"/>
                <w:sz w:val="24"/>
                <w:szCs w:val="24"/>
                <w:lang w:val="en-US" w:eastAsia="zh-CN"/>
              </w:rPr>
              <w:t>生产垃圾</w:t>
            </w:r>
            <w:r>
              <w:rPr>
                <w:rFonts w:hint="eastAsia" w:ascii="Times New Roman" w:hAnsi="Times New Roman" w:eastAsia="宋体" w:cs="Times New Roman"/>
                <w:color w:val="auto"/>
                <w:spacing w:val="0"/>
                <w:kern w:val="2"/>
                <w:sz w:val="24"/>
                <w:szCs w:val="24"/>
                <w:lang w:val="en-US" w:eastAsia="zh-CN"/>
              </w:rPr>
              <w:t>、污水处理站污泥和废机油</w:t>
            </w:r>
            <w:r>
              <w:rPr>
                <w:rFonts w:hint="default" w:ascii="Times New Roman" w:hAnsi="Times New Roman" w:eastAsia="宋体" w:cs="Times New Roman"/>
                <w:color w:val="auto"/>
                <w:spacing w:val="0"/>
                <w:kern w:val="2"/>
                <w:sz w:val="24"/>
                <w:szCs w:val="24"/>
                <w:lang w:val="en-US" w:eastAsia="zh-CN"/>
              </w:rPr>
              <w:t>。</w:t>
            </w:r>
          </w:p>
          <w:p w14:paraId="02F50771">
            <w:pPr>
              <w:pStyle w:val="26"/>
              <w:keepNext w:val="0"/>
              <w:keepLines w:val="0"/>
              <w:pageBreakBefore w:val="0"/>
              <w:widowControl w:val="0"/>
              <w:numPr>
                <w:ilvl w:val="0"/>
                <w:numId w:val="0"/>
              </w:numPr>
              <w:suppressLineNumbers w:val="0"/>
              <w:kinsoku/>
              <w:wordWrap/>
              <w:overflowPunct/>
              <w:topLinePunct w:val="0"/>
              <w:bidi w:val="0"/>
              <w:snapToGrid/>
              <w:spacing w:before="0" w:beforeLines="0" w:beforeAutospacing="0" w:after="0" w:afterLines="0" w:afterAutospacing="0" w:line="500" w:lineRule="exact"/>
              <w:ind w:left="0" w:leftChars="0" w:right="0"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eastAsia" w:ascii="Times New Roman" w:hAnsi="Times New Roman" w:eastAsia="宋体" w:cs="Times New Roman"/>
                <w:color w:val="auto"/>
                <w:spacing w:val="0"/>
                <w:kern w:val="2"/>
                <w:sz w:val="24"/>
                <w:szCs w:val="24"/>
                <w:lang w:val="en-US" w:eastAsia="zh-CN"/>
              </w:rPr>
              <w:t>（1）</w:t>
            </w:r>
            <w:r>
              <w:rPr>
                <w:rFonts w:hint="default" w:ascii="Times New Roman" w:hAnsi="Times New Roman" w:eastAsia="宋体" w:cs="Times New Roman"/>
                <w:color w:val="auto"/>
                <w:spacing w:val="0"/>
                <w:kern w:val="2"/>
                <w:sz w:val="24"/>
                <w:szCs w:val="24"/>
                <w:lang w:val="en-US" w:eastAsia="zh-CN"/>
              </w:rPr>
              <w:t>生活垃圾</w:t>
            </w:r>
            <w:r>
              <w:rPr>
                <w:rFonts w:hint="eastAsia" w:ascii="Times New Roman" w:hAnsi="Times New Roman" w:eastAsia="宋体" w:cs="Times New Roman"/>
                <w:color w:val="auto"/>
                <w:spacing w:val="0"/>
                <w:kern w:val="2"/>
                <w:sz w:val="24"/>
                <w:szCs w:val="24"/>
                <w:lang w:val="en-US" w:eastAsia="zh-CN"/>
              </w:rPr>
              <w:t>：</w:t>
            </w:r>
            <w:r>
              <w:rPr>
                <w:rFonts w:hint="default" w:ascii="Times New Roman" w:hAnsi="Times New Roman" w:eastAsia="宋体" w:cs="Times New Roman"/>
                <w:color w:val="auto"/>
                <w:spacing w:val="0"/>
                <w:kern w:val="2"/>
                <w:sz w:val="24"/>
                <w:szCs w:val="24"/>
                <w:lang w:val="en-US" w:eastAsia="zh-CN"/>
              </w:rPr>
              <w:t>项目人员</w:t>
            </w:r>
            <w:r>
              <w:rPr>
                <w:rFonts w:hint="eastAsia" w:ascii="Times New Roman" w:hAnsi="Times New Roman" w:eastAsia="宋体" w:cs="Times New Roman"/>
                <w:color w:val="auto"/>
                <w:spacing w:val="0"/>
                <w:kern w:val="2"/>
                <w:sz w:val="24"/>
                <w:szCs w:val="24"/>
                <w:lang w:val="en-US" w:eastAsia="zh-CN"/>
              </w:rPr>
              <w:t>65</w:t>
            </w:r>
            <w:r>
              <w:rPr>
                <w:rFonts w:hint="default" w:ascii="Times New Roman" w:hAnsi="Times New Roman" w:eastAsia="宋体" w:cs="Times New Roman"/>
                <w:color w:val="auto"/>
                <w:spacing w:val="0"/>
                <w:kern w:val="2"/>
                <w:sz w:val="24"/>
                <w:szCs w:val="24"/>
                <w:lang w:val="en-US" w:eastAsia="zh-CN"/>
              </w:rPr>
              <w:t>人，年生产</w:t>
            </w:r>
            <w:r>
              <w:rPr>
                <w:rFonts w:hint="eastAsia" w:ascii="Times New Roman" w:hAnsi="Times New Roman" w:eastAsia="宋体" w:cs="Times New Roman"/>
                <w:color w:val="auto"/>
                <w:spacing w:val="0"/>
                <w:kern w:val="2"/>
                <w:sz w:val="24"/>
                <w:szCs w:val="24"/>
                <w:lang w:val="en-US" w:eastAsia="zh-CN"/>
              </w:rPr>
              <w:t>300</w:t>
            </w:r>
            <w:r>
              <w:rPr>
                <w:rFonts w:hint="default" w:ascii="Times New Roman" w:hAnsi="Times New Roman" w:eastAsia="宋体" w:cs="Times New Roman"/>
                <w:color w:val="auto"/>
                <w:spacing w:val="0"/>
                <w:kern w:val="2"/>
                <w:sz w:val="24"/>
                <w:szCs w:val="24"/>
                <w:lang w:val="en-US" w:eastAsia="zh-CN"/>
              </w:rPr>
              <w:t>天，人均产生垃圾量为1kg/d计，垃圾产生量为</w:t>
            </w:r>
            <w:r>
              <w:rPr>
                <w:rFonts w:hint="eastAsia" w:ascii="Times New Roman" w:hAnsi="Times New Roman" w:eastAsia="宋体" w:cs="Times New Roman"/>
                <w:color w:val="auto"/>
                <w:spacing w:val="0"/>
                <w:kern w:val="2"/>
                <w:sz w:val="24"/>
                <w:szCs w:val="24"/>
                <w:highlight w:val="none"/>
                <w:lang w:val="en-US" w:eastAsia="zh-CN"/>
              </w:rPr>
              <w:t>0.065</w:t>
            </w:r>
            <w:r>
              <w:rPr>
                <w:rFonts w:hint="default" w:ascii="Times New Roman" w:hAnsi="Times New Roman" w:eastAsia="宋体" w:cs="Times New Roman"/>
                <w:color w:val="auto"/>
                <w:spacing w:val="0"/>
                <w:kern w:val="2"/>
                <w:sz w:val="24"/>
                <w:szCs w:val="24"/>
                <w:highlight w:val="none"/>
                <w:lang w:val="en-US" w:eastAsia="zh-CN"/>
              </w:rPr>
              <w:t>t/d（</w:t>
            </w:r>
            <w:r>
              <w:rPr>
                <w:rFonts w:hint="eastAsia" w:ascii="Times New Roman" w:hAnsi="Times New Roman" w:eastAsia="宋体" w:cs="Times New Roman"/>
                <w:color w:val="auto"/>
                <w:spacing w:val="0"/>
                <w:kern w:val="2"/>
                <w:sz w:val="24"/>
                <w:szCs w:val="24"/>
                <w:highlight w:val="none"/>
                <w:lang w:val="en-US" w:eastAsia="zh-CN"/>
              </w:rPr>
              <w:t>19.5</w:t>
            </w:r>
            <w:r>
              <w:rPr>
                <w:rFonts w:hint="default" w:ascii="Times New Roman" w:hAnsi="Times New Roman" w:eastAsia="宋体" w:cs="Times New Roman"/>
                <w:color w:val="auto"/>
                <w:spacing w:val="0"/>
                <w:kern w:val="2"/>
                <w:sz w:val="24"/>
                <w:szCs w:val="24"/>
                <w:highlight w:val="none"/>
                <w:lang w:val="en-US" w:eastAsia="zh-CN"/>
              </w:rPr>
              <w:t>t/a）</w:t>
            </w:r>
            <w:r>
              <w:rPr>
                <w:rFonts w:hint="default" w:ascii="Times New Roman" w:hAnsi="Times New Roman" w:eastAsia="宋体" w:cs="Times New Roman"/>
                <w:color w:val="auto"/>
                <w:spacing w:val="0"/>
                <w:kern w:val="2"/>
                <w:sz w:val="24"/>
                <w:szCs w:val="24"/>
                <w:lang w:val="en-US" w:eastAsia="zh-CN"/>
              </w:rPr>
              <w:t>，生活垃圾每天进行清扫，</w:t>
            </w:r>
            <w:r>
              <w:rPr>
                <w:rFonts w:hint="eastAsia" w:ascii="Times New Roman" w:hAnsi="Times New Roman" w:eastAsia="宋体" w:cs="Times New Roman"/>
                <w:color w:val="auto"/>
                <w:spacing w:val="0"/>
                <w:kern w:val="2"/>
                <w:sz w:val="24"/>
                <w:szCs w:val="24"/>
                <w:lang w:val="en-US" w:eastAsia="zh-CN"/>
              </w:rPr>
              <w:t>由环卫部门</w:t>
            </w:r>
            <w:r>
              <w:rPr>
                <w:rFonts w:hint="default" w:ascii="Times New Roman" w:hAnsi="Times New Roman" w:eastAsia="宋体" w:cs="Times New Roman"/>
                <w:color w:val="auto"/>
                <w:spacing w:val="0"/>
                <w:kern w:val="2"/>
                <w:sz w:val="24"/>
                <w:szCs w:val="24"/>
                <w:lang w:val="en-US" w:eastAsia="zh-CN"/>
              </w:rPr>
              <w:t>统一收集后</w:t>
            </w:r>
            <w:r>
              <w:rPr>
                <w:rFonts w:hint="eastAsia" w:ascii="Times New Roman" w:hAnsi="Times New Roman" w:eastAsia="宋体" w:cs="Times New Roman"/>
                <w:color w:val="auto"/>
                <w:spacing w:val="0"/>
                <w:kern w:val="2"/>
                <w:sz w:val="24"/>
                <w:szCs w:val="24"/>
                <w:lang w:val="en-US" w:eastAsia="zh-CN"/>
              </w:rPr>
              <w:t>拉运至轮台县生活垃圾填埋场处理</w:t>
            </w:r>
            <w:r>
              <w:rPr>
                <w:rFonts w:hint="default" w:ascii="Times New Roman" w:hAnsi="Times New Roman" w:eastAsia="宋体" w:cs="Times New Roman"/>
                <w:color w:val="auto"/>
                <w:spacing w:val="0"/>
                <w:kern w:val="2"/>
                <w:sz w:val="24"/>
                <w:szCs w:val="24"/>
                <w:lang w:val="en-US" w:eastAsia="zh-CN"/>
              </w:rPr>
              <w:t>。</w:t>
            </w:r>
          </w:p>
          <w:p w14:paraId="34701A25">
            <w:pPr>
              <w:pStyle w:val="26"/>
              <w:keepNext w:val="0"/>
              <w:keepLines w:val="0"/>
              <w:pageBreakBefore w:val="0"/>
              <w:widowControl w:val="0"/>
              <w:numPr>
                <w:ilvl w:val="0"/>
                <w:numId w:val="0"/>
              </w:numPr>
              <w:suppressLineNumbers w:val="0"/>
              <w:kinsoku/>
              <w:wordWrap/>
              <w:overflowPunct/>
              <w:topLinePunct w:val="0"/>
              <w:bidi w:val="0"/>
              <w:snapToGrid/>
              <w:spacing w:before="0" w:beforeLines="0" w:beforeAutospacing="0" w:after="0" w:afterLines="0" w:afterAutospacing="0" w:line="500" w:lineRule="exact"/>
              <w:ind w:left="0" w:leftChars="0" w:right="0" w:firstLine="480" w:firstLineChars="200"/>
              <w:textAlignment w:val="auto"/>
              <w:rPr>
                <w:rFonts w:hint="eastAsia" w:ascii="Times New Roman" w:hAnsi="Times New Roman" w:eastAsia="宋体" w:cs="Times New Roman"/>
                <w:color w:val="auto"/>
                <w:spacing w:val="0"/>
                <w:kern w:val="2"/>
                <w:sz w:val="24"/>
                <w:szCs w:val="24"/>
                <w:lang w:val="en-US" w:eastAsia="zh-CN"/>
              </w:rPr>
            </w:pPr>
            <w:r>
              <w:rPr>
                <w:rFonts w:hint="eastAsia" w:ascii="Times New Roman" w:hAnsi="Times New Roman" w:eastAsia="宋体" w:cs="Times New Roman"/>
                <w:color w:val="auto"/>
                <w:spacing w:val="0"/>
                <w:kern w:val="2"/>
                <w:sz w:val="24"/>
                <w:szCs w:val="24"/>
                <w:lang w:val="en-US" w:eastAsia="zh-CN"/>
              </w:rPr>
              <w:t>（2）一般工业固废：</w:t>
            </w:r>
          </w:p>
          <w:p w14:paraId="2E5F83EE">
            <w:pPr>
              <w:pStyle w:val="26"/>
              <w:keepNext w:val="0"/>
              <w:keepLines w:val="0"/>
              <w:pageBreakBefore w:val="0"/>
              <w:widowControl w:val="0"/>
              <w:numPr>
                <w:ilvl w:val="0"/>
                <w:numId w:val="0"/>
              </w:numPr>
              <w:suppressLineNumbers w:val="0"/>
              <w:kinsoku/>
              <w:wordWrap/>
              <w:overflowPunct/>
              <w:topLinePunct w:val="0"/>
              <w:bidi w:val="0"/>
              <w:snapToGrid/>
              <w:spacing w:beforeLines="0" w:beforeAutospacing="0" w:afterLines="0" w:afterAutospacing="0" w:line="360" w:lineRule="auto"/>
              <w:ind w:left="0" w:leftChars="0" w:right="0" w:firstLine="480" w:firstLineChars="200"/>
              <w:textAlignment w:val="auto"/>
              <w:rPr>
                <w:rFonts w:hint="eastAsia" w:ascii="Times New Roman" w:hAnsi="Times New Roman" w:eastAsia="宋体" w:cs="Times New Roman"/>
                <w:color w:val="auto"/>
                <w:spacing w:val="0"/>
                <w:kern w:val="2"/>
                <w:sz w:val="24"/>
                <w:szCs w:val="24"/>
                <w:lang w:val="en-US" w:eastAsia="zh-CN"/>
              </w:rPr>
            </w:pPr>
            <w:r>
              <w:rPr>
                <w:rFonts w:hint="eastAsia" w:ascii="Times New Roman" w:hAnsi="Times New Roman" w:eastAsia="宋体" w:cs="Times New Roman"/>
                <w:color w:val="auto"/>
                <w:spacing w:val="0"/>
                <w:kern w:val="2"/>
                <w:sz w:val="24"/>
                <w:szCs w:val="24"/>
                <w:lang w:val="en-US" w:eastAsia="zh-CN"/>
              </w:rPr>
              <w:t>①铁质石块：清籽过程中会将原料中的铁质石块筛选出来，石块</w:t>
            </w:r>
            <w:r>
              <w:rPr>
                <w:rFonts w:hint="default" w:ascii="Times New Roman" w:hAnsi="Times New Roman" w:eastAsia="宋体" w:cs="Times New Roman"/>
                <w:color w:val="auto"/>
                <w:spacing w:val="0"/>
                <w:kern w:val="2"/>
                <w:sz w:val="24"/>
                <w:szCs w:val="24"/>
                <w:lang w:val="en-US" w:eastAsia="zh-CN"/>
              </w:rPr>
              <w:t>产生量约为</w:t>
            </w:r>
            <w:r>
              <w:rPr>
                <w:rFonts w:hint="eastAsia" w:ascii="Times New Roman" w:hAnsi="Times New Roman" w:eastAsia="宋体" w:cs="Times New Roman"/>
                <w:color w:val="auto"/>
                <w:spacing w:val="0"/>
                <w:kern w:val="2"/>
                <w:sz w:val="24"/>
                <w:szCs w:val="24"/>
                <w:lang w:val="en-US" w:eastAsia="zh-CN"/>
              </w:rPr>
              <w:t>14</w:t>
            </w:r>
            <w:r>
              <w:rPr>
                <w:rFonts w:hint="default" w:ascii="Times New Roman" w:hAnsi="Times New Roman" w:eastAsia="宋体" w:cs="Times New Roman"/>
                <w:color w:val="auto"/>
                <w:spacing w:val="0"/>
                <w:kern w:val="2"/>
                <w:sz w:val="24"/>
                <w:szCs w:val="24"/>
                <w:lang w:val="en-US" w:eastAsia="zh-CN"/>
              </w:rPr>
              <w:t>t/a</w:t>
            </w:r>
            <w:r>
              <w:rPr>
                <w:rFonts w:hint="eastAsia" w:ascii="Times New Roman" w:hAnsi="Times New Roman" w:eastAsia="宋体" w:cs="Times New Roman"/>
                <w:color w:val="auto"/>
                <w:spacing w:val="0"/>
                <w:kern w:val="2"/>
                <w:sz w:val="24"/>
                <w:szCs w:val="24"/>
                <w:lang w:val="en-US" w:eastAsia="zh-CN"/>
              </w:rPr>
              <w:t>，为一般固废，收集后定期清运至轮台县生活垃圾填埋场处理。</w:t>
            </w:r>
          </w:p>
          <w:p w14:paraId="3A82DC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cs="Times New Roman"/>
                <w:color w:val="auto"/>
                <w:spacing w:val="0"/>
                <w:kern w:val="2"/>
                <w:sz w:val="24"/>
                <w:szCs w:val="24"/>
                <w:lang w:val="en-US" w:eastAsia="zh-CN"/>
              </w:rPr>
              <w:t>②除尘器集</w:t>
            </w:r>
            <w:r>
              <w:rPr>
                <w:rFonts w:hint="eastAsia" w:cs="Times New Roman"/>
                <w:color w:val="auto"/>
                <w:spacing w:val="0"/>
                <w:kern w:val="2"/>
                <w:sz w:val="24"/>
                <w:szCs w:val="24"/>
                <w:highlight w:val="none"/>
                <w:lang w:val="en-US" w:eastAsia="zh-CN"/>
              </w:rPr>
              <w:t>灰：本项目除尘机组产生的粉尘其中，脉冲除尘器捕集粉尘做一般固废处理，年产生量约115.818</w:t>
            </w:r>
            <w:r>
              <w:rPr>
                <w:rFonts w:hint="eastAsia" w:cs="Times New Roman"/>
                <w:color w:val="auto"/>
                <w:spacing w:val="0"/>
                <w:kern w:val="2"/>
                <w:sz w:val="24"/>
                <w:szCs w:val="24"/>
                <w:lang w:val="en-US" w:eastAsia="zh-CN"/>
              </w:rPr>
              <w:t>t/a，</w:t>
            </w:r>
            <w:r>
              <w:rPr>
                <w:rFonts w:hint="eastAsia" w:ascii="Times New Roman" w:hAnsi="Times New Roman" w:eastAsia="宋体" w:cs="Times New Roman"/>
                <w:color w:val="auto"/>
                <w:spacing w:val="0"/>
                <w:kern w:val="2"/>
                <w:sz w:val="24"/>
                <w:szCs w:val="24"/>
                <w:lang w:val="en-US" w:eastAsia="zh-CN"/>
              </w:rPr>
              <w:t>收集后定期清运至定期拉</w:t>
            </w:r>
            <w:r>
              <w:rPr>
                <w:rFonts w:hint="eastAsia" w:cs="Times New Roman"/>
                <w:color w:val="auto"/>
                <w:spacing w:val="0"/>
                <w:kern w:val="2"/>
                <w:sz w:val="24"/>
                <w:szCs w:val="24"/>
                <w:lang w:val="en-US" w:eastAsia="zh-CN"/>
              </w:rPr>
              <w:t>轮台县</w:t>
            </w:r>
            <w:r>
              <w:rPr>
                <w:rFonts w:hint="eastAsia" w:ascii="Times New Roman" w:hAnsi="Times New Roman" w:eastAsia="宋体" w:cs="Times New Roman"/>
                <w:color w:val="auto"/>
                <w:spacing w:val="0"/>
                <w:kern w:val="2"/>
                <w:sz w:val="24"/>
                <w:szCs w:val="24"/>
                <w:lang w:val="en-US" w:eastAsia="zh-CN"/>
              </w:rPr>
              <w:t>生活垃圾填埋场处理。</w:t>
            </w:r>
            <w:r>
              <w:rPr>
                <w:rFonts w:hint="eastAsia" w:cs="Times New Roman"/>
                <w:color w:val="auto"/>
                <w:spacing w:val="0"/>
                <w:kern w:val="2"/>
                <w:sz w:val="24"/>
                <w:szCs w:val="24"/>
                <w:lang w:val="en-US" w:eastAsia="zh-CN"/>
              </w:rPr>
              <w:t>袋式除尘器捕集的粉尘（棉絮等）产生量322.38t/a，打包为副产品外售。</w:t>
            </w:r>
          </w:p>
          <w:p w14:paraId="5F98B0E1">
            <w:pPr>
              <w:pStyle w:val="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Lines="0" w:beforeAutospacing="0" w:afterLines="0" w:afterAutospacing="0" w:line="360" w:lineRule="auto"/>
              <w:ind w:left="0" w:leftChars="0" w:right="0" w:firstLine="480" w:firstLineChars="200"/>
              <w:textAlignment w:val="auto"/>
              <w:rPr>
                <w:rFonts w:hint="default" w:ascii="Times New Roman" w:hAnsi="Times New Roman" w:cs="Times New Roman"/>
                <w:b w:val="0"/>
                <w:bCs w:val="0"/>
                <w:color w:val="000000"/>
                <w:sz w:val="24"/>
                <w:szCs w:val="24"/>
                <w:lang w:val="en-US" w:eastAsia="zh-CN"/>
              </w:rPr>
            </w:pPr>
            <w:r>
              <w:rPr>
                <w:rFonts w:hint="eastAsia" w:ascii="Times New Roman" w:hAnsi="Times New Roman" w:eastAsia="宋体" w:cs="Times New Roman"/>
                <w:color w:val="auto"/>
                <w:spacing w:val="0"/>
                <w:kern w:val="2"/>
                <w:sz w:val="24"/>
                <w:szCs w:val="24"/>
                <w:lang w:val="en-US" w:eastAsia="zh-CN"/>
              </w:rPr>
              <w:t>③污水处理站污泥：污水处理设备污泥产生量约为18t/a，存放于污泥池内，定期清理，脱</w:t>
            </w:r>
            <w:r>
              <w:rPr>
                <w:rFonts w:hint="default" w:ascii="Times New Roman" w:hAnsi="Times New Roman" w:eastAsia="宋体" w:cs="Times New Roman"/>
                <w:color w:val="auto"/>
                <w:spacing w:val="0"/>
                <w:kern w:val="2"/>
                <w:sz w:val="24"/>
                <w:szCs w:val="24"/>
                <w:lang w:val="en-US" w:eastAsia="zh-CN"/>
              </w:rPr>
              <w:t>水处理后由环卫部门定期拉</w:t>
            </w:r>
            <w:r>
              <w:rPr>
                <w:rFonts w:hint="eastAsia" w:ascii="Times New Roman" w:hAnsi="Times New Roman" w:eastAsia="宋体" w:cs="Times New Roman"/>
                <w:color w:val="auto"/>
                <w:spacing w:val="0"/>
                <w:kern w:val="2"/>
                <w:sz w:val="24"/>
                <w:szCs w:val="24"/>
                <w:lang w:val="en-US" w:eastAsia="zh-CN"/>
              </w:rPr>
              <w:t>轮台县</w:t>
            </w:r>
            <w:r>
              <w:rPr>
                <w:rFonts w:hint="default" w:ascii="Times New Roman" w:hAnsi="Times New Roman" w:eastAsia="宋体" w:cs="Times New Roman"/>
                <w:color w:val="auto"/>
                <w:spacing w:val="0"/>
                <w:kern w:val="2"/>
                <w:sz w:val="24"/>
                <w:szCs w:val="24"/>
                <w:lang w:val="en-US" w:eastAsia="zh-CN"/>
              </w:rPr>
              <w:t>生活垃圾填埋场处理。</w:t>
            </w:r>
          </w:p>
          <w:p w14:paraId="210D0177">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lang w:val="en-US" w:eastAsia="zh-CN"/>
              </w:rPr>
            </w:pPr>
            <w:r>
              <w:rPr>
                <w:rFonts w:hint="default" w:ascii="Times New Roman" w:hAnsi="Times New Roman" w:cs="Times New Roman"/>
                <w:b w:val="0"/>
                <w:bCs w:val="0"/>
                <w:color w:val="000000"/>
                <w:sz w:val="24"/>
                <w:szCs w:val="24"/>
                <w:lang w:val="en-US" w:eastAsia="zh-CN"/>
              </w:rPr>
              <w:t>综上所述，根据关于发布《固体废物分类与代码目录》的公告（</w:t>
            </w:r>
            <w:r>
              <w:rPr>
                <w:rFonts w:hint="default" w:ascii="Times New Roman" w:hAnsi="Times New Roman" w:eastAsia="宋体" w:cs="Times New Roman"/>
                <w:sz w:val="24"/>
                <w:szCs w:val="24"/>
              </w:rPr>
              <w:t>生态环境部公告2024年第4号</w:t>
            </w:r>
            <w:r>
              <w:rPr>
                <w:rFonts w:hint="default" w:ascii="Times New Roman" w:hAnsi="Times New Roman" w:cs="Times New Roman"/>
                <w:b w:val="0"/>
                <w:bCs w:val="0"/>
                <w:color w:val="000000"/>
                <w:sz w:val="24"/>
                <w:szCs w:val="24"/>
                <w:lang w:val="en-US" w:eastAsia="zh-CN"/>
              </w:rPr>
              <w:t>）</w:t>
            </w:r>
            <w:r>
              <w:rPr>
                <w:rFonts w:hint="eastAsia" w:cs="Times New Roman"/>
                <w:b w:val="0"/>
                <w:bCs w:val="0"/>
                <w:color w:val="000000"/>
                <w:sz w:val="24"/>
                <w:szCs w:val="24"/>
                <w:lang w:val="en-US" w:eastAsia="zh-CN"/>
              </w:rPr>
              <w:t>，</w:t>
            </w:r>
            <w:r>
              <w:rPr>
                <w:rFonts w:hint="default" w:ascii="Times New Roman" w:hAnsi="Times New Roman" w:cs="Times New Roman"/>
                <w:b w:val="0"/>
                <w:bCs w:val="0"/>
                <w:color w:val="000000"/>
                <w:sz w:val="24"/>
                <w:szCs w:val="24"/>
                <w:lang w:val="en-US" w:eastAsia="zh-CN"/>
              </w:rPr>
              <w:t>本项目</w:t>
            </w:r>
            <w:r>
              <w:rPr>
                <w:rFonts w:hint="default" w:ascii="Times New Roman" w:hAnsi="Times New Roman" w:cs="Times New Roman"/>
                <w:sz w:val="24"/>
                <w:szCs w:val="24"/>
                <w:lang w:val="en-US" w:eastAsia="zh-CN"/>
              </w:rPr>
              <w:t>运营期固体废物产生情况及处理处置措施详见表</w:t>
            </w:r>
            <w:r>
              <w:rPr>
                <w:rFonts w:hint="eastAsia" w:ascii="Times New Roman" w:hAnsi="Times New Roman" w:cs="Times New Roman"/>
                <w:sz w:val="24"/>
                <w:szCs w:val="24"/>
                <w:lang w:val="en-US" w:eastAsia="zh-CN"/>
              </w:rPr>
              <w:t>4-</w:t>
            </w:r>
            <w:r>
              <w:rPr>
                <w:rFonts w:hint="eastAsia" w:cs="Times New Roman"/>
                <w:sz w:val="24"/>
                <w:szCs w:val="24"/>
                <w:lang w:val="en-US" w:eastAsia="zh-CN"/>
              </w:rPr>
              <w:t>21</w:t>
            </w:r>
            <w:r>
              <w:rPr>
                <w:rFonts w:hint="default" w:ascii="Times New Roman" w:hAnsi="Times New Roman" w:cs="Times New Roman"/>
                <w:sz w:val="24"/>
                <w:szCs w:val="24"/>
                <w:lang w:val="en-US" w:eastAsia="zh-CN"/>
              </w:rPr>
              <w:t>。</w:t>
            </w:r>
          </w:p>
          <w:p w14:paraId="46F92349">
            <w:pPr>
              <w:pStyle w:val="26"/>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表4-21</w:t>
            </w:r>
            <w:r>
              <w:rPr>
                <w:rFonts w:hint="eastAsia" w:cs="黑体"/>
                <w:b w:val="0"/>
                <w:bCs w:val="0"/>
                <w:sz w:val="21"/>
                <w:szCs w:val="21"/>
                <w:lang w:val="en-US" w:eastAsia="zh-CN"/>
              </w:rPr>
              <w:t xml:space="preserve">  </w:t>
            </w:r>
            <w:r>
              <w:rPr>
                <w:rFonts w:hint="eastAsia" w:ascii="黑体" w:hAnsi="黑体" w:eastAsia="黑体" w:cs="黑体"/>
                <w:b w:val="0"/>
                <w:bCs w:val="0"/>
                <w:sz w:val="21"/>
                <w:szCs w:val="21"/>
                <w:lang w:val="en-US" w:eastAsia="zh-CN"/>
              </w:rPr>
              <w:t xml:space="preserve">  一般固体废物产生情况及处理处置措施</w:t>
            </w:r>
          </w:p>
          <w:tbl>
            <w:tblPr>
              <w:tblStyle w:val="22"/>
              <w:tblW w:w="8697" w:type="dxa"/>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9"/>
              <w:gridCol w:w="850"/>
              <w:gridCol w:w="1058"/>
              <w:gridCol w:w="1973"/>
              <w:gridCol w:w="1156"/>
              <w:gridCol w:w="2381"/>
            </w:tblGrid>
            <w:tr w14:paraId="64238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5" w:type="pct"/>
                  <w:tcBorders>
                    <w:tl2br w:val="nil"/>
                    <w:tr2bl w:val="nil"/>
                  </w:tcBorders>
                  <w:vAlign w:val="center"/>
                </w:tcPr>
                <w:p w14:paraId="45CDED52">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产生名称</w:t>
                  </w:r>
                </w:p>
              </w:tc>
              <w:tc>
                <w:tcPr>
                  <w:tcW w:w="488" w:type="pct"/>
                  <w:tcBorders>
                    <w:tl2br w:val="nil"/>
                    <w:tr2bl w:val="nil"/>
                  </w:tcBorders>
                  <w:vAlign w:val="center"/>
                </w:tcPr>
                <w:p w14:paraId="1A63DECF">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类别代码</w:t>
                  </w:r>
                </w:p>
              </w:tc>
              <w:tc>
                <w:tcPr>
                  <w:tcW w:w="608" w:type="pct"/>
                  <w:tcBorders>
                    <w:tl2br w:val="nil"/>
                    <w:tr2bl w:val="nil"/>
                  </w:tcBorders>
                  <w:vAlign w:val="center"/>
                </w:tcPr>
                <w:p w14:paraId="46C44928">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代码</w:t>
                  </w:r>
                </w:p>
              </w:tc>
              <w:tc>
                <w:tcPr>
                  <w:tcW w:w="1134" w:type="pct"/>
                  <w:tcBorders>
                    <w:tl2br w:val="nil"/>
                    <w:tr2bl w:val="nil"/>
                  </w:tcBorders>
                  <w:vAlign w:val="center"/>
                </w:tcPr>
                <w:p w14:paraId="63876731">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名称</w:t>
                  </w:r>
                </w:p>
              </w:tc>
              <w:tc>
                <w:tcPr>
                  <w:tcW w:w="664" w:type="pct"/>
                  <w:tcBorders>
                    <w:tl2br w:val="nil"/>
                    <w:tr2bl w:val="nil"/>
                  </w:tcBorders>
                  <w:vAlign w:val="center"/>
                </w:tcPr>
                <w:p w14:paraId="6DA35AC3">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产生量</w:t>
                  </w:r>
                </w:p>
              </w:tc>
              <w:tc>
                <w:tcPr>
                  <w:tcW w:w="1368" w:type="pct"/>
                  <w:tcBorders>
                    <w:tl2br w:val="nil"/>
                    <w:tr2bl w:val="nil"/>
                  </w:tcBorders>
                  <w:vAlign w:val="center"/>
                </w:tcPr>
                <w:p w14:paraId="5C9E7082">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处理方式</w:t>
                  </w:r>
                </w:p>
              </w:tc>
            </w:tr>
            <w:tr w14:paraId="7735A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5" w:type="pct"/>
                  <w:tcBorders>
                    <w:tl2br w:val="nil"/>
                    <w:tr2bl w:val="nil"/>
                  </w:tcBorders>
                  <w:vAlign w:val="center"/>
                </w:tcPr>
                <w:p w14:paraId="45FC8CC1">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生活垃圾</w:t>
                  </w:r>
                </w:p>
              </w:tc>
              <w:tc>
                <w:tcPr>
                  <w:tcW w:w="488" w:type="pct"/>
                  <w:tcBorders>
                    <w:tl2br w:val="nil"/>
                    <w:tr2bl w:val="nil"/>
                  </w:tcBorders>
                  <w:vAlign w:val="center"/>
                </w:tcPr>
                <w:p w14:paraId="68F3708C">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608" w:type="pct"/>
                  <w:tcBorders>
                    <w:tl2br w:val="nil"/>
                    <w:tr2bl w:val="nil"/>
                  </w:tcBorders>
                  <w:vAlign w:val="center"/>
                </w:tcPr>
                <w:p w14:paraId="215D160A">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1134" w:type="pct"/>
                  <w:tcBorders>
                    <w:tl2br w:val="nil"/>
                    <w:tr2bl w:val="nil"/>
                  </w:tcBorders>
                  <w:vAlign w:val="center"/>
                </w:tcPr>
                <w:p w14:paraId="7829F456">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664" w:type="pct"/>
                  <w:tcBorders>
                    <w:tl2br w:val="nil"/>
                    <w:tr2bl w:val="nil"/>
                  </w:tcBorders>
                  <w:vAlign w:val="center"/>
                </w:tcPr>
                <w:p w14:paraId="2D729797">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19.5t/a</w:t>
                  </w:r>
                </w:p>
              </w:tc>
              <w:tc>
                <w:tcPr>
                  <w:tcW w:w="1368" w:type="pct"/>
                  <w:tcBorders>
                    <w:tl2br w:val="nil"/>
                    <w:tr2bl w:val="nil"/>
                  </w:tcBorders>
                  <w:vAlign w:val="center"/>
                </w:tcPr>
                <w:p w14:paraId="24E03598">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color w:val="auto"/>
                      <w:spacing w:val="0"/>
                      <w:kern w:val="2"/>
                      <w:sz w:val="21"/>
                      <w:szCs w:val="21"/>
                      <w:lang w:val="en-US" w:eastAsia="zh-CN" w:bidi="ar-SA"/>
                    </w:rPr>
                    <w:t>环卫部门定期清运至轮台县</w:t>
                  </w:r>
                  <w:r>
                    <w:rPr>
                      <w:rFonts w:hint="default" w:ascii="Times New Roman" w:hAnsi="Times New Roman" w:eastAsia="宋体" w:cs="Times New Roman"/>
                      <w:color w:val="auto"/>
                      <w:spacing w:val="0"/>
                      <w:kern w:val="2"/>
                      <w:sz w:val="21"/>
                      <w:szCs w:val="21"/>
                      <w:lang w:val="en-US" w:eastAsia="zh-CN" w:bidi="ar-SA"/>
                    </w:rPr>
                    <w:t>生活垃圾填埋场处理</w:t>
                  </w:r>
                </w:p>
              </w:tc>
            </w:tr>
            <w:tr w14:paraId="2CDCE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5" w:type="pct"/>
                  <w:tcBorders>
                    <w:tl2br w:val="nil"/>
                    <w:tr2bl w:val="nil"/>
                  </w:tcBorders>
                  <w:vAlign w:val="center"/>
                </w:tcPr>
                <w:p w14:paraId="255E702F">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铁质石块</w:t>
                  </w:r>
                </w:p>
              </w:tc>
              <w:tc>
                <w:tcPr>
                  <w:tcW w:w="488" w:type="pct"/>
                  <w:tcBorders>
                    <w:tl2br w:val="nil"/>
                    <w:tr2bl w:val="nil"/>
                  </w:tcBorders>
                  <w:vAlign w:val="center"/>
                </w:tcPr>
                <w:p w14:paraId="48FAE165">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99</w:t>
                  </w:r>
                </w:p>
              </w:tc>
              <w:tc>
                <w:tcPr>
                  <w:tcW w:w="608" w:type="pct"/>
                  <w:tcBorders>
                    <w:tl2br w:val="nil"/>
                    <w:tr2bl w:val="nil"/>
                  </w:tcBorders>
                  <w:vAlign w:val="center"/>
                </w:tcPr>
                <w:p w14:paraId="736DE224">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1134" w:type="pct"/>
                  <w:tcBorders>
                    <w:tl2br w:val="nil"/>
                    <w:tr2bl w:val="nil"/>
                  </w:tcBorders>
                  <w:vAlign w:val="center"/>
                </w:tcPr>
                <w:p w14:paraId="4F76D1F9">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664" w:type="pct"/>
                  <w:tcBorders>
                    <w:tl2br w:val="nil"/>
                    <w:tr2bl w:val="nil"/>
                  </w:tcBorders>
                  <w:vAlign w:val="center"/>
                </w:tcPr>
                <w:p w14:paraId="30419F85">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14</w:t>
                  </w:r>
                  <w:r>
                    <w:rPr>
                      <w:rFonts w:hint="default" w:ascii="Times New Roman" w:hAnsi="Times New Roman" w:eastAsia="宋体" w:cs="Times New Roman"/>
                      <w:color w:val="auto"/>
                      <w:spacing w:val="0"/>
                      <w:kern w:val="2"/>
                      <w:sz w:val="21"/>
                      <w:szCs w:val="21"/>
                      <w:lang w:val="en-US" w:eastAsia="zh-CN" w:bidi="ar-SA"/>
                    </w:rPr>
                    <w:t>t/a</w:t>
                  </w:r>
                </w:p>
              </w:tc>
              <w:tc>
                <w:tcPr>
                  <w:tcW w:w="1368" w:type="pct"/>
                  <w:vMerge w:val="restart"/>
                  <w:tcBorders>
                    <w:tl2br w:val="nil"/>
                    <w:tr2bl w:val="nil"/>
                  </w:tcBorders>
                  <w:vAlign w:val="center"/>
                </w:tcPr>
                <w:p w14:paraId="78FEAE2B">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环卫部门定期清运至轮台县</w:t>
                  </w:r>
                  <w:r>
                    <w:rPr>
                      <w:rFonts w:hint="default" w:ascii="Times New Roman" w:hAnsi="Times New Roman" w:eastAsia="宋体" w:cs="Times New Roman"/>
                      <w:color w:val="auto"/>
                      <w:spacing w:val="0"/>
                      <w:kern w:val="2"/>
                      <w:sz w:val="21"/>
                      <w:szCs w:val="21"/>
                      <w:lang w:val="en-US" w:eastAsia="zh-CN" w:bidi="ar-SA"/>
                    </w:rPr>
                    <w:t>生活垃圾填埋场处理</w:t>
                  </w:r>
                </w:p>
              </w:tc>
            </w:tr>
            <w:tr w14:paraId="52051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5" w:type="pct"/>
                  <w:vMerge w:val="restart"/>
                  <w:tcBorders>
                    <w:tl2br w:val="nil"/>
                    <w:tr2bl w:val="nil"/>
                  </w:tcBorders>
                  <w:vAlign w:val="center"/>
                </w:tcPr>
                <w:p w14:paraId="6D9AC60B">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除尘器粉尘</w:t>
                  </w:r>
                </w:p>
              </w:tc>
              <w:tc>
                <w:tcPr>
                  <w:tcW w:w="488" w:type="pct"/>
                  <w:vMerge w:val="restart"/>
                  <w:tcBorders>
                    <w:tl2br w:val="nil"/>
                    <w:tr2bl w:val="nil"/>
                  </w:tcBorders>
                  <w:vAlign w:val="center"/>
                </w:tcPr>
                <w:p w14:paraId="4D458A7B">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66</w:t>
                  </w:r>
                </w:p>
              </w:tc>
              <w:tc>
                <w:tcPr>
                  <w:tcW w:w="608" w:type="pct"/>
                  <w:vMerge w:val="restart"/>
                  <w:tcBorders>
                    <w:tl2br w:val="nil"/>
                    <w:tr2bl w:val="nil"/>
                  </w:tcBorders>
                  <w:vAlign w:val="center"/>
                </w:tcPr>
                <w:p w14:paraId="7813B4B6">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1134" w:type="pct"/>
                  <w:vMerge w:val="restart"/>
                  <w:tcBorders>
                    <w:tl2br w:val="nil"/>
                    <w:tr2bl w:val="nil"/>
                  </w:tcBorders>
                  <w:vAlign w:val="center"/>
                </w:tcPr>
                <w:p w14:paraId="46FA33EB">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w:t>
                  </w:r>
                </w:p>
              </w:tc>
              <w:tc>
                <w:tcPr>
                  <w:tcW w:w="664" w:type="pct"/>
                  <w:tcBorders>
                    <w:tl2br w:val="nil"/>
                    <w:tr2bl w:val="nil"/>
                  </w:tcBorders>
                  <w:vAlign w:val="center"/>
                </w:tcPr>
                <w:p w14:paraId="53B858D2">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color w:val="auto"/>
                      <w:spacing w:val="0"/>
                      <w:kern w:val="2"/>
                      <w:sz w:val="21"/>
                      <w:szCs w:val="21"/>
                      <w:lang w:val="en-US" w:eastAsia="zh-CN" w:bidi="ar-SA"/>
                    </w:rPr>
                    <w:t>115.818</w:t>
                  </w:r>
                  <w:r>
                    <w:rPr>
                      <w:rFonts w:hint="default" w:ascii="Times New Roman" w:hAnsi="Times New Roman" w:eastAsia="宋体" w:cs="Times New Roman"/>
                      <w:color w:val="auto"/>
                      <w:spacing w:val="0"/>
                      <w:kern w:val="2"/>
                      <w:sz w:val="21"/>
                      <w:szCs w:val="21"/>
                      <w:lang w:val="en-US" w:eastAsia="zh-CN" w:bidi="ar-SA"/>
                    </w:rPr>
                    <w:t>t/a</w:t>
                  </w:r>
                </w:p>
              </w:tc>
              <w:tc>
                <w:tcPr>
                  <w:tcW w:w="1368" w:type="pct"/>
                  <w:vMerge w:val="continue"/>
                  <w:tcBorders>
                    <w:tl2br w:val="nil"/>
                    <w:tr2bl w:val="nil"/>
                  </w:tcBorders>
                  <w:vAlign w:val="center"/>
                </w:tcPr>
                <w:p w14:paraId="17A1A844">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spacing w:val="0"/>
                      <w:kern w:val="2"/>
                      <w:sz w:val="21"/>
                      <w:szCs w:val="21"/>
                      <w:lang w:val="en-US" w:eastAsia="zh-CN" w:bidi="ar-SA"/>
                    </w:rPr>
                  </w:pPr>
                </w:p>
              </w:tc>
            </w:tr>
            <w:tr w14:paraId="3B8DC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5" w:type="pct"/>
                  <w:vMerge w:val="continue"/>
                  <w:tcBorders>
                    <w:tl2br w:val="nil"/>
                    <w:tr2bl w:val="nil"/>
                  </w:tcBorders>
                  <w:vAlign w:val="center"/>
                </w:tcPr>
                <w:p w14:paraId="682E6667">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p>
              </w:tc>
              <w:tc>
                <w:tcPr>
                  <w:tcW w:w="488" w:type="pct"/>
                  <w:vMerge w:val="continue"/>
                  <w:tcBorders>
                    <w:tl2br w:val="nil"/>
                    <w:tr2bl w:val="nil"/>
                  </w:tcBorders>
                  <w:vAlign w:val="center"/>
                </w:tcPr>
                <w:p w14:paraId="04E9F687">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p>
              </w:tc>
              <w:tc>
                <w:tcPr>
                  <w:tcW w:w="608" w:type="pct"/>
                  <w:vMerge w:val="continue"/>
                  <w:tcBorders>
                    <w:tl2br w:val="nil"/>
                    <w:tr2bl w:val="nil"/>
                  </w:tcBorders>
                  <w:vAlign w:val="center"/>
                </w:tcPr>
                <w:p w14:paraId="57381ADF">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p>
              </w:tc>
              <w:tc>
                <w:tcPr>
                  <w:tcW w:w="1134" w:type="pct"/>
                  <w:vMerge w:val="continue"/>
                  <w:tcBorders>
                    <w:tl2br w:val="nil"/>
                    <w:tr2bl w:val="nil"/>
                  </w:tcBorders>
                  <w:vAlign w:val="center"/>
                </w:tcPr>
                <w:p w14:paraId="0EDF3543">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p>
              </w:tc>
              <w:tc>
                <w:tcPr>
                  <w:tcW w:w="664" w:type="pct"/>
                  <w:tcBorders>
                    <w:tl2br w:val="nil"/>
                    <w:tr2bl w:val="nil"/>
                  </w:tcBorders>
                  <w:vAlign w:val="center"/>
                </w:tcPr>
                <w:p w14:paraId="24284892">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322.38</w:t>
                  </w:r>
                  <w:r>
                    <w:rPr>
                      <w:rFonts w:hint="default" w:ascii="Times New Roman" w:hAnsi="Times New Roman" w:eastAsia="宋体" w:cs="Times New Roman"/>
                      <w:color w:val="auto"/>
                      <w:spacing w:val="0"/>
                      <w:kern w:val="2"/>
                      <w:sz w:val="21"/>
                      <w:szCs w:val="21"/>
                      <w:lang w:val="en-US" w:eastAsia="zh-CN" w:bidi="ar-SA"/>
                    </w:rPr>
                    <w:t>t/a</w:t>
                  </w:r>
                </w:p>
              </w:tc>
              <w:tc>
                <w:tcPr>
                  <w:tcW w:w="1368" w:type="pct"/>
                  <w:tcBorders>
                    <w:tl2br w:val="nil"/>
                    <w:tr2bl w:val="nil"/>
                  </w:tcBorders>
                  <w:vAlign w:val="center"/>
                </w:tcPr>
                <w:p w14:paraId="38453369">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棉絮</w:t>
                  </w:r>
                  <w:r>
                    <w:rPr>
                      <w:rFonts w:hint="default" w:ascii="Times New Roman" w:hAnsi="Times New Roman" w:eastAsia="宋体" w:cs="Times New Roman"/>
                      <w:color w:val="auto"/>
                      <w:spacing w:val="0"/>
                      <w:kern w:val="2"/>
                      <w:sz w:val="21"/>
                      <w:szCs w:val="21"/>
                      <w:lang w:val="en-US" w:eastAsia="zh-CN" w:bidi="ar-SA"/>
                    </w:rPr>
                    <w:t>回</w:t>
                  </w:r>
                  <w:r>
                    <w:rPr>
                      <w:rFonts w:hint="eastAsia" w:ascii="Times New Roman" w:hAnsi="Times New Roman" w:eastAsia="宋体" w:cs="Times New Roman"/>
                      <w:color w:val="auto"/>
                      <w:spacing w:val="0"/>
                      <w:kern w:val="2"/>
                      <w:sz w:val="21"/>
                      <w:szCs w:val="21"/>
                      <w:lang w:val="en-US" w:eastAsia="zh-CN" w:bidi="ar-SA"/>
                    </w:rPr>
                    <w:t>收外售</w:t>
                  </w:r>
                </w:p>
              </w:tc>
            </w:tr>
            <w:tr w14:paraId="5EDE7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5" w:type="pct"/>
                  <w:tcBorders>
                    <w:tl2br w:val="nil"/>
                    <w:tr2bl w:val="nil"/>
                  </w:tcBorders>
                  <w:vAlign w:val="center"/>
                </w:tcPr>
                <w:p w14:paraId="26A76208">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污水处理站污泥</w:t>
                  </w:r>
                </w:p>
              </w:tc>
              <w:tc>
                <w:tcPr>
                  <w:tcW w:w="488" w:type="pct"/>
                  <w:tcBorders>
                    <w:tl2br w:val="nil"/>
                    <w:tr2bl w:val="nil"/>
                  </w:tcBorders>
                  <w:vAlign w:val="center"/>
                </w:tcPr>
                <w:p w14:paraId="240991F8">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62</w:t>
                  </w:r>
                </w:p>
              </w:tc>
              <w:tc>
                <w:tcPr>
                  <w:tcW w:w="608" w:type="pct"/>
                  <w:tcBorders>
                    <w:tl2br w:val="nil"/>
                    <w:tr2bl w:val="nil"/>
                  </w:tcBorders>
                  <w:vAlign w:val="center"/>
                </w:tcPr>
                <w:p w14:paraId="10249BF3">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900-099-S07</w:t>
                  </w:r>
                </w:p>
              </w:tc>
              <w:tc>
                <w:tcPr>
                  <w:tcW w:w="1134" w:type="pct"/>
                  <w:tcBorders>
                    <w:tl2br w:val="nil"/>
                    <w:tr2bl w:val="nil"/>
                  </w:tcBorders>
                  <w:vAlign w:val="center"/>
                </w:tcPr>
                <w:p w14:paraId="40E72CF7">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lang w:val="en-US" w:eastAsia="zh-CN" w:bidi="ar-SA"/>
                    </w:rPr>
                  </w:pPr>
                  <w:r>
                    <w:rPr>
                      <w:rFonts w:hint="default" w:ascii="Times New Roman" w:hAnsi="Times New Roman" w:eastAsia="宋体" w:cs="Times New Roman"/>
                      <w:b w:val="0"/>
                      <w:bCs w:val="0"/>
                      <w:color w:val="000000"/>
                      <w:sz w:val="21"/>
                      <w:szCs w:val="21"/>
                      <w:vertAlign w:val="baseline"/>
                      <w:lang w:val="en-US" w:eastAsia="zh-CN" w:bidi="ar-SA"/>
                    </w:rPr>
                    <w:t>SW07污泥</w:t>
                  </w:r>
                  <w:r>
                    <w:rPr>
                      <w:rFonts w:hint="eastAsia" w:ascii="Times New Roman" w:hAnsi="Times New Roman" w:eastAsia="宋体" w:cs="Times New Roman"/>
                      <w:b w:val="0"/>
                      <w:bCs w:val="0"/>
                      <w:color w:val="000000"/>
                      <w:sz w:val="21"/>
                      <w:szCs w:val="21"/>
                      <w:vertAlign w:val="baseline"/>
                      <w:lang w:val="en-US" w:eastAsia="zh-CN" w:bidi="ar-SA"/>
                    </w:rPr>
                    <w:t>，非特定行业</w:t>
                  </w:r>
                </w:p>
              </w:tc>
              <w:tc>
                <w:tcPr>
                  <w:tcW w:w="664" w:type="pct"/>
                  <w:tcBorders>
                    <w:tl2br w:val="nil"/>
                    <w:tr2bl w:val="nil"/>
                  </w:tcBorders>
                  <w:vAlign w:val="center"/>
                </w:tcPr>
                <w:p w14:paraId="492E36CC">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b w:val="0"/>
                      <w:bCs w:val="0"/>
                      <w:color w:val="000000"/>
                      <w:sz w:val="21"/>
                      <w:szCs w:val="21"/>
                      <w:vertAlign w:val="baseline"/>
                      <w:lang w:val="en-US" w:eastAsia="zh-CN" w:bidi="ar-SA"/>
                    </w:rPr>
                    <w:t>18</w:t>
                  </w:r>
                  <w:r>
                    <w:rPr>
                      <w:rFonts w:hint="default" w:ascii="Times New Roman" w:hAnsi="Times New Roman" w:eastAsia="宋体" w:cs="Times New Roman"/>
                      <w:b w:val="0"/>
                      <w:bCs w:val="0"/>
                      <w:color w:val="000000"/>
                      <w:sz w:val="21"/>
                      <w:szCs w:val="21"/>
                      <w:vertAlign w:val="baseline"/>
                      <w:lang w:val="en-US" w:eastAsia="zh-CN" w:bidi="ar-SA"/>
                    </w:rPr>
                    <w:t>t/a</w:t>
                  </w:r>
                </w:p>
              </w:tc>
              <w:tc>
                <w:tcPr>
                  <w:tcW w:w="1368" w:type="pct"/>
                  <w:tcBorders>
                    <w:tl2br w:val="nil"/>
                    <w:tr2bl w:val="nil"/>
                  </w:tcBorders>
                  <w:vAlign w:val="center"/>
                </w:tcPr>
                <w:p w14:paraId="20B721E8">
                  <w:pPr>
                    <w:pStyle w:val="26"/>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000000"/>
                      <w:sz w:val="21"/>
                      <w:szCs w:val="21"/>
                      <w:vertAlign w:val="baseline"/>
                      <w:lang w:val="en-US" w:eastAsia="zh-CN" w:bidi="ar-SA"/>
                    </w:rPr>
                  </w:pPr>
                  <w:r>
                    <w:rPr>
                      <w:rFonts w:hint="eastAsia" w:ascii="Times New Roman" w:hAnsi="Times New Roman" w:eastAsia="宋体" w:cs="Times New Roman"/>
                      <w:color w:val="auto"/>
                      <w:spacing w:val="0"/>
                      <w:kern w:val="2"/>
                      <w:sz w:val="21"/>
                      <w:szCs w:val="21"/>
                      <w:lang w:val="en-US" w:eastAsia="zh-CN" w:bidi="ar-SA"/>
                    </w:rPr>
                    <w:t>环卫部门定期清运至轮台县</w:t>
                  </w:r>
                  <w:r>
                    <w:rPr>
                      <w:rFonts w:hint="default" w:ascii="Times New Roman" w:hAnsi="Times New Roman" w:eastAsia="宋体" w:cs="Times New Roman"/>
                      <w:color w:val="auto"/>
                      <w:spacing w:val="0"/>
                      <w:kern w:val="2"/>
                      <w:sz w:val="21"/>
                      <w:szCs w:val="21"/>
                      <w:lang w:val="en-US" w:eastAsia="zh-CN" w:bidi="ar-SA"/>
                    </w:rPr>
                    <w:t>生活垃圾填埋场处理</w:t>
                  </w:r>
                </w:p>
              </w:tc>
            </w:tr>
          </w:tbl>
          <w:p w14:paraId="5C63F7FD">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000000"/>
                <w:sz w:val="24"/>
                <w:szCs w:val="24"/>
                <w:lang w:val="en-US" w:eastAsia="zh-CN"/>
              </w:rPr>
            </w:pPr>
            <w:r>
              <w:rPr>
                <w:rFonts w:hint="eastAsia" w:cs="Times New Roman"/>
                <w:b/>
                <w:bCs/>
                <w:color w:val="000000"/>
                <w:sz w:val="24"/>
                <w:szCs w:val="24"/>
                <w:lang w:val="en-US" w:eastAsia="zh-CN"/>
              </w:rPr>
              <w:t>4.2 危险废物</w:t>
            </w:r>
          </w:p>
          <w:p w14:paraId="4136734F">
            <w:pPr>
              <w:widowControl w:val="0"/>
              <w:tabs>
                <w:tab w:val="left" w:pos="1845"/>
              </w:tabs>
              <w:autoSpaceDE w:val="0"/>
              <w:autoSpaceDN w:val="0"/>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本项目危险废物主要来自设备</w:t>
            </w:r>
            <w:r>
              <w:rPr>
                <w:rFonts w:hint="eastAsia" w:ascii="Times New Roman" w:hAnsi="Times New Roman" w:eastAsia="宋体" w:cs="Times New Roman"/>
                <w:sz w:val="24"/>
              </w:rPr>
              <w:t>维修</w:t>
            </w:r>
            <w:r>
              <w:rPr>
                <w:rFonts w:ascii="Times New Roman" w:hAnsi="Times New Roman" w:eastAsia="宋体" w:cs="Times New Roman"/>
                <w:sz w:val="24"/>
              </w:rPr>
              <w:t>保养更换的</w:t>
            </w:r>
            <w:r>
              <w:rPr>
                <w:rFonts w:hint="eastAsia" w:ascii="Times New Roman" w:hAnsi="Times New Roman" w:eastAsia="宋体" w:cs="Times New Roman"/>
                <w:sz w:val="24"/>
                <w:lang w:eastAsia="zh-CN"/>
              </w:rPr>
              <w:t>废机油、废油</w:t>
            </w:r>
            <w:r>
              <w:rPr>
                <w:rFonts w:hint="eastAsia" w:ascii="Times New Roman" w:hAnsi="Times New Roman" w:eastAsia="宋体" w:cs="Times New Roman"/>
                <w:sz w:val="24"/>
              </w:rPr>
              <w:t>桶</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废机油</w:t>
            </w:r>
            <w:r>
              <w:rPr>
                <w:rFonts w:ascii="Times New Roman" w:hAnsi="Times New Roman" w:eastAsia="宋体" w:cs="Times New Roman"/>
                <w:sz w:val="24"/>
              </w:rPr>
              <w:t>产生量为0.</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废机油桶产生量</w:t>
            </w:r>
            <w:r>
              <w:rPr>
                <w:rFonts w:hint="eastAsia" w:ascii="Times New Roman" w:hAnsi="Times New Roman" w:eastAsia="宋体" w:cs="Times New Roman"/>
                <w:sz w:val="24"/>
              </w:rPr>
              <w:t>0.</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t/a。</w:t>
            </w:r>
            <w:r>
              <w:rPr>
                <w:rFonts w:hint="eastAsia" w:ascii="Times New Roman" w:hAnsi="Times New Roman" w:eastAsia="宋体" w:cs="Times New Roman"/>
                <w:sz w:val="24"/>
                <w:lang w:val="en-US" w:eastAsia="zh-CN"/>
              </w:rPr>
              <w:t>危废贮存库产生的废防渗膜，产生量约0.03</w:t>
            </w:r>
            <w:r>
              <w:rPr>
                <w:rFonts w:ascii="Times New Roman" w:hAnsi="Times New Roman" w:eastAsia="宋体" w:cs="Times New Roman"/>
                <w:sz w:val="24"/>
              </w:rPr>
              <w:t>t/a</w:t>
            </w:r>
            <w:r>
              <w:rPr>
                <w:rFonts w:hint="eastAsia" w:ascii="Times New Roman" w:hAnsi="Times New Roman" w:eastAsia="宋体" w:cs="Times New Roman"/>
                <w:sz w:val="24"/>
                <w:lang w:eastAsia="zh-CN"/>
              </w:rPr>
              <w:t>，废机油、废油</w:t>
            </w:r>
            <w:r>
              <w:rPr>
                <w:rFonts w:hint="eastAsia" w:ascii="Times New Roman" w:hAnsi="Times New Roman" w:eastAsia="宋体" w:cs="Times New Roman"/>
                <w:sz w:val="24"/>
              </w:rPr>
              <w:t>桶</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废防渗膜</w:t>
            </w:r>
            <w:r>
              <w:rPr>
                <w:rFonts w:ascii="Times New Roman" w:hAnsi="Times New Roman" w:eastAsia="宋体" w:cs="Times New Roman"/>
                <w:sz w:val="24"/>
              </w:rPr>
              <w:t>暂存于</w:t>
            </w:r>
            <w:r>
              <w:rPr>
                <w:rFonts w:hint="eastAsia" w:ascii="Times New Roman" w:hAnsi="Times New Roman" w:eastAsia="宋体" w:cs="Times New Roman"/>
                <w:sz w:val="24"/>
                <w:lang w:val="en-US" w:eastAsia="zh-CN"/>
              </w:rPr>
              <w:t>危废贮存库</w:t>
            </w:r>
            <w:r>
              <w:rPr>
                <w:rFonts w:hint="eastAsia" w:ascii="Times New Roman" w:hAnsi="Times New Roman" w:eastAsia="宋体" w:cs="Times New Roman"/>
                <w:sz w:val="24"/>
                <w:highlight w:val="none"/>
                <w:lang w:val="en-US" w:eastAsia="zh-CN"/>
              </w:rPr>
              <w:t>内（10m</w:t>
            </w:r>
            <w:r>
              <w:rPr>
                <w:rFonts w:hint="eastAsia" w:ascii="Times New Roman" w:hAnsi="Times New Roman" w:eastAsia="宋体" w:cs="Times New Roman"/>
                <w:sz w:val="24"/>
                <w:highlight w:val="none"/>
                <w:vertAlign w:val="superscript"/>
                <w:lang w:val="en-US" w:eastAsia="zh-CN"/>
              </w:rPr>
              <w:t>2</w:t>
            </w:r>
            <w:r>
              <w:rPr>
                <w:rFonts w:hint="eastAsia" w:ascii="Times New Roman" w:hAnsi="Times New Roman" w:eastAsia="宋体" w:cs="Times New Roman"/>
                <w:sz w:val="24"/>
                <w:highlight w:val="none"/>
                <w:lang w:val="en-US" w:eastAsia="zh-CN"/>
              </w:rPr>
              <w:t>）</w:t>
            </w:r>
            <w:r>
              <w:rPr>
                <w:rFonts w:ascii="Times New Roman" w:hAnsi="Times New Roman" w:eastAsia="宋体" w:cs="Times New Roman"/>
                <w:sz w:val="24"/>
                <w:highlight w:val="none"/>
              </w:rPr>
              <w:t>，按</w:t>
            </w:r>
            <w:r>
              <w:rPr>
                <w:rFonts w:ascii="Times New Roman" w:hAnsi="Times New Roman" w:eastAsia="宋体" w:cs="Times New Roman"/>
                <w:sz w:val="24"/>
              </w:rPr>
              <w:t>照《危险废物收集、贮存、运输技术规范》（HJ2025-2012），定期交由具有危险废物处置资质的单位转运及处置。</w:t>
            </w:r>
          </w:p>
          <w:p w14:paraId="023C7551">
            <w:pPr>
              <w:widowControl w:val="0"/>
              <w:tabs>
                <w:tab w:val="left" w:pos="1845"/>
              </w:tabs>
              <w:autoSpaceDE w:val="0"/>
              <w:autoSpaceDN w:val="0"/>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b w:val="0"/>
                <w:snapToGrid w:val="0"/>
                <w:color w:val="auto"/>
                <w:kern w:val="0"/>
                <w:sz w:val="24"/>
                <w:szCs w:val="24"/>
                <w:lang w:val="en-US" w:eastAsia="zh-CN" w:bidi="ar-SA"/>
              </w:rPr>
              <w:t>根据《关于发布</w:t>
            </w:r>
            <w:r>
              <w:rPr>
                <w:rFonts w:hint="eastAsia" w:ascii="Times New Roman" w:hAnsi="Times New Roman" w:eastAsia="宋体" w:cs="Times New Roman"/>
                <w:b w:val="0"/>
                <w:snapToGrid w:val="0"/>
                <w:color w:val="auto"/>
                <w:kern w:val="0"/>
                <w:sz w:val="24"/>
                <w:szCs w:val="24"/>
                <w:lang w:val="en-US" w:eastAsia="zh-CN" w:bidi="ar-SA"/>
              </w:rPr>
              <w:t>〈</w:t>
            </w:r>
            <w:r>
              <w:rPr>
                <w:rFonts w:ascii="Times New Roman" w:hAnsi="Times New Roman" w:eastAsia="宋体" w:cs="Times New Roman"/>
                <w:b w:val="0"/>
                <w:snapToGrid w:val="0"/>
                <w:color w:val="auto"/>
                <w:kern w:val="0"/>
                <w:sz w:val="24"/>
                <w:szCs w:val="24"/>
                <w:lang w:val="en-US" w:eastAsia="zh-CN" w:bidi="ar-SA"/>
              </w:rPr>
              <w:t>固体废物分类与代码目录</w:t>
            </w:r>
            <w:r>
              <w:rPr>
                <w:rFonts w:hint="eastAsia" w:ascii="Times New Roman" w:hAnsi="Times New Roman" w:eastAsia="宋体" w:cs="Times New Roman"/>
                <w:b w:val="0"/>
                <w:snapToGrid w:val="0"/>
                <w:color w:val="auto"/>
                <w:kern w:val="0"/>
                <w:sz w:val="24"/>
                <w:szCs w:val="24"/>
                <w:lang w:val="en-US" w:eastAsia="zh-CN" w:bidi="ar-SA"/>
              </w:rPr>
              <w:t>〉</w:t>
            </w:r>
            <w:r>
              <w:rPr>
                <w:rFonts w:ascii="Times New Roman" w:hAnsi="Times New Roman" w:eastAsia="宋体" w:cs="Times New Roman"/>
                <w:b w:val="0"/>
                <w:snapToGrid w:val="0"/>
                <w:color w:val="auto"/>
                <w:kern w:val="0"/>
                <w:sz w:val="24"/>
                <w:szCs w:val="24"/>
                <w:lang w:val="en-US" w:eastAsia="zh-CN" w:bidi="ar-SA"/>
              </w:rPr>
              <w:t>的公告》（生态环境部公告2024年第4号</w:t>
            </w:r>
            <w:r>
              <w:rPr>
                <w:rFonts w:hint="eastAsia" w:ascii="Times New Roman" w:hAnsi="Times New Roman" w:eastAsia="宋体" w:cs="Times New Roman"/>
                <w:b w:val="0"/>
                <w:snapToGrid w:val="0"/>
                <w:color w:val="auto"/>
                <w:kern w:val="0"/>
                <w:sz w:val="24"/>
                <w:szCs w:val="24"/>
                <w:lang w:val="en-US" w:eastAsia="zh-CN" w:bidi="ar-SA"/>
              </w:rPr>
              <w:t>）</w:t>
            </w:r>
            <w:r>
              <w:rPr>
                <w:rFonts w:ascii="Times New Roman" w:hAnsi="Times New Roman" w:eastAsia="宋体" w:cs="Times New Roman"/>
                <w:b w:val="0"/>
                <w:snapToGrid w:val="0"/>
                <w:color w:val="auto"/>
                <w:kern w:val="0"/>
                <w:sz w:val="24"/>
                <w:szCs w:val="24"/>
                <w:lang w:val="en-US" w:eastAsia="zh-CN" w:bidi="ar-SA"/>
              </w:rPr>
              <w:t>及《国家危险废物名录》（20</w:t>
            </w:r>
            <w:r>
              <w:rPr>
                <w:rFonts w:hint="eastAsia" w:ascii="Times New Roman" w:hAnsi="Times New Roman" w:eastAsia="宋体" w:cs="Times New Roman"/>
                <w:b w:val="0"/>
                <w:snapToGrid w:val="0"/>
                <w:color w:val="auto"/>
                <w:kern w:val="0"/>
                <w:sz w:val="24"/>
                <w:szCs w:val="24"/>
                <w:lang w:val="en-US" w:eastAsia="zh-CN" w:bidi="ar-SA"/>
              </w:rPr>
              <w:t>25</w:t>
            </w:r>
            <w:r>
              <w:rPr>
                <w:rFonts w:ascii="Times New Roman" w:hAnsi="Times New Roman" w:eastAsia="宋体" w:cs="Times New Roman"/>
                <w:b w:val="0"/>
                <w:snapToGrid w:val="0"/>
                <w:color w:val="auto"/>
                <w:kern w:val="0"/>
                <w:sz w:val="24"/>
                <w:szCs w:val="24"/>
                <w:lang w:val="en-US" w:eastAsia="zh-CN" w:bidi="ar-SA"/>
              </w:rPr>
              <w:t>版</w:t>
            </w:r>
            <w:r>
              <w:rPr>
                <w:rFonts w:hint="eastAsia" w:ascii="Times New Roman" w:hAnsi="Times New Roman" w:eastAsia="宋体" w:cs="Times New Roman"/>
                <w:b w:val="0"/>
                <w:snapToGrid w:val="0"/>
                <w:color w:val="auto"/>
                <w:kern w:val="0"/>
                <w:sz w:val="24"/>
                <w:szCs w:val="24"/>
                <w:lang w:val="en-US" w:eastAsia="zh-CN" w:bidi="ar-SA"/>
              </w:rPr>
              <w:t>）</w:t>
            </w:r>
            <w:r>
              <w:rPr>
                <w:rFonts w:ascii="Times New Roman" w:hAnsi="Times New Roman" w:eastAsia="宋体" w:cs="Times New Roman"/>
                <w:b w:val="0"/>
                <w:snapToGrid w:val="0"/>
                <w:color w:val="auto"/>
                <w:kern w:val="0"/>
                <w:sz w:val="24"/>
                <w:szCs w:val="24"/>
                <w:lang w:val="en-US" w:eastAsia="zh-CN" w:bidi="ar-SA"/>
              </w:rPr>
              <w:t>，</w:t>
            </w:r>
            <w:r>
              <w:rPr>
                <w:rFonts w:hint="eastAsia" w:ascii="Times New Roman" w:hAnsi="Times New Roman" w:eastAsia="宋体" w:cs="Times New Roman"/>
                <w:b w:val="0"/>
                <w:snapToGrid w:val="0"/>
                <w:color w:val="auto"/>
                <w:kern w:val="0"/>
                <w:sz w:val="24"/>
                <w:szCs w:val="24"/>
                <w:lang w:val="en-US" w:eastAsia="zh-CN" w:bidi="ar-SA"/>
              </w:rPr>
              <w:t>本项目</w:t>
            </w:r>
            <w:r>
              <w:rPr>
                <w:rFonts w:ascii="Times New Roman" w:hAnsi="Times New Roman" w:eastAsia="宋体" w:cs="Times New Roman"/>
                <w:b w:val="0"/>
                <w:snapToGrid w:val="0"/>
                <w:color w:val="auto"/>
                <w:kern w:val="0"/>
                <w:sz w:val="24"/>
                <w:szCs w:val="24"/>
                <w:lang w:val="en-US" w:eastAsia="zh-CN" w:bidi="ar-SA"/>
              </w:rPr>
              <w:t>固体废物类别、代码及相关管理要求见下表</w:t>
            </w:r>
            <w:r>
              <w:rPr>
                <w:rFonts w:hint="eastAsia" w:ascii="Times New Roman" w:hAnsi="Times New Roman" w:eastAsia="宋体" w:cs="Times New Roman"/>
                <w:b w:val="0"/>
                <w:snapToGrid w:val="0"/>
                <w:color w:val="auto"/>
                <w:kern w:val="0"/>
                <w:sz w:val="24"/>
                <w:szCs w:val="24"/>
                <w:lang w:val="en-US" w:eastAsia="zh-CN" w:bidi="ar-SA"/>
              </w:rPr>
              <w:t>4-22</w:t>
            </w:r>
            <w:r>
              <w:rPr>
                <w:rFonts w:ascii="Times New Roman" w:hAnsi="Times New Roman" w:eastAsia="宋体" w:cs="Times New Roman"/>
                <w:b w:val="0"/>
                <w:snapToGrid w:val="0"/>
                <w:color w:val="auto"/>
                <w:kern w:val="0"/>
                <w:sz w:val="24"/>
                <w:szCs w:val="24"/>
                <w:lang w:val="en-US" w:eastAsia="zh-CN" w:bidi="ar-SA"/>
              </w:rPr>
              <w:t>。</w:t>
            </w:r>
          </w:p>
          <w:p w14:paraId="4499B1FC">
            <w:pPr>
              <w:keepNext w:val="0"/>
              <w:keepLines w:val="0"/>
              <w:pageBreakBefore w:val="0"/>
              <w:widowControl w:val="0"/>
              <w:tabs>
                <w:tab w:val="left" w:pos="1845"/>
              </w:tabs>
              <w:kinsoku/>
              <w:wordWrap/>
              <w:overflowPunct/>
              <w:topLinePunct w:val="0"/>
              <w:autoSpaceDE w:val="0"/>
              <w:autoSpaceDN w:val="0"/>
              <w:bidi w:val="0"/>
              <w:adjustRightInd w:val="0"/>
              <w:snapToGrid/>
              <w:spacing w:line="240" w:lineRule="auto"/>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表4-22    危险废物汇总表</w:t>
            </w:r>
          </w:p>
          <w:tbl>
            <w:tblPr>
              <w:tblStyle w:val="21"/>
              <w:tblW w:w="868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3"/>
              <w:gridCol w:w="723"/>
              <w:gridCol w:w="1109"/>
              <w:gridCol w:w="1003"/>
              <w:gridCol w:w="602"/>
              <w:gridCol w:w="772"/>
              <w:gridCol w:w="518"/>
              <w:gridCol w:w="456"/>
              <w:gridCol w:w="826"/>
              <w:gridCol w:w="475"/>
              <w:gridCol w:w="456"/>
              <w:gridCol w:w="1389"/>
            </w:tblGrid>
            <w:tr w14:paraId="01143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tcBorders>
                    <w:tl2br w:val="nil"/>
                    <w:tr2bl w:val="nil"/>
                  </w:tcBorders>
                  <w:noWrap w:val="0"/>
                  <w:vAlign w:val="center"/>
                </w:tcPr>
                <w:p w14:paraId="0CBE2A7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序号</w:t>
                  </w:r>
                </w:p>
              </w:tc>
              <w:tc>
                <w:tcPr>
                  <w:tcW w:w="416" w:type="pct"/>
                  <w:tcBorders>
                    <w:tl2br w:val="nil"/>
                    <w:tr2bl w:val="nil"/>
                  </w:tcBorders>
                  <w:noWrap w:val="0"/>
                  <w:vAlign w:val="center"/>
                </w:tcPr>
                <w:p w14:paraId="43468FBC">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危险废物名称</w:t>
                  </w:r>
                </w:p>
              </w:tc>
              <w:tc>
                <w:tcPr>
                  <w:tcW w:w="638" w:type="pct"/>
                  <w:tcBorders>
                    <w:tl2br w:val="nil"/>
                    <w:tr2bl w:val="nil"/>
                  </w:tcBorders>
                  <w:noWrap w:val="0"/>
                  <w:vAlign w:val="center"/>
                </w:tcPr>
                <w:p w14:paraId="0A7DB29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危险废物类别</w:t>
                  </w:r>
                </w:p>
              </w:tc>
              <w:tc>
                <w:tcPr>
                  <w:tcW w:w="577" w:type="pct"/>
                  <w:tcBorders>
                    <w:tl2br w:val="nil"/>
                    <w:tr2bl w:val="nil"/>
                  </w:tcBorders>
                  <w:noWrap w:val="0"/>
                  <w:vAlign w:val="center"/>
                </w:tcPr>
                <w:p w14:paraId="05587552">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危险废物代码</w:t>
                  </w:r>
                </w:p>
              </w:tc>
              <w:tc>
                <w:tcPr>
                  <w:tcW w:w="346" w:type="pct"/>
                  <w:tcBorders>
                    <w:tl2br w:val="nil"/>
                    <w:tr2bl w:val="nil"/>
                  </w:tcBorders>
                  <w:noWrap w:val="0"/>
                  <w:vAlign w:val="center"/>
                </w:tcPr>
                <w:p w14:paraId="664C7157">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产生量（吨/年）</w:t>
                  </w:r>
                </w:p>
              </w:tc>
              <w:tc>
                <w:tcPr>
                  <w:tcW w:w="444" w:type="pct"/>
                  <w:tcBorders>
                    <w:tl2br w:val="nil"/>
                    <w:tr2bl w:val="nil"/>
                  </w:tcBorders>
                  <w:noWrap w:val="0"/>
                  <w:vAlign w:val="center"/>
                </w:tcPr>
                <w:p w14:paraId="15F0F9D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产生工序及装置</w:t>
                  </w:r>
                </w:p>
              </w:tc>
              <w:tc>
                <w:tcPr>
                  <w:tcW w:w="298" w:type="pct"/>
                  <w:tcBorders>
                    <w:tl2br w:val="nil"/>
                    <w:tr2bl w:val="nil"/>
                  </w:tcBorders>
                  <w:noWrap w:val="0"/>
                  <w:vAlign w:val="center"/>
                </w:tcPr>
                <w:p w14:paraId="09DB937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形态</w:t>
                  </w:r>
                </w:p>
              </w:tc>
              <w:tc>
                <w:tcPr>
                  <w:tcW w:w="262" w:type="pct"/>
                  <w:tcBorders>
                    <w:tl2br w:val="nil"/>
                    <w:tr2bl w:val="nil"/>
                  </w:tcBorders>
                  <w:noWrap w:val="0"/>
                  <w:vAlign w:val="center"/>
                </w:tcPr>
                <w:p w14:paraId="7DAA1171">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主要成分</w:t>
                  </w:r>
                </w:p>
              </w:tc>
              <w:tc>
                <w:tcPr>
                  <w:tcW w:w="475" w:type="pct"/>
                  <w:tcBorders>
                    <w:tl2br w:val="nil"/>
                    <w:tr2bl w:val="nil"/>
                  </w:tcBorders>
                  <w:noWrap w:val="0"/>
                  <w:vAlign w:val="center"/>
                </w:tcPr>
                <w:p w14:paraId="539C55F5">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有害成分</w:t>
                  </w:r>
                </w:p>
              </w:tc>
              <w:tc>
                <w:tcPr>
                  <w:tcW w:w="273" w:type="pct"/>
                  <w:tcBorders>
                    <w:tl2br w:val="nil"/>
                    <w:tr2bl w:val="nil"/>
                  </w:tcBorders>
                  <w:noWrap w:val="0"/>
                  <w:vAlign w:val="center"/>
                </w:tcPr>
                <w:p w14:paraId="6F62B4E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产废周期</w:t>
                  </w:r>
                </w:p>
              </w:tc>
              <w:tc>
                <w:tcPr>
                  <w:tcW w:w="262" w:type="pct"/>
                  <w:tcBorders>
                    <w:tl2br w:val="nil"/>
                    <w:tr2bl w:val="nil"/>
                  </w:tcBorders>
                  <w:noWrap w:val="0"/>
                  <w:vAlign w:val="center"/>
                </w:tcPr>
                <w:p w14:paraId="533FFB1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w:t>
                  </w:r>
                </w:p>
                <w:p w14:paraId="78F88875">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特性</w:t>
                  </w:r>
                </w:p>
              </w:tc>
              <w:tc>
                <w:tcPr>
                  <w:tcW w:w="799" w:type="pct"/>
                  <w:tcBorders>
                    <w:tl2br w:val="nil"/>
                    <w:tr2bl w:val="nil"/>
                  </w:tcBorders>
                  <w:noWrap w:val="0"/>
                  <w:vAlign w:val="center"/>
                </w:tcPr>
                <w:p w14:paraId="4EAF5694">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污染防治措施</w:t>
                  </w:r>
                </w:p>
              </w:tc>
            </w:tr>
            <w:tr w14:paraId="257D3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8" w:hRule="atLeast"/>
                <w:jc w:val="center"/>
              </w:trPr>
              <w:tc>
                <w:tcPr>
                  <w:tcW w:w="203" w:type="pct"/>
                  <w:tcBorders>
                    <w:tl2br w:val="nil"/>
                    <w:tr2bl w:val="nil"/>
                  </w:tcBorders>
                  <w:noWrap w:val="0"/>
                  <w:vAlign w:val="center"/>
                </w:tcPr>
                <w:p w14:paraId="031FEC4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ascii="Times New Roman" w:hAnsi="Times New Roman" w:eastAsia="宋体" w:cs="Times New Roman"/>
                      <w:b w:val="0"/>
                      <w:bCs w:val="0"/>
                      <w:color w:val="000000"/>
                      <w:kern w:val="2"/>
                      <w:sz w:val="21"/>
                      <w:szCs w:val="21"/>
                      <w:lang w:val="en-US" w:eastAsia="zh-CN" w:bidi="ar-SA"/>
                    </w:rPr>
                    <w:t>1</w:t>
                  </w:r>
                </w:p>
              </w:tc>
              <w:tc>
                <w:tcPr>
                  <w:tcW w:w="416" w:type="pct"/>
                  <w:tcBorders>
                    <w:tl2br w:val="nil"/>
                    <w:tr2bl w:val="nil"/>
                  </w:tcBorders>
                  <w:noWrap w:val="0"/>
                  <w:vAlign w:val="center"/>
                </w:tcPr>
                <w:p w14:paraId="6E42B10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废机油</w:t>
                  </w:r>
                </w:p>
              </w:tc>
              <w:tc>
                <w:tcPr>
                  <w:tcW w:w="638" w:type="pct"/>
                  <w:tcBorders>
                    <w:tl2br w:val="nil"/>
                    <w:tr2bl w:val="nil"/>
                  </w:tcBorders>
                  <w:noWrap w:val="0"/>
                  <w:vAlign w:val="center"/>
                </w:tcPr>
                <w:p w14:paraId="545CE49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HW08废矿物油与含矿物油废物</w:t>
                  </w:r>
                </w:p>
              </w:tc>
              <w:tc>
                <w:tcPr>
                  <w:tcW w:w="577" w:type="pct"/>
                  <w:tcBorders>
                    <w:tl2br w:val="nil"/>
                    <w:tr2bl w:val="nil"/>
                  </w:tcBorders>
                  <w:noWrap w:val="0"/>
                  <w:vAlign w:val="center"/>
                </w:tcPr>
                <w:p w14:paraId="3C7A457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ascii="Times New Roman" w:hAnsi="Times New Roman" w:eastAsia="宋体" w:cs="Times New Roman"/>
                      <w:b w:val="0"/>
                      <w:color w:val="000000"/>
                      <w:kern w:val="2"/>
                      <w:sz w:val="21"/>
                      <w:szCs w:val="21"/>
                      <w:lang w:val="en-US" w:eastAsia="zh-CN" w:bidi="ar-SA"/>
                    </w:rPr>
                    <w:t>900-214-08</w:t>
                  </w:r>
                </w:p>
              </w:tc>
              <w:tc>
                <w:tcPr>
                  <w:tcW w:w="346" w:type="pct"/>
                  <w:tcBorders>
                    <w:tl2br w:val="nil"/>
                    <w:tr2bl w:val="nil"/>
                  </w:tcBorders>
                  <w:noWrap w:val="0"/>
                  <w:vAlign w:val="center"/>
                </w:tcPr>
                <w:p w14:paraId="5BBB52F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0.2</w:t>
                  </w:r>
                </w:p>
              </w:tc>
              <w:tc>
                <w:tcPr>
                  <w:tcW w:w="444" w:type="pct"/>
                  <w:tcBorders>
                    <w:tl2br w:val="nil"/>
                    <w:tr2bl w:val="nil"/>
                  </w:tcBorders>
                  <w:noWrap w:val="0"/>
                  <w:vAlign w:val="center"/>
                </w:tcPr>
                <w:p w14:paraId="0635222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设备维护</w:t>
                  </w:r>
                </w:p>
              </w:tc>
              <w:tc>
                <w:tcPr>
                  <w:tcW w:w="298" w:type="pct"/>
                  <w:tcBorders>
                    <w:tl2br w:val="nil"/>
                    <w:tr2bl w:val="nil"/>
                  </w:tcBorders>
                  <w:noWrap w:val="0"/>
                  <w:vAlign w:val="center"/>
                </w:tcPr>
                <w:p w14:paraId="70FF0F7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液态</w:t>
                  </w:r>
                </w:p>
              </w:tc>
              <w:tc>
                <w:tcPr>
                  <w:tcW w:w="262" w:type="pct"/>
                  <w:tcBorders>
                    <w:tl2br w:val="nil"/>
                    <w:tr2bl w:val="nil"/>
                  </w:tcBorders>
                  <w:noWrap w:val="0"/>
                  <w:vAlign w:val="center"/>
                </w:tcPr>
                <w:p w14:paraId="511BDFB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基础油</w:t>
                  </w:r>
                </w:p>
              </w:tc>
              <w:tc>
                <w:tcPr>
                  <w:tcW w:w="475" w:type="pct"/>
                  <w:tcBorders>
                    <w:tl2br w:val="nil"/>
                    <w:tr2bl w:val="nil"/>
                  </w:tcBorders>
                  <w:noWrap w:val="0"/>
                  <w:vAlign w:val="center"/>
                </w:tcPr>
                <w:p w14:paraId="70864876">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机械杂质、金属盐等</w:t>
                  </w:r>
                </w:p>
              </w:tc>
              <w:tc>
                <w:tcPr>
                  <w:tcW w:w="273" w:type="pct"/>
                  <w:tcBorders>
                    <w:tl2br w:val="nil"/>
                    <w:tr2bl w:val="nil"/>
                  </w:tcBorders>
                  <w:noWrap w:val="0"/>
                  <w:vAlign w:val="center"/>
                </w:tcPr>
                <w:p w14:paraId="50EB3F6C">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半年1次</w:t>
                  </w:r>
                </w:p>
              </w:tc>
              <w:tc>
                <w:tcPr>
                  <w:tcW w:w="262" w:type="pct"/>
                  <w:tcBorders>
                    <w:tl2br w:val="nil"/>
                    <w:tr2bl w:val="nil"/>
                  </w:tcBorders>
                  <w:noWrap w:val="0"/>
                  <w:vAlign w:val="center"/>
                </w:tcPr>
                <w:p w14:paraId="33F20611">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T，I</w:t>
                  </w:r>
                </w:p>
              </w:tc>
              <w:tc>
                <w:tcPr>
                  <w:tcW w:w="799" w:type="pct"/>
                  <w:tcBorders>
                    <w:tl2br w:val="nil"/>
                    <w:tr2bl w:val="nil"/>
                  </w:tcBorders>
                  <w:noWrap w:val="0"/>
                  <w:vAlign w:val="center"/>
                </w:tcPr>
                <w:p w14:paraId="3F466E86">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暂存于危险废物贮存间内，定期交由资质单位清运处置</w:t>
                  </w:r>
                </w:p>
              </w:tc>
            </w:tr>
            <w:tr w14:paraId="27A26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8" w:hRule="atLeast"/>
                <w:jc w:val="center"/>
              </w:trPr>
              <w:tc>
                <w:tcPr>
                  <w:tcW w:w="203" w:type="pct"/>
                  <w:tcBorders>
                    <w:tl2br w:val="nil"/>
                    <w:tr2bl w:val="nil"/>
                  </w:tcBorders>
                  <w:noWrap w:val="0"/>
                  <w:vAlign w:val="center"/>
                </w:tcPr>
                <w:p w14:paraId="1741386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ascii="Times New Roman" w:hAnsi="Times New Roman" w:eastAsia="宋体" w:cs="Times New Roman"/>
                      <w:b w:val="0"/>
                      <w:bCs w:val="0"/>
                      <w:color w:val="000000"/>
                      <w:kern w:val="2"/>
                      <w:sz w:val="21"/>
                      <w:szCs w:val="21"/>
                      <w:lang w:val="en-US" w:eastAsia="zh-CN" w:bidi="ar-SA"/>
                    </w:rPr>
                    <w:t>2</w:t>
                  </w:r>
                </w:p>
              </w:tc>
              <w:tc>
                <w:tcPr>
                  <w:tcW w:w="416" w:type="pct"/>
                  <w:tcBorders>
                    <w:tl2br w:val="nil"/>
                    <w:tr2bl w:val="nil"/>
                  </w:tcBorders>
                  <w:noWrap w:val="0"/>
                  <w:vAlign w:val="center"/>
                </w:tcPr>
                <w:p w14:paraId="139B6B5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废机油桶</w:t>
                  </w:r>
                </w:p>
              </w:tc>
              <w:tc>
                <w:tcPr>
                  <w:tcW w:w="638" w:type="pct"/>
                  <w:tcBorders>
                    <w:tl2br w:val="nil"/>
                    <w:tr2bl w:val="nil"/>
                  </w:tcBorders>
                  <w:noWrap w:val="0"/>
                  <w:vAlign w:val="center"/>
                </w:tcPr>
                <w:p w14:paraId="713477A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HW08废矿物油与含矿物油废物</w:t>
                  </w:r>
                </w:p>
              </w:tc>
              <w:tc>
                <w:tcPr>
                  <w:tcW w:w="577" w:type="pct"/>
                  <w:tcBorders>
                    <w:tl2br w:val="nil"/>
                    <w:tr2bl w:val="nil"/>
                  </w:tcBorders>
                  <w:noWrap w:val="0"/>
                  <w:vAlign w:val="center"/>
                </w:tcPr>
                <w:p w14:paraId="7A0C7A07">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900-249-08</w:t>
                  </w:r>
                </w:p>
              </w:tc>
              <w:tc>
                <w:tcPr>
                  <w:tcW w:w="346" w:type="pct"/>
                  <w:tcBorders>
                    <w:tl2br w:val="nil"/>
                    <w:tr2bl w:val="nil"/>
                  </w:tcBorders>
                  <w:noWrap w:val="0"/>
                  <w:vAlign w:val="center"/>
                </w:tcPr>
                <w:p w14:paraId="765F35C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0.3</w:t>
                  </w:r>
                </w:p>
              </w:tc>
              <w:tc>
                <w:tcPr>
                  <w:tcW w:w="444" w:type="pct"/>
                  <w:tcBorders>
                    <w:tl2br w:val="nil"/>
                    <w:tr2bl w:val="nil"/>
                  </w:tcBorders>
                  <w:noWrap w:val="0"/>
                  <w:vAlign w:val="center"/>
                </w:tcPr>
                <w:p w14:paraId="0CDC6E5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设备维护</w:t>
                  </w:r>
                </w:p>
              </w:tc>
              <w:tc>
                <w:tcPr>
                  <w:tcW w:w="298" w:type="pct"/>
                  <w:tcBorders>
                    <w:tl2br w:val="nil"/>
                    <w:tr2bl w:val="nil"/>
                  </w:tcBorders>
                  <w:noWrap w:val="0"/>
                  <w:vAlign w:val="center"/>
                </w:tcPr>
                <w:p w14:paraId="2345F91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液态</w:t>
                  </w:r>
                </w:p>
              </w:tc>
              <w:tc>
                <w:tcPr>
                  <w:tcW w:w="262" w:type="pct"/>
                  <w:tcBorders>
                    <w:tl2br w:val="nil"/>
                    <w:tr2bl w:val="nil"/>
                  </w:tcBorders>
                  <w:noWrap w:val="0"/>
                  <w:vAlign w:val="center"/>
                </w:tcPr>
                <w:p w14:paraId="6F3F9651">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沾染的基础油</w:t>
                  </w:r>
                </w:p>
              </w:tc>
              <w:tc>
                <w:tcPr>
                  <w:tcW w:w="475" w:type="pct"/>
                  <w:tcBorders>
                    <w:tl2br w:val="nil"/>
                    <w:tr2bl w:val="nil"/>
                  </w:tcBorders>
                  <w:noWrap w:val="0"/>
                  <w:vAlign w:val="center"/>
                </w:tcPr>
                <w:p w14:paraId="27C5FF6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机械杂质、金属盐等</w:t>
                  </w:r>
                </w:p>
              </w:tc>
              <w:tc>
                <w:tcPr>
                  <w:tcW w:w="273" w:type="pct"/>
                  <w:tcBorders>
                    <w:tl2br w:val="nil"/>
                    <w:tr2bl w:val="nil"/>
                  </w:tcBorders>
                  <w:noWrap w:val="0"/>
                  <w:vAlign w:val="center"/>
                </w:tcPr>
                <w:p w14:paraId="603199A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半年1次</w:t>
                  </w:r>
                </w:p>
              </w:tc>
              <w:tc>
                <w:tcPr>
                  <w:tcW w:w="262" w:type="pct"/>
                  <w:tcBorders>
                    <w:tl2br w:val="nil"/>
                    <w:tr2bl w:val="nil"/>
                  </w:tcBorders>
                  <w:noWrap w:val="0"/>
                  <w:vAlign w:val="center"/>
                </w:tcPr>
                <w:p w14:paraId="0FBCE0F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T，I</w:t>
                  </w:r>
                </w:p>
              </w:tc>
              <w:tc>
                <w:tcPr>
                  <w:tcW w:w="799" w:type="pct"/>
                  <w:tcBorders>
                    <w:tl2br w:val="nil"/>
                    <w:tr2bl w:val="nil"/>
                  </w:tcBorders>
                  <w:noWrap w:val="0"/>
                  <w:vAlign w:val="center"/>
                </w:tcPr>
                <w:p w14:paraId="3BD128A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暂存于危险废物贮存间内，定期交由资质单位清运处置</w:t>
                  </w:r>
                </w:p>
              </w:tc>
            </w:tr>
            <w:tr w14:paraId="18E22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203" w:type="pct"/>
                  <w:tcBorders>
                    <w:tl2br w:val="nil"/>
                    <w:tr2bl w:val="nil"/>
                  </w:tcBorders>
                  <w:noWrap w:val="0"/>
                  <w:vAlign w:val="center"/>
                </w:tcPr>
                <w:p w14:paraId="1028F42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3</w:t>
                  </w:r>
                </w:p>
              </w:tc>
              <w:tc>
                <w:tcPr>
                  <w:tcW w:w="416" w:type="pct"/>
                  <w:tcBorders>
                    <w:tl2br w:val="nil"/>
                    <w:tr2bl w:val="nil"/>
                  </w:tcBorders>
                  <w:noWrap w:val="0"/>
                  <w:vAlign w:val="center"/>
                </w:tcPr>
                <w:p w14:paraId="2182CD2C">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废防渗膜</w:t>
                  </w:r>
                </w:p>
              </w:tc>
              <w:tc>
                <w:tcPr>
                  <w:tcW w:w="638" w:type="pct"/>
                  <w:tcBorders>
                    <w:tl2br w:val="nil"/>
                    <w:tr2bl w:val="nil"/>
                  </w:tcBorders>
                  <w:noWrap w:val="0"/>
                  <w:vAlign w:val="center"/>
                </w:tcPr>
                <w:p w14:paraId="7F1F889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HW08废矿物油与含矿物油废物</w:t>
                  </w:r>
                </w:p>
              </w:tc>
              <w:tc>
                <w:tcPr>
                  <w:tcW w:w="577" w:type="pct"/>
                  <w:tcBorders>
                    <w:tl2br w:val="nil"/>
                    <w:tr2bl w:val="nil"/>
                  </w:tcBorders>
                  <w:noWrap w:val="0"/>
                  <w:vAlign w:val="center"/>
                </w:tcPr>
                <w:p w14:paraId="660158E6">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900-249-08</w:t>
                  </w:r>
                </w:p>
              </w:tc>
              <w:tc>
                <w:tcPr>
                  <w:tcW w:w="346" w:type="pct"/>
                  <w:tcBorders>
                    <w:tl2br w:val="nil"/>
                    <w:tr2bl w:val="nil"/>
                  </w:tcBorders>
                  <w:noWrap w:val="0"/>
                  <w:vAlign w:val="center"/>
                </w:tcPr>
                <w:p w14:paraId="15888FF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0.03</w:t>
                  </w:r>
                </w:p>
              </w:tc>
              <w:tc>
                <w:tcPr>
                  <w:tcW w:w="444" w:type="pct"/>
                  <w:tcBorders>
                    <w:tl2br w:val="nil"/>
                    <w:tr2bl w:val="nil"/>
                  </w:tcBorders>
                  <w:noWrap w:val="0"/>
                  <w:vAlign w:val="center"/>
                </w:tcPr>
                <w:p w14:paraId="1D526A0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防渗膜破裂更换</w:t>
                  </w:r>
                </w:p>
              </w:tc>
              <w:tc>
                <w:tcPr>
                  <w:tcW w:w="298" w:type="pct"/>
                  <w:tcBorders>
                    <w:tl2br w:val="nil"/>
                    <w:tr2bl w:val="nil"/>
                  </w:tcBorders>
                  <w:noWrap w:val="0"/>
                  <w:vAlign w:val="center"/>
                </w:tcPr>
                <w:p w14:paraId="631EF03D">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固体</w:t>
                  </w:r>
                </w:p>
              </w:tc>
              <w:tc>
                <w:tcPr>
                  <w:tcW w:w="262" w:type="pct"/>
                  <w:tcBorders>
                    <w:tl2br w:val="nil"/>
                    <w:tr2bl w:val="nil"/>
                  </w:tcBorders>
                  <w:noWrap w:val="0"/>
                  <w:vAlign w:val="center"/>
                </w:tcPr>
                <w:p w14:paraId="1EC5A2E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沾染的基础油</w:t>
                  </w:r>
                </w:p>
              </w:tc>
              <w:tc>
                <w:tcPr>
                  <w:tcW w:w="475" w:type="pct"/>
                  <w:tcBorders>
                    <w:tl2br w:val="nil"/>
                    <w:tr2bl w:val="nil"/>
                  </w:tcBorders>
                  <w:noWrap w:val="0"/>
                  <w:vAlign w:val="center"/>
                </w:tcPr>
                <w:p w14:paraId="19FA60E2">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机械杂质、金属盐等</w:t>
                  </w:r>
                </w:p>
              </w:tc>
              <w:tc>
                <w:tcPr>
                  <w:tcW w:w="273" w:type="pct"/>
                  <w:tcBorders>
                    <w:tl2br w:val="nil"/>
                    <w:tr2bl w:val="nil"/>
                  </w:tcBorders>
                  <w:noWrap w:val="0"/>
                  <w:vAlign w:val="center"/>
                </w:tcPr>
                <w:p w14:paraId="6CE50914">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破裂时更换</w:t>
                  </w:r>
                </w:p>
              </w:tc>
              <w:tc>
                <w:tcPr>
                  <w:tcW w:w="262" w:type="pct"/>
                  <w:tcBorders>
                    <w:tl2br w:val="nil"/>
                    <w:tr2bl w:val="nil"/>
                  </w:tcBorders>
                  <w:noWrap w:val="0"/>
                  <w:vAlign w:val="center"/>
                </w:tcPr>
                <w:p w14:paraId="0EDBB2A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T，I</w:t>
                  </w:r>
                </w:p>
              </w:tc>
              <w:tc>
                <w:tcPr>
                  <w:tcW w:w="799" w:type="pct"/>
                  <w:tcBorders>
                    <w:tl2br w:val="nil"/>
                    <w:tr2bl w:val="nil"/>
                  </w:tcBorders>
                  <w:noWrap w:val="0"/>
                  <w:vAlign w:val="center"/>
                </w:tcPr>
                <w:p w14:paraId="0AD22194">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暂存于危险废物贮存间内，待产生后交由资质单位清运处置</w:t>
                  </w:r>
                </w:p>
              </w:tc>
            </w:tr>
          </w:tbl>
          <w:p w14:paraId="7F6490CD">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表4-23   危废物贮存间基本情况表</w:t>
            </w:r>
          </w:p>
          <w:tbl>
            <w:tblPr>
              <w:tblStyle w:val="21"/>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0"/>
              <w:gridCol w:w="968"/>
              <w:gridCol w:w="1129"/>
              <w:gridCol w:w="1532"/>
              <w:gridCol w:w="930"/>
              <w:gridCol w:w="1080"/>
              <w:gridCol w:w="579"/>
              <w:gridCol w:w="839"/>
              <w:gridCol w:w="1001"/>
            </w:tblGrid>
            <w:tr w14:paraId="5FB39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19" w:type="pct"/>
                  <w:tcBorders>
                    <w:tl2br w:val="nil"/>
                    <w:tr2bl w:val="nil"/>
                  </w:tcBorders>
                  <w:noWrap w:val="0"/>
                  <w:vAlign w:val="center"/>
                </w:tcPr>
                <w:p w14:paraId="084378FC">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序号</w:t>
                  </w:r>
                </w:p>
              </w:tc>
              <w:tc>
                <w:tcPr>
                  <w:tcW w:w="562" w:type="pct"/>
                  <w:tcBorders>
                    <w:tl2br w:val="nil"/>
                    <w:tr2bl w:val="nil"/>
                  </w:tcBorders>
                  <w:noWrap w:val="0"/>
                  <w:vAlign w:val="center"/>
                </w:tcPr>
                <w:p w14:paraId="0E75591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贮存场所（设施）</w:t>
                  </w:r>
                </w:p>
                <w:p w14:paraId="20F1F27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名称</w:t>
                  </w:r>
                </w:p>
              </w:tc>
              <w:tc>
                <w:tcPr>
                  <w:tcW w:w="655" w:type="pct"/>
                  <w:tcBorders>
                    <w:tl2br w:val="nil"/>
                    <w:tr2bl w:val="nil"/>
                  </w:tcBorders>
                  <w:noWrap w:val="0"/>
                  <w:vAlign w:val="center"/>
                </w:tcPr>
                <w:p w14:paraId="4016FA9D">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危险废物名称</w:t>
                  </w:r>
                </w:p>
              </w:tc>
              <w:tc>
                <w:tcPr>
                  <w:tcW w:w="889" w:type="pct"/>
                  <w:tcBorders>
                    <w:tl2br w:val="nil"/>
                    <w:tr2bl w:val="nil"/>
                  </w:tcBorders>
                  <w:noWrap w:val="0"/>
                  <w:vAlign w:val="center"/>
                </w:tcPr>
                <w:p w14:paraId="0B700130">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危险废物类别</w:t>
                  </w:r>
                </w:p>
              </w:tc>
              <w:tc>
                <w:tcPr>
                  <w:tcW w:w="540" w:type="pct"/>
                  <w:tcBorders>
                    <w:tl2br w:val="nil"/>
                    <w:tr2bl w:val="nil"/>
                  </w:tcBorders>
                  <w:noWrap w:val="0"/>
                  <w:vAlign w:val="center"/>
                </w:tcPr>
                <w:p w14:paraId="3F69020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危险废物代码</w:t>
                  </w:r>
                </w:p>
              </w:tc>
              <w:tc>
                <w:tcPr>
                  <w:tcW w:w="627" w:type="pct"/>
                  <w:tcBorders>
                    <w:tl2br w:val="nil"/>
                    <w:tr2bl w:val="nil"/>
                  </w:tcBorders>
                  <w:noWrap w:val="0"/>
                  <w:vAlign w:val="center"/>
                </w:tcPr>
                <w:p w14:paraId="4BAC5819">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占地面积</w:t>
                  </w:r>
                </w:p>
              </w:tc>
              <w:tc>
                <w:tcPr>
                  <w:tcW w:w="336" w:type="pct"/>
                  <w:tcBorders>
                    <w:tl2br w:val="nil"/>
                    <w:tr2bl w:val="nil"/>
                  </w:tcBorders>
                  <w:noWrap w:val="0"/>
                  <w:vAlign w:val="center"/>
                </w:tcPr>
                <w:p w14:paraId="4D7C3C6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贮存方式</w:t>
                  </w:r>
                </w:p>
              </w:tc>
              <w:tc>
                <w:tcPr>
                  <w:tcW w:w="487" w:type="pct"/>
                  <w:tcBorders>
                    <w:tl2br w:val="nil"/>
                    <w:tr2bl w:val="nil"/>
                  </w:tcBorders>
                  <w:noWrap w:val="0"/>
                  <w:vAlign w:val="center"/>
                </w:tcPr>
                <w:p w14:paraId="4D4ABAE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贮存</w:t>
                  </w:r>
                </w:p>
                <w:p w14:paraId="32408900">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能力</w:t>
                  </w:r>
                </w:p>
              </w:tc>
              <w:tc>
                <w:tcPr>
                  <w:tcW w:w="581" w:type="pct"/>
                  <w:tcBorders>
                    <w:tl2br w:val="nil"/>
                    <w:tr2bl w:val="nil"/>
                  </w:tcBorders>
                  <w:noWrap w:val="0"/>
                  <w:vAlign w:val="center"/>
                </w:tcPr>
                <w:p w14:paraId="04DF9CA2">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贮存</w:t>
                  </w:r>
                </w:p>
                <w:p w14:paraId="584C5912">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周期</w:t>
                  </w:r>
                </w:p>
              </w:tc>
            </w:tr>
            <w:tr w14:paraId="3A58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19" w:type="pct"/>
                  <w:tcBorders>
                    <w:tl2br w:val="nil"/>
                    <w:tr2bl w:val="nil"/>
                  </w:tcBorders>
                  <w:noWrap w:val="0"/>
                  <w:vAlign w:val="center"/>
                </w:tcPr>
                <w:p w14:paraId="70AD93F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r>
                    <w:rPr>
                      <w:rFonts w:ascii="Times New Roman" w:hAnsi="Times New Roman" w:eastAsia="宋体" w:cs="Times New Roman"/>
                      <w:b w:val="0"/>
                      <w:bCs w:val="0"/>
                      <w:color w:val="000000"/>
                      <w:kern w:val="2"/>
                      <w:sz w:val="21"/>
                      <w:szCs w:val="21"/>
                      <w:lang w:val="en-US" w:eastAsia="zh-CN" w:bidi="ar-SA"/>
                    </w:rPr>
                    <w:t>1</w:t>
                  </w:r>
                </w:p>
              </w:tc>
              <w:tc>
                <w:tcPr>
                  <w:tcW w:w="562" w:type="pct"/>
                  <w:vMerge w:val="restart"/>
                  <w:tcBorders>
                    <w:tl2br w:val="nil"/>
                    <w:tr2bl w:val="nil"/>
                  </w:tcBorders>
                  <w:noWrap w:val="0"/>
                  <w:vAlign w:val="center"/>
                </w:tcPr>
                <w:p w14:paraId="4C99C732">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危险废贮存间</w:t>
                  </w:r>
                </w:p>
              </w:tc>
              <w:tc>
                <w:tcPr>
                  <w:tcW w:w="655" w:type="pct"/>
                  <w:tcBorders>
                    <w:tl2br w:val="nil"/>
                    <w:tr2bl w:val="nil"/>
                  </w:tcBorders>
                  <w:noWrap w:val="0"/>
                  <w:vAlign w:val="center"/>
                </w:tcPr>
                <w:p w14:paraId="57A95F1C">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废机油</w:t>
                  </w:r>
                </w:p>
              </w:tc>
              <w:tc>
                <w:tcPr>
                  <w:tcW w:w="889" w:type="pct"/>
                  <w:tcBorders>
                    <w:tl2br w:val="nil"/>
                    <w:tr2bl w:val="nil"/>
                  </w:tcBorders>
                  <w:noWrap w:val="0"/>
                  <w:vAlign w:val="center"/>
                </w:tcPr>
                <w:p w14:paraId="2378D63B">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HW08废矿物油与含矿物油废物</w:t>
                  </w:r>
                </w:p>
              </w:tc>
              <w:tc>
                <w:tcPr>
                  <w:tcW w:w="540" w:type="pct"/>
                  <w:tcBorders>
                    <w:tl2br w:val="nil"/>
                    <w:tr2bl w:val="nil"/>
                  </w:tcBorders>
                  <w:noWrap w:val="0"/>
                  <w:vAlign w:val="center"/>
                </w:tcPr>
                <w:p w14:paraId="55C60F64">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ascii="Times New Roman" w:hAnsi="Times New Roman" w:eastAsia="宋体" w:cs="Times New Roman"/>
                      <w:b w:val="0"/>
                      <w:color w:val="000000"/>
                      <w:kern w:val="2"/>
                      <w:sz w:val="21"/>
                      <w:szCs w:val="21"/>
                      <w:lang w:val="en-US" w:eastAsia="zh-CN" w:bidi="ar-SA"/>
                    </w:rPr>
                    <w:t>900-214-08</w:t>
                  </w:r>
                </w:p>
              </w:tc>
              <w:tc>
                <w:tcPr>
                  <w:tcW w:w="627" w:type="pct"/>
                  <w:vMerge w:val="restart"/>
                  <w:tcBorders>
                    <w:tl2br w:val="nil"/>
                    <w:tr2bl w:val="nil"/>
                  </w:tcBorders>
                  <w:noWrap w:val="0"/>
                  <w:vAlign w:val="center"/>
                </w:tcPr>
                <w:p w14:paraId="7C01B49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10m</w:t>
                  </w:r>
                  <w:r>
                    <w:rPr>
                      <w:rFonts w:hint="eastAsia" w:ascii="Times New Roman" w:hAnsi="Times New Roman" w:eastAsia="宋体" w:cs="Times New Roman"/>
                      <w:b w:val="0"/>
                      <w:bCs w:val="0"/>
                      <w:color w:val="000000"/>
                      <w:kern w:val="2"/>
                      <w:sz w:val="21"/>
                      <w:szCs w:val="21"/>
                      <w:vertAlign w:val="superscript"/>
                      <w:lang w:val="en-US" w:eastAsia="zh-CN" w:bidi="ar-SA"/>
                    </w:rPr>
                    <w:t>2</w:t>
                  </w:r>
                </w:p>
              </w:tc>
              <w:tc>
                <w:tcPr>
                  <w:tcW w:w="336" w:type="pct"/>
                  <w:tcBorders>
                    <w:tl2br w:val="nil"/>
                    <w:tr2bl w:val="nil"/>
                  </w:tcBorders>
                  <w:noWrap w:val="0"/>
                  <w:vAlign w:val="center"/>
                </w:tcPr>
                <w:p w14:paraId="0B37E0B8">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桶装</w:t>
                  </w:r>
                </w:p>
              </w:tc>
              <w:tc>
                <w:tcPr>
                  <w:tcW w:w="487" w:type="pct"/>
                  <w:vMerge w:val="restart"/>
                  <w:tcBorders>
                    <w:tl2br w:val="nil"/>
                    <w:tr2bl w:val="nil"/>
                  </w:tcBorders>
                  <w:noWrap w:val="0"/>
                  <w:vAlign w:val="center"/>
                </w:tcPr>
                <w:p w14:paraId="7E373536">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15t</w:t>
                  </w:r>
                </w:p>
              </w:tc>
              <w:tc>
                <w:tcPr>
                  <w:tcW w:w="581" w:type="pct"/>
                  <w:vMerge w:val="restart"/>
                  <w:tcBorders>
                    <w:tl2br w:val="nil"/>
                    <w:tr2bl w:val="nil"/>
                  </w:tcBorders>
                  <w:noWrap w:val="0"/>
                  <w:vAlign w:val="center"/>
                </w:tcPr>
                <w:p w14:paraId="543EF639">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半年</w:t>
                  </w:r>
                </w:p>
              </w:tc>
            </w:tr>
            <w:tr w14:paraId="1E5D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319" w:type="pct"/>
                  <w:tcBorders>
                    <w:tl2br w:val="nil"/>
                    <w:tr2bl w:val="nil"/>
                  </w:tcBorders>
                  <w:noWrap w:val="0"/>
                  <w:vAlign w:val="center"/>
                </w:tcPr>
                <w:p w14:paraId="67C0EE33">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2</w:t>
                  </w:r>
                </w:p>
              </w:tc>
              <w:tc>
                <w:tcPr>
                  <w:tcW w:w="562" w:type="pct"/>
                  <w:vMerge w:val="continue"/>
                  <w:tcBorders>
                    <w:tl2br w:val="nil"/>
                    <w:tr2bl w:val="nil"/>
                  </w:tcBorders>
                  <w:noWrap w:val="0"/>
                  <w:vAlign w:val="center"/>
                </w:tcPr>
                <w:p w14:paraId="10B253F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p>
              </w:tc>
              <w:tc>
                <w:tcPr>
                  <w:tcW w:w="655" w:type="pct"/>
                  <w:tcBorders>
                    <w:tl2br w:val="nil"/>
                    <w:tr2bl w:val="nil"/>
                  </w:tcBorders>
                  <w:noWrap w:val="0"/>
                  <w:vAlign w:val="center"/>
                </w:tcPr>
                <w:p w14:paraId="3DC9BEB2">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废油桶</w:t>
                  </w:r>
                </w:p>
              </w:tc>
              <w:tc>
                <w:tcPr>
                  <w:tcW w:w="889" w:type="pct"/>
                  <w:tcBorders>
                    <w:tl2br w:val="nil"/>
                    <w:tr2bl w:val="nil"/>
                  </w:tcBorders>
                  <w:noWrap w:val="0"/>
                  <w:vAlign w:val="center"/>
                </w:tcPr>
                <w:p w14:paraId="270EC0C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HW08废矿物油与含矿物油废物</w:t>
                  </w:r>
                </w:p>
              </w:tc>
              <w:tc>
                <w:tcPr>
                  <w:tcW w:w="540" w:type="pct"/>
                  <w:tcBorders>
                    <w:tl2br w:val="nil"/>
                    <w:tr2bl w:val="nil"/>
                  </w:tcBorders>
                  <w:noWrap w:val="0"/>
                  <w:vAlign w:val="center"/>
                </w:tcPr>
                <w:p w14:paraId="27BF6B90">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900-249-08</w:t>
                  </w:r>
                </w:p>
              </w:tc>
              <w:tc>
                <w:tcPr>
                  <w:tcW w:w="627" w:type="pct"/>
                  <w:vMerge w:val="continue"/>
                  <w:tcBorders>
                    <w:tl2br w:val="nil"/>
                    <w:tr2bl w:val="nil"/>
                  </w:tcBorders>
                  <w:noWrap w:val="0"/>
                  <w:vAlign w:val="center"/>
                </w:tcPr>
                <w:p w14:paraId="691AB74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p>
              </w:tc>
              <w:tc>
                <w:tcPr>
                  <w:tcW w:w="336" w:type="pct"/>
                  <w:tcBorders>
                    <w:tl2br w:val="nil"/>
                    <w:tr2bl w:val="nil"/>
                  </w:tcBorders>
                  <w:noWrap w:val="0"/>
                  <w:vAlign w:val="center"/>
                </w:tcPr>
                <w:p w14:paraId="72ECFB35">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堆存</w:t>
                  </w:r>
                </w:p>
              </w:tc>
              <w:tc>
                <w:tcPr>
                  <w:tcW w:w="487" w:type="pct"/>
                  <w:vMerge w:val="continue"/>
                  <w:tcBorders>
                    <w:tl2br w:val="nil"/>
                    <w:tr2bl w:val="nil"/>
                  </w:tcBorders>
                  <w:noWrap w:val="0"/>
                  <w:vAlign w:val="center"/>
                </w:tcPr>
                <w:p w14:paraId="7740FE61">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p>
              </w:tc>
              <w:tc>
                <w:tcPr>
                  <w:tcW w:w="581" w:type="pct"/>
                  <w:vMerge w:val="continue"/>
                  <w:tcBorders>
                    <w:tl2br w:val="nil"/>
                    <w:tr2bl w:val="nil"/>
                  </w:tcBorders>
                  <w:noWrap w:val="0"/>
                  <w:vAlign w:val="center"/>
                </w:tcPr>
                <w:p w14:paraId="64C4503F">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p>
              </w:tc>
            </w:tr>
            <w:tr w14:paraId="5F922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319" w:type="pct"/>
                  <w:tcBorders>
                    <w:tl2br w:val="nil"/>
                    <w:tr2bl w:val="nil"/>
                  </w:tcBorders>
                  <w:noWrap w:val="0"/>
                  <w:vAlign w:val="center"/>
                </w:tcPr>
                <w:p w14:paraId="0E4B5C50">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3</w:t>
                  </w:r>
                </w:p>
              </w:tc>
              <w:tc>
                <w:tcPr>
                  <w:tcW w:w="562" w:type="pct"/>
                  <w:vMerge w:val="continue"/>
                  <w:tcBorders>
                    <w:tl2br w:val="nil"/>
                    <w:tr2bl w:val="nil"/>
                  </w:tcBorders>
                  <w:noWrap w:val="0"/>
                  <w:vAlign w:val="center"/>
                </w:tcPr>
                <w:p w14:paraId="2BBE8C9A">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p>
              </w:tc>
              <w:tc>
                <w:tcPr>
                  <w:tcW w:w="655" w:type="pct"/>
                  <w:tcBorders>
                    <w:tl2br w:val="nil"/>
                    <w:tr2bl w:val="nil"/>
                  </w:tcBorders>
                  <w:noWrap w:val="0"/>
                  <w:vAlign w:val="center"/>
                </w:tcPr>
                <w:p w14:paraId="1A0F931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废防渗膜</w:t>
                  </w:r>
                </w:p>
              </w:tc>
              <w:tc>
                <w:tcPr>
                  <w:tcW w:w="889" w:type="pct"/>
                  <w:tcBorders>
                    <w:tl2br w:val="nil"/>
                    <w:tr2bl w:val="nil"/>
                  </w:tcBorders>
                  <w:noWrap w:val="0"/>
                  <w:vAlign w:val="center"/>
                </w:tcPr>
                <w:p w14:paraId="0EF39D29">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HW08废矿物油与含矿物油废物</w:t>
                  </w:r>
                </w:p>
              </w:tc>
              <w:tc>
                <w:tcPr>
                  <w:tcW w:w="540" w:type="pct"/>
                  <w:tcBorders>
                    <w:tl2br w:val="nil"/>
                    <w:tr2bl w:val="nil"/>
                  </w:tcBorders>
                  <w:noWrap w:val="0"/>
                  <w:vAlign w:val="center"/>
                </w:tcPr>
                <w:p w14:paraId="52C367C4">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900-249-08</w:t>
                  </w:r>
                </w:p>
              </w:tc>
              <w:tc>
                <w:tcPr>
                  <w:tcW w:w="627" w:type="pct"/>
                  <w:vMerge w:val="continue"/>
                  <w:tcBorders>
                    <w:tl2br w:val="nil"/>
                    <w:tr2bl w:val="nil"/>
                  </w:tcBorders>
                  <w:noWrap w:val="0"/>
                  <w:vAlign w:val="center"/>
                </w:tcPr>
                <w:p w14:paraId="3DE75975">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000000"/>
                      <w:kern w:val="2"/>
                      <w:sz w:val="21"/>
                      <w:szCs w:val="21"/>
                      <w:lang w:val="en-US" w:eastAsia="zh-CN" w:bidi="ar-SA"/>
                    </w:rPr>
                  </w:pPr>
                </w:p>
              </w:tc>
              <w:tc>
                <w:tcPr>
                  <w:tcW w:w="336" w:type="pct"/>
                  <w:tcBorders>
                    <w:tl2br w:val="nil"/>
                    <w:tr2bl w:val="nil"/>
                  </w:tcBorders>
                  <w:noWrap w:val="0"/>
                  <w:vAlign w:val="center"/>
                </w:tcPr>
                <w:p w14:paraId="4DCEB739">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堆存</w:t>
                  </w:r>
                </w:p>
              </w:tc>
              <w:tc>
                <w:tcPr>
                  <w:tcW w:w="487" w:type="pct"/>
                  <w:vMerge w:val="continue"/>
                  <w:tcBorders>
                    <w:tl2br w:val="nil"/>
                    <w:tr2bl w:val="nil"/>
                  </w:tcBorders>
                  <w:noWrap w:val="0"/>
                  <w:vAlign w:val="center"/>
                </w:tcPr>
                <w:p w14:paraId="5B8E2E76">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p>
              </w:tc>
              <w:tc>
                <w:tcPr>
                  <w:tcW w:w="581" w:type="pct"/>
                  <w:vMerge w:val="continue"/>
                  <w:tcBorders>
                    <w:tl2br w:val="nil"/>
                    <w:tr2bl w:val="nil"/>
                  </w:tcBorders>
                  <w:noWrap w:val="0"/>
                  <w:vAlign w:val="center"/>
                </w:tcPr>
                <w:p w14:paraId="340A669E">
                  <w:pPr>
                    <w:keepNext w:val="0"/>
                    <w:keepLines w:val="0"/>
                    <w:pageBreakBefore w:val="0"/>
                    <w:widowControl w:val="0"/>
                    <w:tabs>
                      <w:tab w:val="left" w:pos="1845"/>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lang w:val="en-US" w:eastAsia="zh-CN" w:bidi="ar-SA"/>
                    </w:rPr>
                  </w:pPr>
                </w:p>
              </w:tc>
            </w:tr>
          </w:tbl>
          <w:p w14:paraId="6CBBBD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kern w:val="24"/>
                <w:sz w:val="24"/>
                <w:szCs w:val="24"/>
                <w:lang w:val="en-US" w:eastAsia="zh-CN" w:bidi="ar-SA"/>
              </w:rPr>
            </w:pPr>
            <w:r>
              <w:rPr>
                <w:rFonts w:ascii="Times New Roman" w:hAnsi="Times New Roman" w:eastAsia="宋体" w:cs="Times New Roman"/>
                <w:bCs/>
                <w:color w:val="auto"/>
                <w:kern w:val="24"/>
                <w:sz w:val="24"/>
                <w:szCs w:val="24"/>
                <w:lang w:val="en-US" w:eastAsia="zh-CN" w:bidi="ar-SA"/>
              </w:rPr>
              <w:t>运营期固体废物做好台账，按照上述要求贮存，全部妥善处理及处置，对周围环境影响较小。</w:t>
            </w:r>
          </w:p>
          <w:p w14:paraId="65023FDD">
            <w:pPr>
              <w:widowControl w:val="0"/>
              <w:spacing w:line="360" w:lineRule="auto"/>
              <w:ind w:firstLine="480" w:firstLineChars="200"/>
              <w:jc w:val="both"/>
              <w:outlineLvl w:val="3"/>
              <w:rPr>
                <w:rFonts w:hint="default" w:ascii="Times New Roman" w:hAnsi="Times New Roman" w:eastAsia="宋体" w:cs="Times New Roman"/>
                <w:b w:val="0"/>
                <w:bCs/>
                <w:kern w:val="0"/>
                <w:sz w:val="24"/>
                <w:szCs w:val="24"/>
                <w:lang w:val="en-US" w:eastAsia="zh-CN" w:bidi="ar-SA"/>
              </w:rPr>
            </w:pPr>
            <w:r>
              <w:rPr>
                <w:rFonts w:hint="eastAsia" w:cs="Times New Roman"/>
                <w:b w:val="0"/>
                <w:bCs/>
                <w:kern w:val="0"/>
                <w:sz w:val="24"/>
                <w:szCs w:val="24"/>
                <w:lang w:val="en-US" w:eastAsia="zh-CN" w:bidi="ar-SA"/>
              </w:rPr>
              <w:t>（1）</w:t>
            </w:r>
            <w:r>
              <w:rPr>
                <w:rFonts w:hint="default" w:ascii="Times New Roman" w:hAnsi="Times New Roman" w:eastAsia="宋体" w:cs="Times New Roman"/>
                <w:b w:val="0"/>
                <w:bCs/>
                <w:kern w:val="0"/>
                <w:sz w:val="24"/>
                <w:szCs w:val="24"/>
                <w:lang w:val="en-US" w:eastAsia="zh-CN" w:bidi="ar-SA"/>
              </w:rPr>
              <w:t>危险</w:t>
            </w:r>
            <w:r>
              <w:rPr>
                <w:rFonts w:hint="eastAsia" w:ascii="Times New Roman" w:hAnsi="Times New Roman" w:eastAsia="宋体" w:cs="Times New Roman"/>
                <w:b w:val="0"/>
                <w:bCs/>
                <w:kern w:val="0"/>
                <w:sz w:val="24"/>
                <w:szCs w:val="24"/>
                <w:lang w:val="en-US" w:eastAsia="zh-CN" w:bidi="ar-SA"/>
              </w:rPr>
              <w:t>贮存</w:t>
            </w:r>
            <w:r>
              <w:rPr>
                <w:rFonts w:hint="default" w:ascii="Times New Roman" w:hAnsi="Times New Roman" w:eastAsia="宋体" w:cs="Times New Roman"/>
                <w:b w:val="0"/>
                <w:bCs/>
                <w:kern w:val="0"/>
                <w:sz w:val="24"/>
                <w:szCs w:val="24"/>
                <w:lang w:val="en-US" w:eastAsia="zh-CN" w:bidi="ar-SA"/>
              </w:rPr>
              <w:t>和管理要求</w:t>
            </w:r>
          </w:p>
          <w:p w14:paraId="23326995">
            <w:pPr>
              <w:widowControl w:val="0"/>
              <w:spacing w:line="360" w:lineRule="auto"/>
              <w:ind w:firstLine="480" w:firstLineChars="200"/>
              <w:jc w:val="both"/>
              <w:outlineLvl w:val="3"/>
              <w:rPr>
                <w:rFonts w:hint="default" w:ascii="Times New Roman" w:hAnsi="Times New Roman" w:eastAsia="宋体" w:cs="Times New Roman"/>
                <w:b w:val="0"/>
                <w:bCs/>
                <w:kern w:val="0"/>
                <w:sz w:val="24"/>
                <w:szCs w:val="24"/>
                <w:lang w:val="en-US" w:eastAsia="zh-CN" w:bidi="ar-SA"/>
              </w:rPr>
            </w:pPr>
            <w:r>
              <w:rPr>
                <w:rFonts w:hint="eastAsia" w:cs="Times New Roman"/>
                <w:b w:val="0"/>
                <w:bCs/>
                <w:kern w:val="0"/>
                <w:sz w:val="24"/>
                <w:szCs w:val="24"/>
                <w:lang w:val="en-US" w:eastAsia="zh-CN" w:bidi="ar-SA"/>
              </w:rPr>
              <w:t>危废贮存库</w:t>
            </w:r>
            <w:r>
              <w:rPr>
                <w:rFonts w:hint="default" w:ascii="Times New Roman" w:hAnsi="Times New Roman" w:eastAsia="宋体" w:cs="Times New Roman"/>
                <w:b w:val="0"/>
                <w:bCs/>
                <w:kern w:val="0"/>
                <w:sz w:val="24"/>
                <w:szCs w:val="24"/>
                <w:lang w:val="en-US" w:eastAsia="zh-CN" w:bidi="ar-SA"/>
              </w:rPr>
              <w:t>要求企业严格执行《危险废物贮存污染控制标准》（</w:t>
            </w:r>
            <w:r>
              <w:rPr>
                <w:rFonts w:hint="eastAsia" w:ascii="Times New Roman" w:hAnsi="Times New Roman" w:eastAsia="宋体" w:cs="Times New Roman"/>
                <w:b w:val="0"/>
                <w:bCs/>
                <w:kern w:val="0"/>
                <w:sz w:val="24"/>
                <w:szCs w:val="24"/>
                <w:lang w:val="en-US" w:eastAsia="zh-CN" w:bidi="ar-SA"/>
              </w:rPr>
              <w:t>GB18597-2023</w:t>
            </w:r>
            <w:r>
              <w:rPr>
                <w:rFonts w:hint="default" w:ascii="Times New Roman" w:hAnsi="Times New Roman" w:eastAsia="宋体" w:cs="Times New Roman"/>
                <w:b w:val="0"/>
                <w:bCs/>
                <w:kern w:val="0"/>
                <w:sz w:val="24"/>
                <w:szCs w:val="24"/>
                <w:lang w:val="en-US" w:eastAsia="zh-CN" w:bidi="ar-SA"/>
              </w:rPr>
              <w:t>）有关规定，专门设置临时堆放仓库，贮存场所必须防风、防雨、防晒，地面</w:t>
            </w:r>
            <w:r>
              <w:rPr>
                <w:rFonts w:hint="eastAsia" w:cs="Times New Roman"/>
                <w:b w:val="0"/>
                <w:bCs/>
                <w:kern w:val="0"/>
                <w:sz w:val="24"/>
                <w:szCs w:val="24"/>
                <w:lang w:val="en-US" w:eastAsia="zh-CN" w:bidi="ar-SA"/>
              </w:rPr>
              <w:t>必须</w:t>
            </w:r>
            <w:r>
              <w:rPr>
                <w:rFonts w:hint="default" w:ascii="Times New Roman" w:hAnsi="Times New Roman" w:eastAsia="宋体" w:cs="Times New Roman"/>
                <w:b w:val="0"/>
                <w:bCs/>
                <w:kern w:val="0"/>
                <w:sz w:val="24"/>
                <w:szCs w:val="24"/>
                <w:lang w:val="en-US" w:eastAsia="zh-CN" w:bidi="ar-SA"/>
              </w:rPr>
              <w:t>高于厂房的基准地面，确保雨水无法进入，渗漏液也无法外溢进入环境，地面与裙脚要用坚固、防渗的材料建造，防渗层为至少1m厚</w:t>
            </w:r>
            <w:r>
              <w:rPr>
                <w:rFonts w:hint="eastAsia" w:cs="Times New Roman"/>
                <w:b w:val="0"/>
                <w:bCs/>
                <w:kern w:val="0"/>
                <w:sz w:val="24"/>
                <w:szCs w:val="24"/>
                <w:lang w:val="en-US" w:eastAsia="zh-CN" w:bidi="ar-SA"/>
              </w:rPr>
              <w:t>黏土</w:t>
            </w:r>
            <w:r>
              <w:rPr>
                <w:rFonts w:hint="default" w:ascii="Times New Roman" w:hAnsi="Times New Roman" w:eastAsia="宋体" w:cs="Times New Roman"/>
                <w:b w:val="0"/>
                <w:bCs/>
                <w:kern w:val="0"/>
                <w:sz w:val="24"/>
                <w:szCs w:val="24"/>
                <w:lang w:val="en-US" w:eastAsia="zh-CN" w:bidi="ar-SA"/>
              </w:rPr>
              <w:t>层（渗透系数≤10</w:t>
            </w:r>
            <w:r>
              <w:rPr>
                <w:rFonts w:hint="default" w:ascii="Times New Roman" w:hAnsi="Times New Roman" w:eastAsia="宋体" w:cs="Times New Roman"/>
                <w:b w:val="0"/>
                <w:bCs/>
                <w:kern w:val="0"/>
                <w:sz w:val="24"/>
                <w:szCs w:val="24"/>
                <w:vertAlign w:val="superscript"/>
                <w:lang w:val="en-US" w:eastAsia="zh-CN" w:bidi="ar-SA"/>
              </w:rPr>
              <w:t>-7</w:t>
            </w:r>
            <w:r>
              <w:rPr>
                <w:rFonts w:hint="default" w:ascii="Times New Roman" w:hAnsi="Times New Roman" w:eastAsia="宋体" w:cs="Times New Roman"/>
                <w:b w:val="0"/>
                <w:bCs/>
                <w:kern w:val="0"/>
                <w:sz w:val="24"/>
                <w:szCs w:val="24"/>
                <w:lang w:val="en-US" w:eastAsia="zh-CN" w:bidi="ar-SA"/>
              </w:rPr>
              <w:t>cm/s），或2mm厚高密度聚乙烯，或至少2mm厚的</w:t>
            </w:r>
            <w:r>
              <w:rPr>
                <w:rFonts w:hint="eastAsia" w:cs="Times New Roman"/>
                <w:b w:val="0"/>
                <w:bCs/>
                <w:kern w:val="0"/>
                <w:sz w:val="24"/>
                <w:szCs w:val="24"/>
                <w:lang w:val="en-US" w:eastAsia="zh-CN" w:bidi="ar-SA"/>
              </w:rPr>
              <w:t>其他人工</w:t>
            </w:r>
            <w:r>
              <w:rPr>
                <w:rFonts w:hint="default" w:ascii="Times New Roman" w:hAnsi="Times New Roman" w:eastAsia="宋体" w:cs="Times New Roman"/>
                <w:b w:val="0"/>
                <w:bCs/>
                <w:kern w:val="0"/>
                <w:sz w:val="24"/>
                <w:szCs w:val="24"/>
                <w:lang w:val="en-US" w:eastAsia="zh-CN" w:bidi="ar-SA"/>
              </w:rPr>
              <w:t>材料，渗透系数≤10</w:t>
            </w:r>
            <w:r>
              <w:rPr>
                <w:rFonts w:hint="default" w:ascii="Times New Roman" w:hAnsi="Times New Roman" w:eastAsia="宋体" w:cs="Times New Roman"/>
                <w:b w:val="0"/>
                <w:bCs/>
                <w:kern w:val="0"/>
                <w:sz w:val="24"/>
                <w:szCs w:val="24"/>
                <w:vertAlign w:val="superscript"/>
                <w:lang w:val="en-US" w:eastAsia="zh-CN" w:bidi="ar-SA"/>
              </w:rPr>
              <w:t>-10</w:t>
            </w:r>
            <w:r>
              <w:rPr>
                <w:rFonts w:hint="default" w:ascii="Times New Roman" w:hAnsi="Times New Roman" w:eastAsia="宋体" w:cs="Times New Roman"/>
                <w:b w:val="0"/>
                <w:bCs/>
                <w:kern w:val="0"/>
                <w:sz w:val="24"/>
                <w:szCs w:val="24"/>
                <w:lang w:val="en-US" w:eastAsia="zh-CN" w:bidi="ar-SA"/>
              </w:rPr>
              <w:t>cm/s，堆放危险废物的高度应根据地面承载能力确定。企业必须做好危险废物的申报登记，</w:t>
            </w:r>
            <w:r>
              <w:rPr>
                <w:rFonts w:hint="eastAsia" w:cs="Times New Roman"/>
                <w:b w:val="0"/>
                <w:bCs/>
                <w:kern w:val="0"/>
                <w:sz w:val="24"/>
                <w:szCs w:val="24"/>
                <w:lang w:val="en-US" w:eastAsia="zh-CN" w:bidi="ar-SA"/>
              </w:rPr>
              <w:t>建立台账</w:t>
            </w:r>
            <w:r>
              <w:rPr>
                <w:rFonts w:hint="default" w:ascii="Times New Roman" w:hAnsi="Times New Roman" w:eastAsia="宋体" w:cs="Times New Roman"/>
                <w:b w:val="0"/>
                <w:bCs/>
                <w:kern w:val="0"/>
                <w:sz w:val="24"/>
                <w:szCs w:val="24"/>
                <w:lang w:val="en-US" w:eastAsia="zh-CN" w:bidi="ar-SA"/>
              </w:rPr>
              <w:t>管理制度，记录上须注明危险废物的名称、来源、数量、特征和包装容器的类别、入库时间、存放库位、废物出库日期及</w:t>
            </w:r>
            <w:r>
              <w:rPr>
                <w:rFonts w:hint="eastAsia" w:cs="Times New Roman"/>
                <w:b w:val="0"/>
                <w:bCs/>
                <w:kern w:val="0"/>
                <w:sz w:val="24"/>
                <w:szCs w:val="24"/>
                <w:lang w:val="en-US" w:eastAsia="zh-CN" w:bidi="ar-SA"/>
              </w:rPr>
              <w:t>接收单位</w:t>
            </w:r>
            <w:r>
              <w:rPr>
                <w:rFonts w:hint="default" w:ascii="Times New Roman" w:hAnsi="Times New Roman" w:eastAsia="宋体" w:cs="Times New Roman"/>
                <w:b w:val="0"/>
                <w:bCs/>
                <w:kern w:val="0"/>
                <w:sz w:val="24"/>
                <w:szCs w:val="24"/>
                <w:lang w:val="en-US" w:eastAsia="zh-CN" w:bidi="ar-SA"/>
              </w:rPr>
              <w:t>名称。同时在危险废物转运的时候必须报请当地</w:t>
            </w:r>
            <w:r>
              <w:rPr>
                <w:rFonts w:hint="eastAsia" w:ascii="Times New Roman" w:hAnsi="Times New Roman" w:eastAsia="宋体" w:cs="Times New Roman"/>
                <w:b w:val="0"/>
                <w:bCs/>
                <w:kern w:val="0"/>
                <w:sz w:val="24"/>
                <w:szCs w:val="24"/>
                <w:lang w:val="en-US" w:eastAsia="zh-CN" w:bidi="ar-SA"/>
              </w:rPr>
              <w:t>生态环境主管部门</w:t>
            </w:r>
            <w:r>
              <w:rPr>
                <w:rFonts w:hint="default" w:ascii="Times New Roman" w:hAnsi="Times New Roman" w:eastAsia="宋体" w:cs="Times New Roman"/>
                <w:b w:val="0"/>
                <w:bCs/>
                <w:kern w:val="0"/>
                <w:sz w:val="24"/>
                <w:szCs w:val="24"/>
                <w:lang w:val="en-US" w:eastAsia="zh-CN" w:bidi="ar-SA"/>
              </w:rPr>
              <w:t>批准同时填写危险废物转运单。</w:t>
            </w:r>
          </w:p>
          <w:p w14:paraId="24186B5F">
            <w:pPr>
              <w:widowControl w:val="0"/>
              <w:spacing w:line="360" w:lineRule="auto"/>
              <w:ind w:firstLine="480" w:firstLineChars="200"/>
              <w:jc w:val="both"/>
              <w:outlineLvl w:val="3"/>
              <w:rPr>
                <w:rFonts w:hint="default" w:ascii="Times New Roman" w:hAnsi="Times New Roman" w:eastAsia="宋体" w:cs="Times New Roman"/>
                <w:b w:val="0"/>
                <w:bCs/>
                <w:kern w:val="0"/>
                <w:sz w:val="24"/>
                <w:szCs w:val="24"/>
                <w:lang w:val="en-US" w:eastAsia="zh-CN" w:bidi="ar-SA"/>
              </w:rPr>
            </w:pPr>
            <w:r>
              <w:rPr>
                <w:rFonts w:hint="eastAsia" w:ascii="Times New Roman" w:hAnsi="Times New Roman" w:eastAsia="宋体" w:cs="Times New Roman"/>
                <w:b w:val="0"/>
                <w:bCs/>
                <w:kern w:val="0"/>
                <w:sz w:val="24"/>
                <w:szCs w:val="24"/>
                <w:lang w:val="en-US" w:eastAsia="zh-CN" w:bidi="ar-SA"/>
              </w:rPr>
              <w:t>（2）</w:t>
            </w:r>
            <w:r>
              <w:rPr>
                <w:rFonts w:hint="default" w:ascii="Times New Roman" w:hAnsi="Times New Roman" w:eastAsia="宋体" w:cs="Times New Roman"/>
                <w:b w:val="0"/>
                <w:bCs/>
                <w:kern w:val="0"/>
                <w:sz w:val="24"/>
                <w:szCs w:val="24"/>
                <w:lang w:val="en-US" w:eastAsia="zh-CN" w:bidi="ar-SA"/>
              </w:rPr>
              <w:t>危险废物的转运要求</w:t>
            </w:r>
          </w:p>
          <w:p w14:paraId="33F45919">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sz w:val="24"/>
                <w:lang w:val="zh-CN"/>
              </w:rPr>
            </w:pPr>
            <w:r>
              <w:rPr>
                <w:rFonts w:hint="default" w:ascii="Times New Roman" w:hAnsi="Times New Roman" w:eastAsia="宋体" w:cs="Times New Roman"/>
                <w:sz w:val="24"/>
              </w:rPr>
              <w:t>危险废物从厂区内产生工艺环节运输到</w:t>
            </w:r>
            <w:r>
              <w:rPr>
                <w:rFonts w:hint="eastAsia" w:cs="Times New Roman"/>
                <w:sz w:val="24"/>
                <w:lang w:eastAsia="zh-CN"/>
              </w:rPr>
              <w:t>危废贮存库</w:t>
            </w:r>
            <w:r>
              <w:rPr>
                <w:rFonts w:hint="default" w:ascii="Times New Roman" w:hAnsi="Times New Roman" w:eastAsia="宋体" w:cs="Times New Roman"/>
                <w:sz w:val="24"/>
              </w:rPr>
              <w:t>内，应由专人负责，专用桶收集、转运，避免可能引起的散落、泄漏。对厂外运输，由危废接收单位或其委托的专业运输单位，采用专用车辆进行。对危险废物的转移运输应按《危险废物转移联单管理办法》的规定报批危险废物转移计划，填写好转运联单，并必须交由有资质的单位承运。做好外运处置废弃物的运输登记，认真填写危险废物转移联单（每种废物填写一份联单），并加盖公司公章，经运输单位核实验收签字后，将联单第一联副联自留存档，将联单第二联交移出地</w:t>
            </w:r>
            <w:r>
              <w:rPr>
                <w:rFonts w:hint="eastAsia" w:ascii="Times New Roman" w:hAnsi="Times New Roman" w:eastAsia="宋体" w:cs="Times New Roman"/>
                <w:sz w:val="24"/>
                <w:lang w:val="en-US" w:eastAsia="zh-CN"/>
              </w:rPr>
              <w:t>生态环境</w:t>
            </w:r>
            <w:r>
              <w:rPr>
                <w:rFonts w:hint="default" w:ascii="Times New Roman" w:hAnsi="Times New Roman" w:eastAsia="宋体" w:cs="Times New Roman"/>
                <w:sz w:val="24"/>
              </w:rPr>
              <w:t>行政主管部门，第三联及其余联交付运输单位，随危险废物转移运行，将第四联交</w:t>
            </w:r>
            <w:r>
              <w:rPr>
                <w:rFonts w:hint="eastAsia" w:cs="Times New Roman"/>
                <w:sz w:val="24"/>
                <w:lang w:eastAsia="zh-CN"/>
              </w:rPr>
              <w:t>接收单位</w:t>
            </w:r>
            <w:r>
              <w:rPr>
                <w:rFonts w:hint="default" w:ascii="Times New Roman" w:hAnsi="Times New Roman" w:eastAsia="宋体" w:cs="Times New Roman"/>
                <w:sz w:val="24"/>
              </w:rPr>
              <w:t>，第五联交</w:t>
            </w:r>
            <w:r>
              <w:rPr>
                <w:rFonts w:hint="eastAsia" w:cs="Times New Roman"/>
                <w:sz w:val="24"/>
                <w:lang w:eastAsia="zh-CN"/>
              </w:rPr>
              <w:t>接收</w:t>
            </w:r>
            <w:r>
              <w:rPr>
                <w:rFonts w:hint="default" w:ascii="Times New Roman" w:hAnsi="Times New Roman" w:eastAsia="宋体" w:cs="Times New Roman"/>
                <w:sz w:val="24"/>
              </w:rPr>
              <w:t>地</w:t>
            </w:r>
            <w:r>
              <w:rPr>
                <w:rFonts w:hint="eastAsia" w:ascii="Times New Roman" w:hAnsi="Times New Roman" w:eastAsia="宋体" w:cs="Times New Roman"/>
                <w:sz w:val="24"/>
                <w:lang w:val="en-US" w:eastAsia="zh-CN"/>
              </w:rPr>
              <w:t>生态环境</w:t>
            </w:r>
            <w:r>
              <w:rPr>
                <w:rFonts w:hint="default" w:ascii="Times New Roman" w:hAnsi="Times New Roman" w:eastAsia="宋体" w:cs="Times New Roman"/>
                <w:sz w:val="24"/>
              </w:rPr>
              <w:t>局。</w:t>
            </w:r>
          </w:p>
          <w:p w14:paraId="07FF3E5A">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危险废物的运输要求：①运输危险废物的车辆必须严格交通、消防、治安等法规并控制车速，保持与前车的距离，严禁违章超车，确保行车安全；装载危险废物的车辆不得在居民集聚区、行人稠密地段、风景游览区停车；②运输危险废物必须配备随车人员在途中经常检查，不得搭乘无关人员，车上人员严禁吸烟；③根据车上废物性质，采取遮阳、控温、防火、防爆、防震、防水、防冻等措施；④危险废物随车人员不得擅自改变作业计划，严禁擅自拼装、超载。危险废物运输应优先安排；⑤危险废物装卸作业必须严格遵守操作规程，轻装、轻卸，严禁摔碰、撞击、重压、倒置。</w:t>
            </w:r>
          </w:p>
          <w:p w14:paraId="66B66B93">
            <w:pPr>
              <w:pStyle w:val="44"/>
              <w:outlineLvl w:val="9"/>
              <w:rPr>
                <w:rFonts w:cs="Times New Roman"/>
                <w:b/>
                <w:bCs/>
                <w:color w:val="auto"/>
                <w:sz w:val="24"/>
              </w:rPr>
            </w:pPr>
            <w:r>
              <w:rPr>
                <w:rFonts w:hint="eastAsia" w:cs="Times New Roman"/>
                <w:b/>
                <w:bCs/>
                <w:color w:val="auto"/>
                <w:sz w:val="24"/>
                <w:lang w:val="en-US" w:eastAsia="zh-CN"/>
              </w:rPr>
              <w:t xml:space="preserve">5 </w:t>
            </w:r>
            <w:r>
              <w:rPr>
                <w:rFonts w:hint="eastAsia" w:cs="Times New Roman"/>
                <w:b/>
                <w:bCs/>
                <w:color w:val="auto"/>
                <w:sz w:val="24"/>
              </w:rPr>
              <w:t>环境风险分析</w:t>
            </w:r>
          </w:p>
          <w:p w14:paraId="3B064F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根据《建设项目环境风险评价技术导则》（HJ169-2018）附录B判定，本项目的环境风险物质为废机油、柴油等，废机油储存于危废贮存库，柴油储存在最大储存量8t</w:t>
            </w:r>
            <w:r>
              <w:rPr>
                <w:rFonts w:hint="eastAsia" w:ascii="Times New Roman" w:hAnsi="Times New Roman" w:eastAsia="宋体" w:cs="Times New Roman"/>
                <w:color w:val="000000"/>
                <w:kern w:val="2"/>
                <w:sz w:val="24"/>
                <w:szCs w:val="24"/>
                <w:vertAlign w:val="baseline"/>
                <w:lang w:val="en-US" w:eastAsia="zh-CN" w:bidi="ar-SA"/>
              </w:rPr>
              <w:t>位于危险化学品间的</w:t>
            </w:r>
            <w:r>
              <w:rPr>
                <w:rFonts w:hint="eastAsia" w:ascii="Times New Roman" w:hAnsi="Times New Roman" w:eastAsia="宋体" w:cs="Times New Roman"/>
                <w:color w:val="000000"/>
                <w:kern w:val="2"/>
                <w:sz w:val="24"/>
                <w:szCs w:val="24"/>
                <w:lang w:val="en-US" w:eastAsia="zh-CN" w:bidi="ar-SA"/>
              </w:rPr>
              <w:t>油桶内，发生泄漏或遇明火引发火灾，从而污染大气环境、地下水和土壤。项目Q值判断见下表4-24。</w:t>
            </w:r>
          </w:p>
          <w:p w14:paraId="4D175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黑体" w:hAnsi="黑体" w:eastAsia="黑体" w:cs="黑体"/>
                <w:b w:val="0"/>
                <w:bCs w:val="0"/>
                <w:color w:val="auto"/>
                <w:kern w:val="2"/>
                <w:sz w:val="21"/>
                <w:szCs w:val="21"/>
                <w:lang w:val="en-US" w:eastAsia="zh-CN" w:bidi="ar-SA"/>
              </w:rPr>
              <w:t>表4-24     贮存场所基本情况表</w:t>
            </w:r>
          </w:p>
          <w:tbl>
            <w:tblPr>
              <w:tblStyle w:val="21"/>
              <w:tblW w:w="8714" w:type="dxa"/>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018"/>
              <w:gridCol w:w="2702"/>
              <w:gridCol w:w="2073"/>
              <w:gridCol w:w="1921"/>
            </w:tblGrid>
            <w:tr w14:paraId="65BDB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19" w:hRule="atLeast"/>
              </w:trPr>
              <w:tc>
                <w:tcPr>
                  <w:tcW w:w="1158" w:type="pct"/>
                  <w:tcBorders>
                    <w:tl2br w:val="nil"/>
                    <w:tr2bl w:val="nil"/>
                  </w:tcBorders>
                  <w:noWrap w:val="0"/>
                  <w:vAlign w:val="center"/>
                </w:tcPr>
                <w:p w14:paraId="0B0AB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危险废物名称</w:t>
                  </w:r>
                </w:p>
              </w:tc>
              <w:tc>
                <w:tcPr>
                  <w:tcW w:w="1550" w:type="pct"/>
                  <w:tcBorders>
                    <w:tl2br w:val="nil"/>
                    <w:tr2bl w:val="nil"/>
                  </w:tcBorders>
                  <w:noWrap w:val="0"/>
                  <w:vAlign w:val="center"/>
                </w:tcPr>
                <w:p w14:paraId="2AA2A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最大储存量（t）</w:t>
                  </w:r>
                </w:p>
              </w:tc>
              <w:tc>
                <w:tcPr>
                  <w:tcW w:w="1187" w:type="pct"/>
                  <w:tcBorders>
                    <w:tl2br w:val="nil"/>
                    <w:tr2bl w:val="nil"/>
                  </w:tcBorders>
                  <w:noWrap w:val="0"/>
                  <w:vAlign w:val="center"/>
                </w:tcPr>
                <w:p w14:paraId="21F41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临界量（t）</w:t>
                  </w:r>
                </w:p>
              </w:tc>
              <w:tc>
                <w:tcPr>
                  <w:tcW w:w="1102" w:type="pct"/>
                  <w:tcBorders>
                    <w:tl2br w:val="nil"/>
                    <w:tr2bl w:val="nil"/>
                  </w:tcBorders>
                  <w:noWrap w:val="0"/>
                  <w:vAlign w:val="center"/>
                </w:tcPr>
                <w:p w14:paraId="54B33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q/Q</w:t>
                  </w:r>
                </w:p>
              </w:tc>
            </w:tr>
            <w:tr w14:paraId="17788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trPr>
              <w:tc>
                <w:tcPr>
                  <w:tcW w:w="1158" w:type="pct"/>
                  <w:tcBorders>
                    <w:tl2br w:val="nil"/>
                    <w:tr2bl w:val="nil"/>
                  </w:tcBorders>
                  <w:noWrap w:val="0"/>
                  <w:vAlign w:val="center"/>
                </w:tcPr>
                <w:p w14:paraId="020C8B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废机油</w:t>
                  </w:r>
                </w:p>
              </w:tc>
              <w:tc>
                <w:tcPr>
                  <w:tcW w:w="1550" w:type="pct"/>
                  <w:tcBorders>
                    <w:tl2br w:val="nil"/>
                    <w:tr2bl w:val="nil"/>
                  </w:tcBorders>
                  <w:noWrap w:val="0"/>
                  <w:vAlign w:val="center"/>
                </w:tcPr>
                <w:p w14:paraId="3F53B8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0.2</w:t>
                  </w:r>
                </w:p>
              </w:tc>
              <w:tc>
                <w:tcPr>
                  <w:tcW w:w="1187" w:type="pct"/>
                  <w:tcBorders>
                    <w:tl2br w:val="nil"/>
                    <w:tr2bl w:val="nil"/>
                  </w:tcBorders>
                  <w:noWrap w:val="0"/>
                  <w:vAlign w:val="center"/>
                </w:tcPr>
                <w:p w14:paraId="14D2B6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2500</w:t>
                  </w:r>
                </w:p>
              </w:tc>
              <w:tc>
                <w:tcPr>
                  <w:tcW w:w="1102" w:type="pct"/>
                  <w:tcBorders>
                    <w:tl2br w:val="nil"/>
                    <w:tr2bl w:val="nil"/>
                  </w:tcBorders>
                  <w:noWrap w:val="0"/>
                  <w:vAlign w:val="center"/>
                </w:tcPr>
                <w:p w14:paraId="5E1798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0.00008</w:t>
                  </w:r>
                </w:p>
              </w:tc>
            </w:tr>
            <w:tr w14:paraId="08AAB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1158" w:type="pct"/>
                  <w:tcBorders>
                    <w:tl2br w:val="nil"/>
                    <w:tr2bl w:val="nil"/>
                  </w:tcBorders>
                  <w:noWrap w:val="0"/>
                  <w:vAlign w:val="center"/>
                </w:tcPr>
                <w:p w14:paraId="76F1A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szCs w:val="21"/>
                      <w:lang w:val="en-US" w:eastAsia="zh-CN"/>
                    </w:rPr>
                    <w:t>6#</w:t>
                  </w:r>
                  <w:r>
                    <w:rPr>
                      <w:rFonts w:hint="eastAsia" w:ascii="Times New Roman" w:hAnsi="Times New Roman" w:eastAsia="宋体" w:cs="Times New Roman"/>
                      <w:b w:val="0"/>
                      <w:color w:val="auto"/>
                      <w:kern w:val="0"/>
                      <w:sz w:val="21"/>
                      <w:szCs w:val="21"/>
                      <w:highlight w:val="none"/>
                      <w:vertAlign w:val="baseline"/>
                      <w:lang w:val="en-US" w:eastAsia="zh-CN"/>
                    </w:rPr>
                    <w:t>溶剂油</w:t>
                  </w:r>
                </w:p>
              </w:tc>
              <w:tc>
                <w:tcPr>
                  <w:tcW w:w="1550" w:type="pct"/>
                  <w:tcBorders>
                    <w:tl2br w:val="nil"/>
                    <w:tr2bl w:val="nil"/>
                  </w:tcBorders>
                  <w:noWrap w:val="0"/>
                  <w:vAlign w:val="center"/>
                </w:tcPr>
                <w:p w14:paraId="2CF1E2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8</w:t>
                  </w:r>
                </w:p>
              </w:tc>
              <w:tc>
                <w:tcPr>
                  <w:tcW w:w="1187" w:type="pct"/>
                  <w:tcBorders>
                    <w:tl2br w:val="nil"/>
                    <w:tr2bl w:val="nil"/>
                  </w:tcBorders>
                  <w:noWrap w:val="0"/>
                  <w:vAlign w:val="center"/>
                </w:tcPr>
                <w:p w14:paraId="15B648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10</w:t>
                  </w:r>
                </w:p>
              </w:tc>
              <w:tc>
                <w:tcPr>
                  <w:tcW w:w="1102" w:type="pct"/>
                  <w:tcBorders>
                    <w:tl2br w:val="nil"/>
                    <w:tr2bl w:val="nil"/>
                  </w:tcBorders>
                  <w:noWrap w:val="0"/>
                  <w:vAlign w:val="center"/>
                </w:tcPr>
                <w:p w14:paraId="5FE87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p>
              </w:tc>
            </w:tr>
            <w:tr w14:paraId="0A396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97" w:hRule="atLeast"/>
              </w:trPr>
              <w:tc>
                <w:tcPr>
                  <w:tcW w:w="1158" w:type="pct"/>
                  <w:tcBorders>
                    <w:tl2br w:val="nil"/>
                    <w:tr2bl w:val="nil"/>
                  </w:tcBorders>
                  <w:noWrap w:val="0"/>
                  <w:vAlign w:val="center"/>
                </w:tcPr>
                <w:p w14:paraId="4433D2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废防渗膜</w:t>
                  </w:r>
                </w:p>
              </w:tc>
              <w:tc>
                <w:tcPr>
                  <w:tcW w:w="1550" w:type="pct"/>
                  <w:tcBorders>
                    <w:tl2br w:val="nil"/>
                    <w:tr2bl w:val="nil"/>
                  </w:tcBorders>
                  <w:noWrap w:val="0"/>
                  <w:vAlign w:val="center"/>
                </w:tcPr>
                <w:p w14:paraId="5A319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0.05</w:t>
                  </w:r>
                </w:p>
              </w:tc>
              <w:tc>
                <w:tcPr>
                  <w:tcW w:w="1187" w:type="pct"/>
                  <w:tcBorders>
                    <w:tl2br w:val="nil"/>
                    <w:tr2bl w:val="nil"/>
                  </w:tcBorders>
                  <w:noWrap w:val="0"/>
                  <w:vAlign w:val="center"/>
                </w:tcPr>
                <w:p w14:paraId="4FCED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2500</w:t>
                  </w:r>
                </w:p>
              </w:tc>
              <w:tc>
                <w:tcPr>
                  <w:tcW w:w="1102" w:type="pct"/>
                  <w:tcBorders>
                    <w:tl2br w:val="nil"/>
                    <w:tr2bl w:val="nil"/>
                  </w:tcBorders>
                  <w:noWrap w:val="0"/>
                  <w:vAlign w:val="center"/>
                </w:tcPr>
                <w:p w14:paraId="34389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0.00002</w:t>
                  </w:r>
                </w:p>
              </w:tc>
            </w:tr>
            <w:tr w14:paraId="68CC3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897" w:type="pct"/>
                  <w:gridSpan w:val="3"/>
                  <w:tcBorders>
                    <w:tl2br w:val="nil"/>
                    <w:tr2bl w:val="nil"/>
                  </w:tcBorders>
                  <w:noWrap w:val="0"/>
                  <w:vAlign w:val="center"/>
                </w:tcPr>
                <w:p w14:paraId="524703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合计</w:t>
                  </w:r>
                </w:p>
              </w:tc>
              <w:tc>
                <w:tcPr>
                  <w:tcW w:w="1102" w:type="pct"/>
                  <w:tcBorders>
                    <w:tl2br w:val="nil"/>
                    <w:tr2bl w:val="nil"/>
                  </w:tcBorders>
                  <w:noWrap w:val="0"/>
                  <w:vAlign w:val="center"/>
                </w:tcPr>
                <w:p w14:paraId="3213E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0.8001</w:t>
                  </w:r>
                </w:p>
              </w:tc>
            </w:tr>
          </w:tbl>
          <w:p w14:paraId="5B9F61C8">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A</w:t>
            </w:r>
            <w:r>
              <w:rPr>
                <w:rFonts w:hint="eastAsia" w:cs="Times New Roman"/>
                <w:sz w:val="24"/>
                <w:lang w:eastAsia="zh-CN"/>
              </w:rPr>
              <w:t>.</w:t>
            </w:r>
            <w:r>
              <w:rPr>
                <w:rFonts w:hint="default" w:ascii="Times New Roman" w:hAnsi="Times New Roman" w:eastAsia="宋体" w:cs="Times New Roman"/>
                <w:sz w:val="24"/>
              </w:rPr>
              <w:t>危险物质及工艺系统危险性（P）分级</w:t>
            </w:r>
          </w:p>
          <w:p w14:paraId="7AEFC3A0">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lang w:eastAsia="zh-TW"/>
              </w:rPr>
              <w:t>（</w:t>
            </w:r>
            <w:r>
              <w:rPr>
                <w:rFonts w:hint="default" w:ascii="Times New Roman" w:hAnsi="Times New Roman" w:eastAsia="宋体" w:cs="Times New Roman"/>
                <w:sz w:val="24"/>
              </w:rPr>
              <w:t>1</w:t>
            </w:r>
            <w:r>
              <w:rPr>
                <w:rFonts w:hint="default" w:ascii="Times New Roman" w:hAnsi="Times New Roman" w:eastAsia="宋体" w:cs="Times New Roman"/>
                <w:sz w:val="24"/>
                <w:lang w:eastAsia="zh-TW"/>
              </w:rPr>
              <w:t>）</w:t>
            </w:r>
            <w:r>
              <w:rPr>
                <w:rFonts w:hint="default" w:ascii="Times New Roman" w:hAnsi="Times New Roman" w:eastAsia="宋体" w:cs="Times New Roman"/>
                <w:sz w:val="24"/>
              </w:rPr>
              <w:t>危险物质与临界量比值（Q）</w:t>
            </w:r>
          </w:p>
          <w:p w14:paraId="7729AD6D">
            <w:pPr>
              <w:adjustRightInd w:val="0"/>
              <w:snapToGrid w:val="0"/>
              <w:spacing w:line="360" w:lineRule="auto"/>
              <w:ind w:firstLine="480"/>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计算所涉及的每种危险物质在厂界内的最大存在总量与其对应临界量的比值Q。当只涉及一种危险物质时，计算该物质的总量与其临界比值，即为Q；当存在多种危险物质时则按下式计算物质总量与其临界比值（Q）：</w:t>
            </w:r>
          </w:p>
          <w:p w14:paraId="0B3B640B">
            <w:pPr>
              <w:adjustRightInd w:val="0"/>
              <w:snapToGrid w:val="0"/>
              <w:spacing w:line="360" w:lineRule="auto"/>
              <w:ind w:firstLine="480"/>
              <w:jc w:val="center"/>
              <w:textAlignment w:val="baseline"/>
              <w:rPr>
                <w:rFonts w:hint="default" w:ascii="Times New Roman" w:hAnsi="Times New Roman" w:eastAsia="宋体" w:cs="Times New Roman"/>
                <w:sz w:val="24"/>
              </w:rPr>
            </w:pPr>
            <w:r>
              <w:rPr>
                <w:rFonts w:hint="default" w:ascii="Times New Roman" w:hAnsi="Times New Roman" w:eastAsia="宋体" w:cs="Times New Roman"/>
                <w:position w:val="-30"/>
                <w:sz w:val="24"/>
              </w:rPr>
              <w:drawing>
                <wp:inline distT="0" distB="0" distL="114300" distR="114300">
                  <wp:extent cx="1838325" cy="409575"/>
                  <wp:effectExtent l="0" t="0" r="0"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1838325" cy="409575"/>
                          </a:xfrm>
                          <a:prstGeom prst="rect">
                            <a:avLst/>
                          </a:prstGeom>
                          <a:noFill/>
                          <a:ln>
                            <a:noFill/>
                          </a:ln>
                        </pic:spPr>
                      </pic:pic>
                    </a:graphicData>
                  </a:graphic>
                </wp:inline>
              </w:drawing>
            </w:r>
          </w:p>
          <w:p w14:paraId="55161301">
            <w:pPr>
              <w:adjustRightInd w:val="0"/>
              <w:snapToGrid w:val="0"/>
              <w:spacing w:line="360" w:lineRule="auto"/>
              <w:ind w:firstLine="480"/>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式中：q</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、q</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……qn——每种危险物质的最大存在总量，t；</w:t>
            </w:r>
          </w:p>
          <w:p w14:paraId="79AA608F">
            <w:pPr>
              <w:adjustRightInd w:val="0"/>
              <w:snapToGrid w:val="0"/>
              <w:spacing w:line="360" w:lineRule="auto"/>
              <w:ind w:firstLine="1200" w:firstLineChars="500"/>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Q</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、Q</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……Qn——每种危险物质的临界量，t。</w:t>
            </w:r>
          </w:p>
          <w:p w14:paraId="4FB0482D">
            <w:pPr>
              <w:adjustRightInd w:val="0"/>
              <w:snapToGrid w:val="0"/>
              <w:spacing w:line="360" w:lineRule="auto"/>
              <w:ind w:firstLine="480"/>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当Q＜1时，该项目环境风险潜势为I。</w:t>
            </w:r>
          </w:p>
          <w:p w14:paraId="67D42B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sz w:val="24"/>
              </w:rPr>
              <w:t>当Q≥1时，将Q值划分为（1）1≤Q＜10；（2）10≤Q＜100；（3）Q≥100。</w:t>
            </w:r>
          </w:p>
          <w:p w14:paraId="402188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根据上表可知，本项目Q值＜1，因此本项目环境风险潜势为I。根据《建设项目环境风险评价技术导则》（HJ169-2018），可以进行简单分析。</w:t>
            </w:r>
          </w:p>
          <w:p w14:paraId="44E93A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本项目环境风险物质包括废机油、6#溶剂油，发生泄漏或遇明火易引发火灾，从而污染大气环境、地下水和土壤。危险物质分布情况如下表4-25。</w:t>
            </w:r>
          </w:p>
          <w:p w14:paraId="14E90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eastAsia" w:ascii="黑体" w:hAnsi="黑体" w:eastAsia="黑体" w:cs="黑体"/>
                <w:b w:val="0"/>
                <w:bCs w:val="0"/>
                <w:color w:val="auto"/>
                <w:kern w:val="2"/>
                <w:sz w:val="21"/>
                <w:szCs w:val="21"/>
                <w:lang w:val="en-US" w:eastAsia="zh-CN" w:bidi="ar-SA"/>
              </w:rPr>
            </w:pPr>
            <w:r>
              <w:rPr>
                <w:rFonts w:hint="eastAsia" w:ascii="黑体" w:hAnsi="黑体" w:eastAsia="黑体" w:cs="黑体"/>
                <w:b w:val="0"/>
                <w:bCs w:val="0"/>
                <w:color w:val="auto"/>
                <w:kern w:val="2"/>
                <w:sz w:val="21"/>
                <w:szCs w:val="21"/>
                <w:lang w:val="en-US" w:eastAsia="zh-CN" w:bidi="ar-SA"/>
              </w:rPr>
              <w:t>表4-25     环境风险识别表</w:t>
            </w:r>
          </w:p>
          <w:tbl>
            <w:tblPr>
              <w:tblStyle w:val="21"/>
              <w:tblW w:w="4997"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09"/>
              <w:gridCol w:w="1886"/>
              <w:gridCol w:w="1352"/>
              <w:gridCol w:w="1352"/>
              <w:gridCol w:w="2411"/>
            </w:tblGrid>
            <w:tr w14:paraId="3916B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934" w:type="pct"/>
                  <w:tcBorders>
                    <w:tl2br w:val="nil"/>
                    <w:tr2bl w:val="nil"/>
                  </w:tcBorders>
                  <w:noWrap w:val="0"/>
                  <w:vAlign w:val="center"/>
                </w:tcPr>
                <w:p w14:paraId="35A3D4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危险废物名称</w:t>
                  </w:r>
                </w:p>
              </w:tc>
              <w:tc>
                <w:tcPr>
                  <w:tcW w:w="1095" w:type="pct"/>
                  <w:tcBorders>
                    <w:tl2br w:val="nil"/>
                    <w:tr2bl w:val="nil"/>
                  </w:tcBorders>
                  <w:noWrap w:val="0"/>
                  <w:vAlign w:val="center"/>
                </w:tcPr>
                <w:p w14:paraId="5484C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分布情况</w:t>
                  </w:r>
                </w:p>
              </w:tc>
              <w:tc>
                <w:tcPr>
                  <w:tcW w:w="785" w:type="pct"/>
                  <w:tcBorders>
                    <w:tl2br w:val="nil"/>
                    <w:tr2bl w:val="nil"/>
                  </w:tcBorders>
                  <w:noWrap w:val="0"/>
                  <w:vAlign w:val="center"/>
                </w:tcPr>
                <w:p w14:paraId="0B987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贮存量（t）</w:t>
                  </w:r>
                </w:p>
              </w:tc>
              <w:tc>
                <w:tcPr>
                  <w:tcW w:w="785" w:type="pct"/>
                  <w:tcBorders>
                    <w:tl2br w:val="nil"/>
                    <w:tr2bl w:val="nil"/>
                  </w:tcBorders>
                  <w:noWrap w:val="0"/>
                  <w:vAlign w:val="center"/>
                </w:tcPr>
                <w:p w14:paraId="2B1F8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风险类型</w:t>
                  </w:r>
                </w:p>
              </w:tc>
              <w:tc>
                <w:tcPr>
                  <w:tcW w:w="1399" w:type="pct"/>
                  <w:tcBorders>
                    <w:tl2br w:val="nil"/>
                    <w:tr2bl w:val="nil"/>
                  </w:tcBorders>
                  <w:noWrap w:val="0"/>
                  <w:vAlign w:val="center"/>
                </w:tcPr>
                <w:p w14:paraId="68C24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环境影响途径</w:t>
                  </w:r>
                </w:p>
              </w:tc>
            </w:tr>
            <w:tr w14:paraId="5876E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934" w:type="pct"/>
                  <w:tcBorders>
                    <w:tl2br w:val="nil"/>
                    <w:tr2bl w:val="nil"/>
                  </w:tcBorders>
                  <w:noWrap w:val="0"/>
                  <w:vAlign w:val="center"/>
                </w:tcPr>
                <w:p w14:paraId="3F008E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废机油</w:t>
                  </w:r>
                </w:p>
              </w:tc>
              <w:tc>
                <w:tcPr>
                  <w:tcW w:w="1095" w:type="pct"/>
                  <w:tcBorders>
                    <w:tl2br w:val="nil"/>
                    <w:tr2bl w:val="nil"/>
                  </w:tcBorders>
                  <w:noWrap w:val="0"/>
                  <w:vAlign w:val="center"/>
                </w:tcPr>
                <w:p w14:paraId="74188E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危险废物贮存库</w:t>
                  </w:r>
                </w:p>
              </w:tc>
              <w:tc>
                <w:tcPr>
                  <w:tcW w:w="785" w:type="pct"/>
                  <w:tcBorders>
                    <w:tl2br w:val="nil"/>
                    <w:tr2bl w:val="nil"/>
                  </w:tcBorders>
                  <w:noWrap w:val="0"/>
                  <w:vAlign w:val="center"/>
                </w:tcPr>
                <w:p w14:paraId="5B650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0.2</w:t>
                  </w:r>
                </w:p>
              </w:tc>
              <w:tc>
                <w:tcPr>
                  <w:tcW w:w="785" w:type="pct"/>
                  <w:tcBorders>
                    <w:tl2br w:val="nil"/>
                    <w:tr2bl w:val="nil"/>
                  </w:tcBorders>
                  <w:noWrap w:val="0"/>
                  <w:vAlign w:val="center"/>
                </w:tcPr>
                <w:p w14:paraId="4B5CB1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泄漏、火灾</w:t>
                  </w:r>
                </w:p>
              </w:tc>
              <w:tc>
                <w:tcPr>
                  <w:tcW w:w="1399" w:type="pct"/>
                  <w:tcBorders>
                    <w:tl2br w:val="nil"/>
                    <w:tr2bl w:val="nil"/>
                  </w:tcBorders>
                  <w:noWrap w:val="0"/>
                  <w:vAlign w:val="center"/>
                </w:tcPr>
                <w:p w14:paraId="06ED10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大气、地下水、土壤</w:t>
                  </w:r>
                </w:p>
              </w:tc>
            </w:tr>
            <w:tr w14:paraId="6EF81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934" w:type="pct"/>
                  <w:tcBorders>
                    <w:tl2br w:val="nil"/>
                    <w:tr2bl w:val="nil"/>
                  </w:tcBorders>
                  <w:noWrap w:val="0"/>
                  <w:vAlign w:val="center"/>
                </w:tcPr>
                <w:p w14:paraId="206B4F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color w:val="000000"/>
                      <w:kern w:val="2"/>
                      <w:sz w:val="24"/>
                      <w:szCs w:val="24"/>
                      <w:lang w:val="en-US" w:eastAsia="zh-CN" w:bidi="ar-SA"/>
                    </w:rPr>
                    <w:t>6#</w:t>
                  </w:r>
                  <w:r>
                    <w:rPr>
                      <w:rFonts w:hint="eastAsia" w:ascii="Times New Roman" w:hAnsi="Times New Roman" w:eastAsia="宋体" w:cs="Times New Roman"/>
                      <w:b w:val="0"/>
                      <w:color w:val="auto"/>
                      <w:kern w:val="0"/>
                      <w:sz w:val="21"/>
                      <w:szCs w:val="21"/>
                      <w:highlight w:val="none"/>
                      <w:vertAlign w:val="baseline"/>
                      <w:lang w:val="en-US" w:eastAsia="zh-CN"/>
                    </w:rPr>
                    <w:t>溶剂油</w:t>
                  </w:r>
                </w:p>
              </w:tc>
              <w:tc>
                <w:tcPr>
                  <w:tcW w:w="1095" w:type="pct"/>
                  <w:tcBorders>
                    <w:tl2br w:val="nil"/>
                    <w:tr2bl w:val="nil"/>
                  </w:tcBorders>
                  <w:noWrap w:val="0"/>
                  <w:vAlign w:val="center"/>
                </w:tcPr>
                <w:p w14:paraId="05D324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地埋式溶剂油罐</w:t>
                  </w:r>
                </w:p>
              </w:tc>
              <w:tc>
                <w:tcPr>
                  <w:tcW w:w="785" w:type="pct"/>
                  <w:tcBorders>
                    <w:tl2br w:val="nil"/>
                    <w:tr2bl w:val="nil"/>
                  </w:tcBorders>
                  <w:noWrap w:val="0"/>
                  <w:vAlign w:val="center"/>
                </w:tcPr>
                <w:p w14:paraId="46923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8</w:t>
                  </w:r>
                </w:p>
              </w:tc>
              <w:tc>
                <w:tcPr>
                  <w:tcW w:w="785" w:type="pct"/>
                  <w:tcBorders>
                    <w:tl2br w:val="nil"/>
                    <w:tr2bl w:val="nil"/>
                  </w:tcBorders>
                  <w:noWrap w:val="0"/>
                  <w:vAlign w:val="center"/>
                </w:tcPr>
                <w:p w14:paraId="253AE4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泄漏、爆炸</w:t>
                  </w:r>
                </w:p>
              </w:tc>
              <w:tc>
                <w:tcPr>
                  <w:tcW w:w="1399" w:type="pct"/>
                  <w:tcBorders>
                    <w:tl2br w:val="nil"/>
                    <w:tr2bl w:val="nil"/>
                  </w:tcBorders>
                  <w:noWrap w:val="0"/>
                  <w:vAlign w:val="center"/>
                </w:tcPr>
                <w:p w14:paraId="23624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0"/>
                      <w:sz w:val="21"/>
                      <w:szCs w:val="21"/>
                      <w:highlight w:val="none"/>
                      <w:vertAlign w:val="baseline"/>
                      <w:lang w:val="en-US" w:eastAsia="zh-CN"/>
                    </w:rPr>
                  </w:pPr>
                  <w:r>
                    <w:rPr>
                      <w:rFonts w:hint="eastAsia" w:ascii="Times New Roman" w:hAnsi="Times New Roman" w:eastAsia="宋体" w:cs="Times New Roman"/>
                      <w:b w:val="0"/>
                      <w:color w:val="auto"/>
                      <w:kern w:val="0"/>
                      <w:sz w:val="21"/>
                      <w:szCs w:val="21"/>
                      <w:highlight w:val="none"/>
                      <w:vertAlign w:val="baseline"/>
                      <w:lang w:val="en-US" w:eastAsia="zh-CN"/>
                    </w:rPr>
                    <w:t>大气、地下水、土壤</w:t>
                  </w:r>
                </w:p>
              </w:tc>
            </w:tr>
          </w:tbl>
          <w:p w14:paraId="62EE5CD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kern w:val="0"/>
                <w:sz w:val="24"/>
                <w:lang w:val="zh-CN" w:bidi="zh-CN"/>
              </w:rPr>
            </w:pPr>
            <w:r>
              <w:rPr>
                <w:rFonts w:ascii="Times New Roman" w:hAnsi="Times New Roman" w:eastAsia="宋体" w:cs="Times New Roman"/>
                <w:kern w:val="0"/>
                <w:sz w:val="24"/>
                <w:lang w:val="zh-CN" w:bidi="zh-CN"/>
              </w:rPr>
              <w:t>本项目废机油</w:t>
            </w:r>
            <w:r>
              <w:rPr>
                <w:rFonts w:hint="eastAsia" w:ascii="Times New Roman" w:hAnsi="Times New Roman" w:eastAsia="宋体" w:cs="Times New Roman"/>
                <w:kern w:val="0"/>
                <w:sz w:val="24"/>
                <w:lang w:val="zh-CN" w:bidi="zh-CN"/>
              </w:rPr>
              <w:t>、</w:t>
            </w:r>
            <w:r>
              <w:rPr>
                <w:rFonts w:hint="eastAsia" w:ascii="Times New Roman" w:hAnsi="Times New Roman" w:eastAsia="宋体" w:cs="Times New Roman"/>
                <w:kern w:val="0"/>
                <w:sz w:val="24"/>
                <w:lang w:val="en-US" w:bidi="zh-CN"/>
              </w:rPr>
              <w:t>柴油</w:t>
            </w:r>
            <w:r>
              <w:rPr>
                <w:rFonts w:ascii="Times New Roman" w:hAnsi="Times New Roman" w:eastAsia="宋体" w:cs="Times New Roman"/>
                <w:kern w:val="0"/>
                <w:sz w:val="24"/>
                <w:lang w:val="zh-CN" w:bidi="zh-CN"/>
              </w:rPr>
              <w:t>主要为危废间贮存</w:t>
            </w:r>
            <w:r>
              <w:rPr>
                <w:rFonts w:hint="eastAsia" w:ascii="Times New Roman" w:hAnsi="Times New Roman" w:eastAsia="宋体" w:cs="Times New Roman"/>
                <w:kern w:val="0"/>
                <w:sz w:val="24"/>
                <w:lang w:val="zh-CN" w:bidi="zh-CN"/>
              </w:rPr>
              <w:t>、</w:t>
            </w:r>
            <w:r>
              <w:rPr>
                <w:rFonts w:hint="eastAsia" w:ascii="Times New Roman" w:hAnsi="Times New Roman" w:eastAsia="宋体" w:cs="Times New Roman"/>
                <w:kern w:val="0"/>
                <w:sz w:val="24"/>
                <w:lang w:val="en-US" w:bidi="zh-CN"/>
              </w:rPr>
              <w:t>危险化学品间贮存</w:t>
            </w:r>
            <w:r>
              <w:rPr>
                <w:rFonts w:ascii="Times New Roman" w:hAnsi="Times New Roman" w:eastAsia="宋体" w:cs="Times New Roman"/>
                <w:kern w:val="0"/>
                <w:sz w:val="24"/>
                <w:lang w:val="zh-CN" w:bidi="zh-CN"/>
              </w:rPr>
              <w:t>过程中可能对周围环境产生环境风险影响</w:t>
            </w:r>
            <w:r>
              <w:rPr>
                <w:rFonts w:hint="eastAsia" w:ascii="Times New Roman" w:hAnsi="Times New Roman" w:eastAsia="宋体" w:cs="Times New Roman"/>
                <w:kern w:val="0"/>
                <w:sz w:val="24"/>
                <w:lang w:val="zh-CN" w:bidi="zh-CN"/>
              </w:rPr>
              <w:t>，</w:t>
            </w:r>
            <w:r>
              <w:rPr>
                <w:rFonts w:hint="eastAsia" w:ascii="Times New Roman" w:hAnsi="Times New Roman" w:eastAsia="宋体" w:cs="Times New Roman"/>
                <w:kern w:val="0"/>
                <w:sz w:val="24"/>
                <w:lang w:val="en-US" w:bidi="zh-CN"/>
              </w:rPr>
              <w:t>废机油</w:t>
            </w:r>
            <w:r>
              <w:rPr>
                <w:rFonts w:ascii="Times New Roman" w:hAnsi="Times New Roman" w:eastAsia="宋体" w:cs="Times New Roman"/>
                <w:kern w:val="0"/>
                <w:sz w:val="24"/>
                <w:lang w:val="zh-CN" w:bidi="zh-CN"/>
              </w:rPr>
              <w:t>理化性质见下表。</w:t>
            </w:r>
          </w:p>
          <w:p w14:paraId="7064BF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eastAsia" w:ascii="黑体" w:hAnsi="黑体" w:eastAsia="黑体" w:cs="黑体"/>
                <w:b w:val="0"/>
                <w:bCs w:val="0"/>
                <w:color w:val="auto"/>
                <w:kern w:val="2"/>
                <w:sz w:val="21"/>
                <w:szCs w:val="21"/>
                <w:lang w:val="en-US" w:eastAsia="zh-CN" w:bidi="ar-SA"/>
              </w:rPr>
            </w:pPr>
            <w:r>
              <w:rPr>
                <w:rFonts w:hint="eastAsia" w:ascii="黑体" w:hAnsi="黑体" w:eastAsia="黑体" w:cs="黑体"/>
                <w:b w:val="0"/>
                <w:bCs w:val="0"/>
                <w:color w:val="auto"/>
                <w:kern w:val="2"/>
                <w:sz w:val="21"/>
                <w:szCs w:val="21"/>
                <w:lang w:val="en-US" w:eastAsia="zh-CN" w:bidi="ar-SA"/>
              </w:rPr>
              <w:t>表4-26   废机油等油类物质理化特性及危险特性</w:t>
            </w:r>
          </w:p>
          <w:tbl>
            <w:tblPr>
              <w:tblStyle w:val="21"/>
              <w:tblW w:w="5000" w:type="pct"/>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6"/>
              <w:gridCol w:w="924"/>
              <w:gridCol w:w="205"/>
              <w:gridCol w:w="710"/>
              <w:gridCol w:w="894"/>
              <w:gridCol w:w="848"/>
              <w:gridCol w:w="146"/>
              <w:gridCol w:w="1174"/>
              <w:gridCol w:w="243"/>
              <w:gridCol w:w="1129"/>
              <w:gridCol w:w="450"/>
              <w:gridCol w:w="1296"/>
            </w:tblGrid>
            <w:tr w14:paraId="5DBF9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346" w:type="pct"/>
                  <w:vMerge w:val="restart"/>
                  <w:tcBorders>
                    <w:tl2br w:val="nil"/>
                    <w:tr2bl w:val="nil"/>
                  </w:tcBorders>
                  <w:noWrap w:val="0"/>
                  <w:vAlign w:val="center"/>
                </w:tcPr>
                <w:p w14:paraId="19F48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标识</w:t>
                  </w:r>
                </w:p>
              </w:tc>
              <w:tc>
                <w:tcPr>
                  <w:tcW w:w="536" w:type="pct"/>
                  <w:tcBorders>
                    <w:tl2br w:val="nil"/>
                    <w:tr2bl w:val="nil"/>
                  </w:tcBorders>
                  <w:noWrap w:val="0"/>
                  <w:vAlign w:val="center"/>
                </w:tcPr>
                <w:p w14:paraId="735255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中文名</w:t>
                  </w:r>
                </w:p>
              </w:tc>
              <w:tc>
                <w:tcPr>
                  <w:tcW w:w="530" w:type="pct"/>
                  <w:gridSpan w:val="2"/>
                  <w:tcBorders>
                    <w:tl2br w:val="nil"/>
                    <w:tr2bl w:val="nil"/>
                  </w:tcBorders>
                  <w:noWrap w:val="0"/>
                  <w:vAlign w:val="center"/>
                </w:tcPr>
                <w:p w14:paraId="3471A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润滑油</w:t>
                  </w:r>
                </w:p>
              </w:tc>
              <w:tc>
                <w:tcPr>
                  <w:tcW w:w="519" w:type="pct"/>
                  <w:tcBorders>
                    <w:tl2br w:val="nil"/>
                    <w:tr2bl w:val="nil"/>
                  </w:tcBorders>
                  <w:noWrap w:val="0"/>
                  <w:vAlign w:val="center"/>
                </w:tcPr>
                <w:p w14:paraId="319074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英文名</w:t>
                  </w:r>
                </w:p>
              </w:tc>
              <w:tc>
                <w:tcPr>
                  <w:tcW w:w="1399" w:type="pct"/>
                  <w:gridSpan w:val="4"/>
                  <w:tcBorders>
                    <w:tl2br w:val="nil"/>
                    <w:tr2bl w:val="nil"/>
                  </w:tcBorders>
                  <w:noWrap w:val="0"/>
                  <w:vAlign w:val="center"/>
                </w:tcPr>
                <w:p w14:paraId="2D984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r>
                    <w:rPr>
                      <w:rFonts w:ascii="Times New Roman" w:hAnsi="宋体" w:eastAsia="宋体" w:cs="宋体"/>
                      <w:kern w:val="2"/>
                      <w:sz w:val="21"/>
                      <w:szCs w:val="21"/>
                      <w:lang w:val="zh-CN" w:eastAsia="zh-CN" w:bidi="zh-CN"/>
                    </w:rPr>
                    <w:t>lubricating oil</w:t>
                  </w:r>
                </w:p>
              </w:tc>
              <w:tc>
                <w:tcPr>
                  <w:tcW w:w="916" w:type="pct"/>
                  <w:gridSpan w:val="2"/>
                  <w:tcBorders>
                    <w:tl2br w:val="nil"/>
                    <w:tr2bl w:val="nil"/>
                  </w:tcBorders>
                  <w:noWrap w:val="0"/>
                  <w:vAlign w:val="center"/>
                </w:tcPr>
                <w:p w14:paraId="7D5EE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Times New Roman" w:hAnsi="宋体" w:eastAsia="Times New Roman" w:cs="宋体"/>
                      <w:kern w:val="2"/>
                      <w:sz w:val="21"/>
                      <w:szCs w:val="21"/>
                      <w:lang w:val="zh-CN" w:eastAsia="zh-CN" w:bidi="zh-CN"/>
                    </w:rPr>
                    <w:t>CAS</w:t>
                  </w:r>
                  <w:r>
                    <w:rPr>
                      <w:rFonts w:ascii="宋体" w:hAnsi="宋体" w:eastAsia="宋体" w:cs="宋体"/>
                      <w:kern w:val="2"/>
                      <w:sz w:val="21"/>
                      <w:szCs w:val="21"/>
                      <w:lang w:val="zh-CN" w:eastAsia="zh-CN" w:bidi="zh-CN"/>
                    </w:rPr>
                    <w:t>编号</w:t>
                  </w:r>
                </w:p>
              </w:tc>
              <w:tc>
                <w:tcPr>
                  <w:tcW w:w="750" w:type="pct"/>
                  <w:tcBorders>
                    <w:tl2br w:val="nil"/>
                    <w:tr2bl w:val="nil"/>
                  </w:tcBorders>
                  <w:noWrap w:val="0"/>
                  <w:vAlign w:val="center"/>
                </w:tcPr>
                <w:p w14:paraId="0B9B0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r>
                    <w:rPr>
                      <w:rFonts w:ascii="Times New Roman" w:hAnsi="宋体" w:eastAsia="宋体" w:cs="宋体"/>
                      <w:kern w:val="2"/>
                      <w:sz w:val="21"/>
                      <w:szCs w:val="21"/>
                      <w:lang w:val="zh-CN" w:eastAsia="zh-CN" w:bidi="zh-CN"/>
                    </w:rPr>
                    <w:t>74869-22-0</w:t>
                  </w:r>
                </w:p>
              </w:tc>
            </w:tr>
            <w:tr w14:paraId="0B8C9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3AFE5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655" w:type="pct"/>
                  <w:gridSpan w:val="2"/>
                  <w:tcBorders>
                    <w:tl2br w:val="nil"/>
                    <w:tr2bl w:val="nil"/>
                  </w:tcBorders>
                  <w:noWrap w:val="0"/>
                  <w:vAlign w:val="center"/>
                </w:tcPr>
                <w:p w14:paraId="79341D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危险类别</w:t>
                  </w:r>
                </w:p>
              </w:tc>
              <w:tc>
                <w:tcPr>
                  <w:tcW w:w="3997" w:type="pct"/>
                  <w:gridSpan w:val="9"/>
                  <w:tcBorders>
                    <w:tl2br w:val="nil"/>
                    <w:tr2bl w:val="nil"/>
                  </w:tcBorders>
                  <w:noWrap w:val="0"/>
                  <w:vAlign w:val="center"/>
                </w:tcPr>
                <w:p w14:paraId="73231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r>
                    <w:rPr>
                      <w:rFonts w:ascii="Times New Roman" w:hAnsi="宋体" w:eastAsia="宋体" w:cs="宋体"/>
                      <w:w w:val="99"/>
                      <w:kern w:val="2"/>
                      <w:sz w:val="21"/>
                      <w:szCs w:val="21"/>
                      <w:lang w:val="zh-CN" w:eastAsia="zh-CN" w:bidi="zh-CN"/>
                    </w:rPr>
                    <w:t>/</w:t>
                  </w:r>
                </w:p>
              </w:tc>
            </w:tr>
            <w:tr w14:paraId="3BB82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restart"/>
                  <w:tcBorders>
                    <w:tl2br w:val="nil"/>
                    <w:tr2bl w:val="nil"/>
                  </w:tcBorders>
                  <w:noWrap w:val="0"/>
                  <w:vAlign w:val="center"/>
                </w:tcPr>
                <w:p w14:paraId="0DD237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理化性质</w:t>
                  </w:r>
                </w:p>
              </w:tc>
              <w:tc>
                <w:tcPr>
                  <w:tcW w:w="655" w:type="pct"/>
                  <w:gridSpan w:val="2"/>
                  <w:tcBorders>
                    <w:tl2br w:val="nil"/>
                    <w:tr2bl w:val="nil"/>
                  </w:tcBorders>
                  <w:noWrap w:val="0"/>
                  <w:vAlign w:val="center"/>
                </w:tcPr>
                <w:p w14:paraId="00425B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性状</w:t>
                  </w:r>
                </w:p>
              </w:tc>
              <w:tc>
                <w:tcPr>
                  <w:tcW w:w="3997" w:type="pct"/>
                  <w:gridSpan w:val="9"/>
                  <w:tcBorders>
                    <w:tl2br w:val="nil"/>
                    <w:tr2bl w:val="nil"/>
                  </w:tcBorders>
                  <w:noWrap w:val="0"/>
                  <w:vAlign w:val="center"/>
                </w:tcPr>
                <w:p w14:paraId="0B38A4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油状液体，淡黄色至褐色，无气味或略带异味。</w:t>
                  </w:r>
                </w:p>
              </w:tc>
            </w:tr>
            <w:tr w14:paraId="411A4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46" w:type="pct"/>
                  <w:vMerge w:val="continue"/>
                  <w:tcBorders>
                    <w:tl2br w:val="nil"/>
                    <w:tr2bl w:val="nil"/>
                  </w:tcBorders>
                  <w:noWrap w:val="0"/>
                  <w:vAlign w:val="center"/>
                </w:tcPr>
                <w:p w14:paraId="2F5E15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1CB28D32">
                  <w:pPr>
                    <w:keepNext w:val="0"/>
                    <w:keepLines w:val="0"/>
                    <w:pageBreakBefore w:val="0"/>
                    <w:widowControl w:val="0"/>
                    <w:tabs>
                      <w:tab w:val="left" w:pos="729"/>
                    </w:tabs>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熔点</w:t>
                  </w:r>
                  <w:r>
                    <w:rPr>
                      <w:rFonts w:ascii="宋体" w:hAnsi="宋体" w:eastAsia="宋体" w:cs="宋体"/>
                      <w:spacing w:val="2"/>
                      <w:kern w:val="2"/>
                      <w:sz w:val="21"/>
                      <w:szCs w:val="21"/>
                      <w:lang w:val="zh-CN" w:eastAsia="zh-CN" w:bidi="zh-CN"/>
                    </w:rPr>
                    <w:t>（℃）</w:t>
                  </w:r>
                </w:p>
              </w:tc>
              <w:tc>
                <w:tcPr>
                  <w:tcW w:w="1011" w:type="pct"/>
                  <w:gridSpan w:val="2"/>
                  <w:tcBorders>
                    <w:tl2br w:val="nil"/>
                    <w:tr2bl w:val="nil"/>
                  </w:tcBorders>
                  <w:noWrap w:val="0"/>
                  <w:vAlign w:val="center"/>
                </w:tcPr>
                <w:p w14:paraId="05B208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c>
                <w:tcPr>
                  <w:tcW w:w="1562" w:type="pct"/>
                  <w:gridSpan w:val="4"/>
                  <w:tcBorders>
                    <w:tl2br w:val="nil"/>
                    <w:tr2bl w:val="nil"/>
                  </w:tcBorders>
                  <w:noWrap w:val="0"/>
                  <w:vAlign w:val="center"/>
                </w:tcPr>
                <w:p w14:paraId="05C700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临界压力（</w:t>
                  </w:r>
                  <w:r>
                    <w:rPr>
                      <w:rFonts w:ascii="Times New Roman" w:hAnsi="宋体" w:eastAsia="Times New Roman" w:cs="宋体"/>
                      <w:kern w:val="2"/>
                      <w:sz w:val="21"/>
                      <w:szCs w:val="21"/>
                      <w:lang w:val="zh-CN" w:eastAsia="zh-CN" w:bidi="zh-CN"/>
                    </w:rPr>
                    <w:t>Mpa</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09EC1B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r>
            <w:tr w14:paraId="34D7E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22C74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5AB7E61B">
                  <w:pPr>
                    <w:keepNext w:val="0"/>
                    <w:keepLines w:val="0"/>
                    <w:pageBreakBefore w:val="0"/>
                    <w:widowControl w:val="0"/>
                    <w:tabs>
                      <w:tab w:val="left" w:pos="729"/>
                    </w:tabs>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沸点</w:t>
                  </w:r>
                  <w:r>
                    <w:rPr>
                      <w:rFonts w:ascii="宋体" w:hAnsi="宋体" w:eastAsia="宋体" w:cs="宋体"/>
                      <w:spacing w:val="2"/>
                      <w:kern w:val="2"/>
                      <w:sz w:val="21"/>
                      <w:szCs w:val="21"/>
                      <w:lang w:val="zh-CN" w:eastAsia="zh-CN" w:bidi="zh-CN"/>
                    </w:rPr>
                    <w:t>（℃）</w:t>
                  </w:r>
                </w:p>
              </w:tc>
              <w:tc>
                <w:tcPr>
                  <w:tcW w:w="1011" w:type="pct"/>
                  <w:gridSpan w:val="2"/>
                  <w:tcBorders>
                    <w:tl2br w:val="nil"/>
                    <w:tr2bl w:val="nil"/>
                  </w:tcBorders>
                  <w:noWrap w:val="0"/>
                  <w:vAlign w:val="center"/>
                </w:tcPr>
                <w:p w14:paraId="3B278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c>
                <w:tcPr>
                  <w:tcW w:w="1562" w:type="pct"/>
                  <w:gridSpan w:val="4"/>
                  <w:tcBorders>
                    <w:tl2br w:val="nil"/>
                    <w:tr2bl w:val="nil"/>
                  </w:tcBorders>
                  <w:noWrap w:val="0"/>
                  <w:vAlign w:val="center"/>
                </w:tcPr>
                <w:p w14:paraId="27BAC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相对密度（水＝</w:t>
                  </w:r>
                  <w:r>
                    <w:rPr>
                      <w:rFonts w:ascii="Times New Roman" w:hAnsi="宋体" w:eastAsia="Times New Roman" w:cs="宋体"/>
                      <w:kern w:val="2"/>
                      <w:sz w:val="21"/>
                      <w:szCs w:val="21"/>
                      <w:lang w:val="zh-CN" w:eastAsia="zh-CN" w:bidi="zh-CN"/>
                    </w:rPr>
                    <w:t>1</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044BF4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Times New Roman" w:cs="宋体"/>
                      <w:kern w:val="2"/>
                      <w:sz w:val="21"/>
                      <w:szCs w:val="21"/>
                      <w:lang w:val="zh-CN" w:eastAsia="zh-CN" w:bidi="zh-CN"/>
                    </w:rPr>
                  </w:pPr>
                  <w:r>
                    <w:rPr>
                      <w:rFonts w:ascii="Times New Roman" w:hAnsi="宋体" w:eastAsia="Times New Roman" w:cs="宋体"/>
                      <w:kern w:val="2"/>
                      <w:sz w:val="21"/>
                      <w:szCs w:val="21"/>
                      <w:lang w:val="zh-CN" w:eastAsia="zh-CN" w:bidi="zh-CN"/>
                    </w:rPr>
                    <w:t>0.82</w:t>
                  </w:r>
                  <w:r>
                    <w:rPr>
                      <w:rFonts w:hint="eastAsia" w:hAnsi="宋体" w:eastAsia="Times New Roman" w:cs="宋体"/>
                      <w:kern w:val="2"/>
                      <w:sz w:val="21"/>
                      <w:szCs w:val="21"/>
                      <w:lang w:val="zh-CN" w:eastAsia="zh-CN" w:bidi="zh-CN"/>
                    </w:rPr>
                    <w:t>~</w:t>
                  </w:r>
                  <w:r>
                    <w:rPr>
                      <w:rFonts w:ascii="Times New Roman" w:hAnsi="宋体" w:eastAsia="Times New Roman" w:cs="宋体"/>
                      <w:kern w:val="2"/>
                      <w:sz w:val="21"/>
                      <w:szCs w:val="21"/>
                      <w:lang w:val="zh-CN" w:eastAsia="zh-CN" w:bidi="zh-CN"/>
                    </w:rPr>
                    <w:t>0.93</w:t>
                  </w:r>
                </w:p>
              </w:tc>
            </w:tr>
            <w:tr w14:paraId="44363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55704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7086CB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spacing w:val="-5"/>
                      <w:kern w:val="2"/>
                      <w:sz w:val="21"/>
                      <w:szCs w:val="21"/>
                      <w:lang w:val="zh-CN" w:eastAsia="zh-CN" w:bidi="zh-CN"/>
                    </w:rPr>
                    <w:t>饱和蒸汽压</w:t>
                  </w:r>
                  <w:r>
                    <w:rPr>
                      <w:rFonts w:ascii="宋体" w:hAnsi="宋体" w:eastAsia="宋体" w:cs="宋体"/>
                      <w:kern w:val="2"/>
                      <w:sz w:val="21"/>
                      <w:szCs w:val="21"/>
                      <w:lang w:val="zh-CN" w:eastAsia="zh-CN" w:bidi="zh-CN"/>
                    </w:rPr>
                    <w:t>（</w:t>
                  </w:r>
                  <w:r>
                    <w:rPr>
                      <w:rFonts w:ascii="Times New Roman" w:hAnsi="宋体" w:eastAsia="Times New Roman" w:cs="宋体"/>
                      <w:kern w:val="2"/>
                      <w:sz w:val="21"/>
                      <w:szCs w:val="21"/>
                      <w:lang w:val="zh-CN" w:eastAsia="zh-CN" w:bidi="zh-CN"/>
                    </w:rPr>
                    <w:t>kpa</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6BBF7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c>
                <w:tcPr>
                  <w:tcW w:w="1562" w:type="pct"/>
                  <w:gridSpan w:val="4"/>
                  <w:tcBorders>
                    <w:tl2br w:val="nil"/>
                    <w:tr2bl w:val="nil"/>
                  </w:tcBorders>
                  <w:noWrap w:val="0"/>
                  <w:vAlign w:val="center"/>
                </w:tcPr>
                <w:p w14:paraId="2D41A4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相对密度（空气＝</w:t>
                  </w:r>
                  <w:r>
                    <w:rPr>
                      <w:rFonts w:ascii="Times New Roman" w:hAnsi="宋体" w:eastAsia="Times New Roman" w:cs="宋体"/>
                      <w:kern w:val="2"/>
                      <w:sz w:val="21"/>
                      <w:szCs w:val="21"/>
                      <w:lang w:val="zh-CN" w:eastAsia="zh-CN" w:bidi="zh-CN"/>
                    </w:rPr>
                    <w:t>1</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1BCDC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r>
            <w:tr w14:paraId="02D0F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5C00A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075183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临界温度（℃）</w:t>
                  </w:r>
                </w:p>
              </w:tc>
              <w:tc>
                <w:tcPr>
                  <w:tcW w:w="1011" w:type="pct"/>
                  <w:gridSpan w:val="2"/>
                  <w:tcBorders>
                    <w:tl2br w:val="nil"/>
                    <w:tr2bl w:val="nil"/>
                  </w:tcBorders>
                  <w:noWrap w:val="0"/>
                  <w:vAlign w:val="center"/>
                </w:tcPr>
                <w:p w14:paraId="55E95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c>
                <w:tcPr>
                  <w:tcW w:w="1562" w:type="pct"/>
                  <w:gridSpan w:val="4"/>
                  <w:tcBorders>
                    <w:tl2br w:val="nil"/>
                    <w:tr2bl w:val="nil"/>
                  </w:tcBorders>
                  <w:noWrap w:val="0"/>
                  <w:vAlign w:val="center"/>
                </w:tcPr>
                <w:p w14:paraId="27DDD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燃烧热（</w:t>
                  </w:r>
                  <w:r>
                    <w:rPr>
                      <w:rFonts w:ascii="Times New Roman" w:hAnsi="Times New Roman" w:eastAsia="Times New Roman" w:cs="宋体"/>
                      <w:kern w:val="2"/>
                      <w:sz w:val="21"/>
                      <w:szCs w:val="21"/>
                      <w:lang w:val="zh-CN" w:eastAsia="zh-CN" w:bidi="zh-CN"/>
                    </w:rPr>
                    <w:t>KJ·mol-1</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11940D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r>
            <w:tr w14:paraId="07F02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0C2B5A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0D0FF4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溶 解 性</w:t>
                  </w:r>
                </w:p>
              </w:tc>
              <w:tc>
                <w:tcPr>
                  <w:tcW w:w="3585" w:type="pct"/>
                  <w:gridSpan w:val="8"/>
                  <w:tcBorders>
                    <w:tl2br w:val="nil"/>
                    <w:tr2bl w:val="nil"/>
                  </w:tcBorders>
                  <w:noWrap w:val="0"/>
                  <w:vAlign w:val="center"/>
                </w:tcPr>
                <w:p w14:paraId="33EA02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不溶于水</w:t>
                  </w:r>
                </w:p>
              </w:tc>
            </w:tr>
            <w:tr w14:paraId="65E70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346" w:type="pct"/>
                  <w:vMerge w:val="restart"/>
                  <w:tcBorders>
                    <w:tl2br w:val="nil"/>
                    <w:tr2bl w:val="nil"/>
                  </w:tcBorders>
                  <w:noWrap w:val="0"/>
                  <w:vAlign w:val="center"/>
                </w:tcPr>
                <w:p w14:paraId="67CAA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燃烧爆炸危险性</w:t>
                  </w:r>
                </w:p>
              </w:tc>
              <w:tc>
                <w:tcPr>
                  <w:tcW w:w="1067" w:type="pct"/>
                  <w:gridSpan w:val="3"/>
                  <w:tcBorders>
                    <w:tl2br w:val="nil"/>
                    <w:tr2bl w:val="nil"/>
                  </w:tcBorders>
                  <w:noWrap w:val="0"/>
                  <w:vAlign w:val="center"/>
                </w:tcPr>
                <w:p w14:paraId="629BD878">
                  <w:pPr>
                    <w:keepNext w:val="0"/>
                    <w:keepLines w:val="0"/>
                    <w:pageBreakBefore w:val="0"/>
                    <w:widowControl w:val="0"/>
                    <w:tabs>
                      <w:tab w:val="left" w:pos="835"/>
                      <w:tab w:val="left" w:pos="1262"/>
                    </w:tabs>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燃烧性</w:t>
                  </w:r>
                </w:p>
              </w:tc>
              <w:tc>
                <w:tcPr>
                  <w:tcW w:w="1011" w:type="pct"/>
                  <w:gridSpan w:val="2"/>
                  <w:tcBorders>
                    <w:tl2br w:val="nil"/>
                    <w:tr2bl w:val="nil"/>
                  </w:tcBorders>
                  <w:noWrap w:val="0"/>
                  <w:vAlign w:val="center"/>
                </w:tcPr>
                <w:p w14:paraId="30D57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可燃</w:t>
                  </w:r>
                </w:p>
              </w:tc>
              <w:tc>
                <w:tcPr>
                  <w:tcW w:w="1562" w:type="pct"/>
                  <w:gridSpan w:val="4"/>
                  <w:tcBorders>
                    <w:tl2br w:val="nil"/>
                    <w:tr2bl w:val="nil"/>
                  </w:tcBorders>
                  <w:noWrap w:val="0"/>
                  <w:vAlign w:val="center"/>
                </w:tcPr>
                <w:p w14:paraId="598D46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闪点（℃）</w:t>
                  </w:r>
                </w:p>
              </w:tc>
              <w:tc>
                <w:tcPr>
                  <w:tcW w:w="1011" w:type="pct"/>
                  <w:gridSpan w:val="2"/>
                  <w:tcBorders>
                    <w:tl2br w:val="nil"/>
                    <w:tr2bl w:val="nil"/>
                  </w:tcBorders>
                  <w:noWrap w:val="0"/>
                  <w:vAlign w:val="center"/>
                </w:tcPr>
                <w:p w14:paraId="152F5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Times New Roman" w:cs="宋体"/>
                      <w:kern w:val="2"/>
                      <w:sz w:val="21"/>
                      <w:szCs w:val="21"/>
                      <w:lang w:val="zh-CN" w:eastAsia="zh-CN" w:bidi="zh-CN"/>
                    </w:rPr>
                  </w:pPr>
                  <w:r>
                    <w:rPr>
                      <w:rFonts w:hint="eastAsia" w:ascii="宋体" w:hAnsi="宋体" w:cs="宋体"/>
                      <w:kern w:val="2"/>
                      <w:sz w:val="21"/>
                      <w:szCs w:val="21"/>
                      <w:lang w:val="zh-CN" w:eastAsia="zh-CN" w:bidi="zh-CN"/>
                    </w:rPr>
                    <w:t>&gt;</w:t>
                  </w:r>
                  <w:r>
                    <w:rPr>
                      <w:rFonts w:ascii="Times New Roman" w:hAnsi="宋体" w:eastAsia="Times New Roman" w:cs="宋体"/>
                      <w:kern w:val="2"/>
                      <w:sz w:val="21"/>
                      <w:szCs w:val="21"/>
                      <w:lang w:val="zh-CN" w:eastAsia="zh-CN" w:bidi="zh-CN"/>
                    </w:rPr>
                    <w:t>61</w:t>
                  </w:r>
                </w:p>
              </w:tc>
            </w:tr>
            <w:tr w14:paraId="571D6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346" w:type="pct"/>
                  <w:vMerge w:val="continue"/>
                  <w:tcBorders>
                    <w:tl2br w:val="nil"/>
                    <w:tr2bl w:val="nil"/>
                  </w:tcBorders>
                  <w:noWrap w:val="0"/>
                  <w:vAlign w:val="center"/>
                </w:tcPr>
                <w:p w14:paraId="1BEBC4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722AED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爆炸极限（％）</w:t>
                  </w:r>
                </w:p>
              </w:tc>
              <w:tc>
                <w:tcPr>
                  <w:tcW w:w="1011" w:type="pct"/>
                  <w:gridSpan w:val="2"/>
                  <w:tcBorders>
                    <w:tl2br w:val="nil"/>
                    <w:tr2bl w:val="nil"/>
                  </w:tcBorders>
                  <w:noWrap w:val="0"/>
                  <w:vAlign w:val="center"/>
                </w:tcPr>
                <w:p w14:paraId="792E84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c>
                <w:tcPr>
                  <w:tcW w:w="1562" w:type="pct"/>
                  <w:gridSpan w:val="4"/>
                  <w:tcBorders>
                    <w:tl2br w:val="nil"/>
                    <w:tr2bl w:val="nil"/>
                  </w:tcBorders>
                  <w:noWrap w:val="0"/>
                  <w:vAlign w:val="center"/>
                </w:tcPr>
                <w:p w14:paraId="55D52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最小点火能（</w:t>
                  </w:r>
                  <w:r>
                    <w:rPr>
                      <w:rFonts w:ascii="Times New Roman" w:hAnsi="宋体" w:eastAsia="Times New Roman" w:cs="宋体"/>
                      <w:kern w:val="2"/>
                      <w:sz w:val="21"/>
                      <w:szCs w:val="21"/>
                      <w:lang w:val="zh-CN" w:eastAsia="zh-CN" w:bidi="zh-CN"/>
                    </w:rPr>
                    <w:t>MJ</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7480CD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p>
              </w:tc>
            </w:tr>
            <w:tr w14:paraId="7C452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346" w:type="pct"/>
                  <w:vMerge w:val="continue"/>
                  <w:tcBorders>
                    <w:tl2br w:val="nil"/>
                    <w:tr2bl w:val="nil"/>
                  </w:tcBorders>
                  <w:noWrap w:val="0"/>
                  <w:vAlign w:val="center"/>
                </w:tcPr>
                <w:p w14:paraId="28960D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1067" w:type="pct"/>
                  <w:gridSpan w:val="3"/>
                  <w:tcBorders>
                    <w:tl2br w:val="nil"/>
                    <w:tr2bl w:val="nil"/>
                  </w:tcBorders>
                  <w:noWrap w:val="0"/>
                  <w:vAlign w:val="center"/>
                </w:tcPr>
                <w:p w14:paraId="1A39D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引燃温度（℃）</w:t>
                  </w:r>
                </w:p>
              </w:tc>
              <w:tc>
                <w:tcPr>
                  <w:tcW w:w="1011" w:type="pct"/>
                  <w:gridSpan w:val="2"/>
                  <w:tcBorders>
                    <w:tl2br w:val="nil"/>
                    <w:tr2bl w:val="nil"/>
                  </w:tcBorders>
                  <w:noWrap w:val="0"/>
                  <w:vAlign w:val="center"/>
                </w:tcPr>
                <w:p w14:paraId="341F67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r>
                    <w:rPr>
                      <w:rFonts w:ascii="Times New Roman" w:hAnsi="宋体" w:eastAsia="宋体" w:cs="宋体"/>
                      <w:kern w:val="2"/>
                      <w:sz w:val="21"/>
                      <w:szCs w:val="21"/>
                      <w:lang w:val="zh-CN" w:eastAsia="zh-CN" w:bidi="zh-CN"/>
                    </w:rPr>
                    <w:t>248</w:t>
                  </w:r>
                </w:p>
              </w:tc>
              <w:tc>
                <w:tcPr>
                  <w:tcW w:w="1562" w:type="pct"/>
                  <w:gridSpan w:val="4"/>
                  <w:tcBorders>
                    <w:tl2br w:val="nil"/>
                    <w:tr2bl w:val="nil"/>
                  </w:tcBorders>
                  <w:noWrap w:val="0"/>
                  <w:vAlign w:val="center"/>
                </w:tcPr>
                <w:p w14:paraId="3857F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最大爆炸压力（</w:t>
                  </w:r>
                  <w:r>
                    <w:rPr>
                      <w:rFonts w:ascii="Times New Roman" w:hAnsi="宋体" w:eastAsia="Times New Roman" w:cs="宋体"/>
                      <w:kern w:val="2"/>
                      <w:sz w:val="21"/>
                      <w:szCs w:val="21"/>
                      <w:lang w:val="zh-CN" w:eastAsia="zh-CN" w:bidi="zh-CN"/>
                    </w:rPr>
                    <w:t>Mpa</w:t>
                  </w:r>
                  <w:r>
                    <w:rPr>
                      <w:rFonts w:ascii="宋体" w:hAnsi="宋体" w:eastAsia="宋体" w:cs="宋体"/>
                      <w:kern w:val="2"/>
                      <w:sz w:val="21"/>
                      <w:szCs w:val="21"/>
                      <w:lang w:val="zh-CN" w:eastAsia="zh-CN" w:bidi="zh-CN"/>
                    </w:rPr>
                    <w:t>）</w:t>
                  </w:r>
                </w:p>
              </w:tc>
              <w:tc>
                <w:tcPr>
                  <w:tcW w:w="1011" w:type="pct"/>
                  <w:gridSpan w:val="2"/>
                  <w:tcBorders>
                    <w:tl2br w:val="nil"/>
                    <w:tr2bl w:val="nil"/>
                  </w:tcBorders>
                  <w:noWrap w:val="0"/>
                  <w:vAlign w:val="center"/>
                </w:tcPr>
                <w:p w14:paraId="090352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p>
              </w:tc>
            </w:tr>
            <w:tr w14:paraId="24B82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5F772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655" w:type="pct"/>
                  <w:gridSpan w:val="2"/>
                  <w:tcBorders>
                    <w:tl2br w:val="nil"/>
                    <w:tr2bl w:val="nil"/>
                  </w:tcBorders>
                  <w:noWrap w:val="0"/>
                  <w:vAlign w:val="center"/>
                </w:tcPr>
                <w:p w14:paraId="60AB96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危险特性</w:t>
                  </w:r>
                </w:p>
              </w:tc>
              <w:tc>
                <w:tcPr>
                  <w:tcW w:w="3997" w:type="pct"/>
                  <w:gridSpan w:val="9"/>
                  <w:tcBorders>
                    <w:tl2br w:val="nil"/>
                    <w:tr2bl w:val="nil"/>
                  </w:tcBorders>
                  <w:noWrap w:val="0"/>
                  <w:vAlign w:val="center"/>
                </w:tcPr>
                <w:p w14:paraId="4311D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遇明火、高热可燃。</w:t>
                  </w:r>
                </w:p>
              </w:tc>
            </w:tr>
            <w:tr w14:paraId="42DB3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2" w:hRule="atLeast"/>
              </w:trPr>
              <w:tc>
                <w:tcPr>
                  <w:tcW w:w="346" w:type="pct"/>
                  <w:vMerge w:val="continue"/>
                  <w:tcBorders>
                    <w:tl2br w:val="nil"/>
                    <w:tr2bl w:val="nil"/>
                  </w:tcBorders>
                  <w:noWrap w:val="0"/>
                  <w:vAlign w:val="center"/>
                </w:tcPr>
                <w:p w14:paraId="7FFFA8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655" w:type="pct"/>
                  <w:gridSpan w:val="2"/>
                  <w:tcBorders>
                    <w:tl2br w:val="nil"/>
                    <w:tr2bl w:val="nil"/>
                  </w:tcBorders>
                  <w:noWrap w:val="0"/>
                  <w:vAlign w:val="center"/>
                </w:tcPr>
                <w:p w14:paraId="6A5F0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灭火方法</w:t>
                  </w:r>
                </w:p>
              </w:tc>
              <w:tc>
                <w:tcPr>
                  <w:tcW w:w="3997" w:type="pct"/>
                  <w:gridSpan w:val="9"/>
                  <w:tcBorders>
                    <w:tl2br w:val="nil"/>
                    <w:tr2bl w:val="nil"/>
                  </w:tcBorders>
                  <w:noWrap w:val="0"/>
                  <w:vAlign w:val="center"/>
                </w:tcPr>
                <w:p w14:paraId="7AA49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spacing w:val="-6"/>
                      <w:kern w:val="2"/>
                      <w:sz w:val="21"/>
                      <w:szCs w:val="21"/>
                      <w:lang w:val="zh-CN" w:eastAsia="zh-CN" w:bidi="zh-CN"/>
                    </w:rPr>
                    <w:t>消防人员须佩戴防毒面具、穿全身消防服，在上风向灭火。尽可能将容器</w:t>
                  </w:r>
                  <w:r>
                    <w:rPr>
                      <w:rFonts w:ascii="宋体" w:hAnsi="宋体" w:eastAsia="宋体" w:cs="宋体"/>
                      <w:spacing w:val="-7"/>
                      <w:kern w:val="2"/>
                      <w:sz w:val="21"/>
                      <w:szCs w:val="21"/>
                      <w:lang w:val="zh-CN" w:eastAsia="zh-CN" w:bidi="zh-CN"/>
                    </w:rPr>
                    <w:t>从火场移至空旷处。喷水保持火场容器冷却，直至灭火结束。处在火场中</w:t>
                  </w:r>
                  <w:r>
                    <w:rPr>
                      <w:rFonts w:ascii="宋体" w:hAnsi="宋体" w:eastAsia="宋体" w:cs="宋体"/>
                      <w:spacing w:val="-1"/>
                      <w:kern w:val="2"/>
                      <w:sz w:val="21"/>
                      <w:szCs w:val="21"/>
                      <w:lang w:val="zh-CN" w:eastAsia="zh-CN" w:bidi="zh-CN"/>
                    </w:rPr>
                    <w:t>的容器若已变色或从安全泄压装置中产生声音，必须马上撤离。灭火剂：</w:t>
                  </w:r>
                  <w:r>
                    <w:rPr>
                      <w:rFonts w:ascii="宋体" w:hAnsi="宋体" w:eastAsia="宋体" w:cs="宋体"/>
                      <w:kern w:val="2"/>
                      <w:sz w:val="21"/>
                      <w:szCs w:val="21"/>
                      <w:lang w:val="zh-CN" w:eastAsia="zh-CN" w:bidi="zh-CN"/>
                    </w:rPr>
                    <w:t>雾状水、泡沫、干粉、二氧化碳、砂土。</w:t>
                  </w:r>
                </w:p>
              </w:tc>
            </w:tr>
            <w:tr w14:paraId="7FD8E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4C9DDE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655" w:type="pct"/>
                  <w:gridSpan w:val="2"/>
                  <w:tcBorders>
                    <w:tl2br w:val="nil"/>
                    <w:tr2bl w:val="nil"/>
                  </w:tcBorders>
                  <w:noWrap w:val="0"/>
                  <w:vAlign w:val="center"/>
                </w:tcPr>
                <w:p w14:paraId="5D41D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禁忌物</w:t>
                  </w:r>
                </w:p>
              </w:tc>
              <w:tc>
                <w:tcPr>
                  <w:tcW w:w="2330" w:type="pct"/>
                  <w:gridSpan w:val="6"/>
                  <w:tcBorders>
                    <w:tl2br w:val="nil"/>
                    <w:tr2bl w:val="nil"/>
                  </w:tcBorders>
                  <w:noWrap w:val="0"/>
                  <w:vAlign w:val="center"/>
                </w:tcPr>
                <w:p w14:paraId="35C418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宋体" w:eastAsia="宋体" w:cs="宋体"/>
                      <w:kern w:val="2"/>
                      <w:sz w:val="21"/>
                      <w:szCs w:val="21"/>
                      <w:lang w:val="zh-CN" w:eastAsia="zh-CN" w:bidi="zh-CN"/>
                    </w:rPr>
                  </w:pPr>
                  <w:r>
                    <w:rPr>
                      <w:rFonts w:ascii="Times New Roman" w:hAnsi="宋体" w:eastAsia="宋体" w:cs="宋体"/>
                      <w:w w:val="99"/>
                      <w:kern w:val="2"/>
                      <w:sz w:val="21"/>
                      <w:szCs w:val="21"/>
                      <w:lang w:val="zh-CN" w:eastAsia="zh-CN" w:bidi="zh-CN"/>
                    </w:rPr>
                    <w:t>/</w:t>
                  </w:r>
                </w:p>
              </w:tc>
              <w:tc>
                <w:tcPr>
                  <w:tcW w:w="916" w:type="pct"/>
                  <w:gridSpan w:val="2"/>
                  <w:tcBorders>
                    <w:tl2br w:val="nil"/>
                    <w:tr2bl w:val="nil"/>
                  </w:tcBorders>
                  <w:noWrap w:val="0"/>
                  <w:vAlign w:val="center"/>
                </w:tcPr>
                <w:p w14:paraId="7E9CB7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稳定性</w:t>
                  </w:r>
                </w:p>
              </w:tc>
              <w:tc>
                <w:tcPr>
                  <w:tcW w:w="750" w:type="pct"/>
                  <w:tcBorders>
                    <w:tl2br w:val="nil"/>
                    <w:tr2bl w:val="nil"/>
                  </w:tcBorders>
                  <w:noWrap w:val="0"/>
                  <w:vAlign w:val="center"/>
                </w:tcPr>
                <w:p w14:paraId="1B52BD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稳定</w:t>
                  </w:r>
                </w:p>
              </w:tc>
            </w:tr>
            <w:tr w14:paraId="432D5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346" w:type="pct"/>
                  <w:vMerge w:val="continue"/>
                  <w:tcBorders>
                    <w:tl2br w:val="nil"/>
                    <w:tr2bl w:val="nil"/>
                  </w:tcBorders>
                  <w:noWrap w:val="0"/>
                  <w:vAlign w:val="center"/>
                </w:tcPr>
                <w:p w14:paraId="67074E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p>
              </w:tc>
              <w:tc>
                <w:tcPr>
                  <w:tcW w:w="655" w:type="pct"/>
                  <w:gridSpan w:val="2"/>
                  <w:tcBorders>
                    <w:tl2br w:val="nil"/>
                    <w:tr2bl w:val="nil"/>
                  </w:tcBorders>
                  <w:noWrap w:val="0"/>
                  <w:vAlign w:val="center"/>
                </w:tcPr>
                <w:p w14:paraId="3E10B7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燃烧产物</w:t>
                  </w:r>
                </w:p>
              </w:tc>
              <w:tc>
                <w:tcPr>
                  <w:tcW w:w="2330" w:type="pct"/>
                  <w:gridSpan w:val="6"/>
                  <w:tcBorders>
                    <w:tl2br w:val="nil"/>
                    <w:tr2bl w:val="nil"/>
                  </w:tcBorders>
                  <w:noWrap w:val="0"/>
                  <w:vAlign w:val="center"/>
                </w:tcPr>
                <w:p w14:paraId="203240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一氧化碳、二氧化碳</w:t>
                  </w:r>
                </w:p>
              </w:tc>
              <w:tc>
                <w:tcPr>
                  <w:tcW w:w="916" w:type="pct"/>
                  <w:gridSpan w:val="2"/>
                  <w:tcBorders>
                    <w:tl2br w:val="nil"/>
                    <w:tr2bl w:val="nil"/>
                  </w:tcBorders>
                  <w:noWrap w:val="0"/>
                  <w:vAlign w:val="center"/>
                </w:tcPr>
                <w:p w14:paraId="4EE9F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聚合危害</w:t>
                  </w:r>
                </w:p>
              </w:tc>
              <w:tc>
                <w:tcPr>
                  <w:tcW w:w="750" w:type="pct"/>
                  <w:tcBorders>
                    <w:tl2br w:val="nil"/>
                    <w:tr2bl w:val="nil"/>
                  </w:tcBorders>
                  <w:noWrap w:val="0"/>
                  <w:vAlign w:val="center"/>
                </w:tcPr>
                <w:p w14:paraId="5A0A1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不聚合</w:t>
                  </w:r>
                </w:p>
              </w:tc>
            </w:tr>
            <w:tr w14:paraId="7BD17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 w:hRule="atLeast"/>
              </w:trPr>
              <w:tc>
                <w:tcPr>
                  <w:tcW w:w="346" w:type="pct"/>
                  <w:tcBorders>
                    <w:tl2br w:val="nil"/>
                    <w:tr2bl w:val="nil"/>
                  </w:tcBorders>
                  <w:noWrap w:val="0"/>
                  <w:vAlign w:val="center"/>
                </w:tcPr>
                <w:p w14:paraId="21E6F9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w w:val="99"/>
                      <w:kern w:val="2"/>
                      <w:sz w:val="21"/>
                      <w:szCs w:val="21"/>
                      <w:lang w:val="zh-CN" w:eastAsia="zh-CN" w:bidi="zh-CN"/>
                    </w:rPr>
                    <w:t>毒</w:t>
                  </w:r>
                </w:p>
                <w:p w14:paraId="78CDB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w w:val="99"/>
                      <w:kern w:val="2"/>
                      <w:sz w:val="21"/>
                      <w:szCs w:val="21"/>
                      <w:lang w:val="zh-CN" w:eastAsia="zh-CN" w:bidi="zh-CN"/>
                    </w:rPr>
                    <w:t>性</w:t>
                  </w:r>
                </w:p>
              </w:tc>
              <w:tc>
                <w:tcPr>
                  <w:tcW w:w="655" w:type="pct"/>
                  <w:gridSpan w:val="2"/>
                  <w:tcBorders>
                    <w:tl2br w:val="nil"/>
                    <w:tr2bl w:val="nil"/>
                  </w:tcBorders>
                  <w:noWrap w:val="0"/>
                  <w:vAlign w:val="center"/>
                </w:tcPr>
                <w:p w14:paraId="331B69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急性</w:t>
                  </w:r>
                </w:p>
                <w:p w14:paraId="327446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毒性</w:t>
                  </w:r>
                </w:p>
              </w:tc>
              <w:tc>
                <w:tcPr>
                  <w:tcW w:w="1508" w:type="pct"/>
                  <w:gridSpan w:val="4"/>
                  <w:tcBorders>
                    <w:tl2br w:val="nil"/>
                    <w:tr2bl w:val="nil"/>
                  </w:tcBorders>
                  <w:noWrap w:val="0"/>
                  <w:vAlign w:val="center"/>
                </w:tcPr>
                <w:p w14:paraId="4FF3A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Times New Roman" w:hAnsi="宋体" w:eastAsia="Times New Roman" w:cs="宋体"/>
                      <w:kern w:val="2"/>
                      <w:sz w:val="21"/>
                      <w:szCs w:val="21"/>
                      <w:lang w:val="zh-CN" w:eastAsia="zh-CN" w:bidi="zh-CN"/>
                    </w:rPr>
                    <w:t>LD50</w:t>
                  </w:r>
                  <w:r>
                    <w:rPr>
                      <w:rFonts w:ascii="宋体" w:hAnsi="宋体" w:eastAsia="宋体" w:cs="宋体"/>
                      <w:kern w:val="2"/>
                      <w:sz w:val="21"/>
                      <w:szCs w:val="21"/>
                      <w:lang w:val="zh-CN" w:eastAsia="zh-CN" w:bidi="zh-CN"/>
                    </w:rPr>
                    <w:t>（</w:t>
                  </w:r>
                  <w:r>
                    <w:rPr>
                      <w:rFonts w:ascii="Times New Roman" w:hAnsi="宋体" w:eastAsia="Times New Roman" w:cs="宋体"/>
                      <w:kern w:val="2"/>
                      <w:sz w:val="21"/>
                      <w:szCs w:val="21"/>
                      <w:lang w:val="zh-CN" w:eastAsia="zh-CN" w:bidi="zh-CN"/>
                    </w:rPr>
                    <w:t>mg/kg</w:t>
                  </w:r>
                  <w:r>
                    <w:rPr>
                      <w:rFonts w:ascii="宋体" w:hAnsi="宋体" w:eastAsia="宋体" w:cs="宋体"/>
                      <w:kern w:val="2"/>
                      <w:sz w:val="21"/>
                      <w:szCs w:val="21"/>
                      <w:lang w:val="zh-CN" w:eastAsia="zh-CN" w:bidi="zh-CN"/>
                    </w:rPr>
                    <w:t>，大鼠经口）</w:t>
                  </w:r>
                </w:p>
              </w:tc>
              <w:tc>
                <w:tcPr>
                  <w:tcW w:w="681" w:type="pct"/>
                  <w:tcBorders>
                    <w:tl2br w:val="nil"/>
                    <w:tr2bl w:val="nil"/>
                  </w:tcBorders>
                  <w:noWrap w:val="0"/>
                  <w:vAlign w:val="center"/>
                </w:tcPr>
                <w:p w14:paraId="71E0B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c>
                <w:tcPr>
                  <w:tcW w:w="1056" w:type="pct"/>
                  <w:gridSpan w:val="3"/>
                  <w:tcBorders>
                    <w:tl2br w:val="nil"/>
                    <w:tr2bl w:val="nil"/>
                  </w:tcBorders>
                  <w:noWrap w:val="0"/>
                  <w:vAlign w:val="center"/>
                </w:tcPr>
                <w:p w14:paraId="3673DD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Times New Roman" w:hAnsi="宋体" w:eastAsia="Times New Roman" w:cs="宋体"/>
                      <w:kern w:val="2"/>
                      <w:sz w:val="21"/>
                      <w:szCs w:val="21"/>
                      <w:lang w:val="zh-CN" w:eastAsia="zh-CN" w:bidi="zh-CN"/>
                    </w:rPr>
                    <w:t>LC50</w:t>
                  </w:r>
                  <w:r>
                    <w:rPr>
                      <w:rFonts w:ascii="宋体" w:hAnsi="宋体" w:eastAsia="宋体" w:cs="宋体"/>
                      <w:kern w:val="2"/>
                      <w:sz w:val="21"/>
                      <w:szCs w:val="21"/>
                      <w:lang w:val="zh-CN" w:eastAsia="zh-CN" w:bidi="zh-CN"/>
                    </w:rPr>
                    <w:t>（</w:t>
                  </w:r>
                  <w:r>
                    <w:rPr>
                      <w:rFonts w:ascii="Times New Roman" w:hAnsi="宋体" w:eastAsia="Times New Roman" w:cs="宋体"/>
                      <w:kern w:val="2"/>
                      <w:sz w:val="21"/>
                      <w:szCs w:val="21"/>
                      <w:lang w:val="zh-CN" w:eastAsia="zh-CN" w:bidi="zh-CN"/>
                    </w:rPr>
                    <w:t>mg/kg</w:t>
                  </w:r>
                  <w:r>
                    <w:rPr>
                      <w:rFonts w:ascii="宋体" w:hAnsi="宋体" w:eastAsia="宋体" w:cs="宋体"/>
                      <w:kern w:val="2"/>
                      <w:sz w:val="21"/>
                      <w:szCs w:val="21"/>
                      <w:lang w:val="zh-CN" w:eastAsia="zh-CN" w:bidi="zh-CN"/>
                    </w:rPr>
                    <w:t>）</w:t>
                  </w:r>
                </w:p>
              </w:tc>
              <w:tc>
                <w:tcPr>
                  <w:tcW w:w="750" w:type="pct"/>
                  <w:tcBorders>
                    <w:tl2br w:val="nil"/>
                    <w:tr2bl w:val="nil"/>
                  </w:tcBorders>
                  <w:noWrap w:val="0"/>
                  <w:vAlign w:val="center"/>
                </w:tcPr>
                <w:p w14:paraId="67D5E2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无资料</w:t>
                  </w:r>
                </w:p>
              </w:tc>
            </w:tr>
            <w:tr w14:paraId="0B4F0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345" w:type="pct"/>
                  <w:tcBorders>
                    <w:tl2br w:val="nil"/>
                    <w:tr2bl w:val="nil"/>
                  </w:tcBorders>
                  <w:noWrap w:val="0"/>
                  <w:vAlign w:val="center"/>
                </w:tcPr>
                <w:p w14:paraId="2877E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及健康危</w:t>
                  </w:r>
                </w:p>
                <w:p w14:paraId="03A7D0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w w:val="99"/>
                      <w:kern w:val="2"/>
                      <w:sz w:val="21"/>
                      <w:szCs w:val="21"/>
                      <w:lang w:val="zh-CN" w:eastAsia="zh-CN" w:bidi="zh-CN"/>
                    </w:rPr>
                    <w:t>害</w:t>
                  </w:r>
                </w:p>
              </w:tc>
              <w:tc>
                <w:tcPr>
                  <w:tcW w:w="655" w:type="pct"/>
                  <w:gridSpan w:val="2"/>
                  <w:tcBorders>
                    <w:tl2br w:val="nil"/>
                    <w:tr2bl w:val="nil"/>
                  </w:tcBorders>
                  <w:noWrap w:val="0"/>
                  <w:vAlign w:val="center"/>
                </w:tcPr>
                <w:p w14:paraId="281CD9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健康危害</w:t>
                  </w:r>
                </w:p>
              </w:tc>
              <w:tc>
                <w:tcPr>
                  <w:tcW w:w="3997" w:type="pct"/>
                  <w:gridSpan w:val="9"/>
                  <w:tcBorders>
                    <w:tl2br w:val="nil"/>
                    <w:tr2bl w:val="nil"/>
                  </w:tcBorders>
                  <w:noWrap w:val="0"/>
                  <w:vAlign w:val="center"/>
                </w:tcPr>
                <w:p w14:paraId="76050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spacing w:val="-8"/>
                      <w:w w:val="95"/>
                      <w:kern w:val="2"/>
                      <w:sz w:val="21"/>
                      <w:szCs w:val="21"/>
                      <w:lang w:val="zh-CN" w:eastAsia="zh-CN" w:bidi="zh-CN"/>
                    </w:rPr>
                    <w:t>侵入途径：</w:t>
                  </w:r>
                  <w:r>
                    <w:rPr>
                      <w:rFonts w:hint="eastAsia" w:ascii="宋体" w:hAnsi="宋体" w:cs="宋体"/>
                      <w:spacing w:val="-8"/>
                      <w:w w:val="95"/>
                      <w:kern w:val="2"/>
                      <w:sz w:val="21"/>
                      <w:szCs w:val="21"/>
                      <w:lang w:val="zh-CN" w:eastAsia="zh-CN" w:bidi="zh-CN"/>
                    </w:rPr>
                    <w:t>吸入</w:t>
                  </w:r>
                  <w:r>
                    <w:rPr>
                      <w:rFonts w:ascii="宋体" w:hAnsi="宋体" w:eastAsia="宋体" w:cs="宋体"/>
                      <w:spacing w:val="-8"/>
                      <w:w w:val="95"/>
                      <w:kern w:val="2"/>
                      <w:sz w:val="21"/>
                      <w:szCs w:val="21"/>
                      <w:lang w:val="zh-CN" w:eastAsia="zh-CN" w:bidi="zh-CN"/>
                    </w:rPr>
                    <w:t>、食入；急性吸入，可出现乏力、头晕、头痛、恶心，严</w:t>
                  </w:r>
                  <w:r>
                    <w:rPr>
                      <w:rFonts w:ascii="宋体" w:hAnsi="宋体" w:eastAsia="宋体" w:cs="宋体"/>
                      <w:spacing w:val="-8"/>
                      <w:kern w:val="2"/>
                      <w:sz w:val="21"/>
                      <w:szCs w:val="21"/>
                      <w:lang w:val="zh-CN" w:eastAsia="zh-CN" w:bidi="zh-CN"/>
                    </w:rPr>
                    <w:t>重者可引起油脂性肺炎。慢接触者，暴露部位可发生油性痤疮和接触性皮炎。可引起神经衰弱综合征，呼吸道和眼</w:t>
                  </w:r>
                  <w:r>
                    <w:rPr>
                      <w:rFonts w:hint="eastAsia" w:ascii="宋体" w:hAnsi="宋体" w:cs="宋体"/>
                      <w:spacing w:val="-8"/>
                      <w:kern w:val="2"/>
                      <w:sz w:val="21"/>
                      <w:szCs w:val="21"/>
                      <w:lang w:val="zh-CN" w:eastAsia="zh-CN" w:bidi="zh-CN"/>
                    </w:rPr>
                    <w:t>刺激征</w:t>
                  </w:r>
                  <w:r>
                    <w:rPr>
                      <w:rFonts w:ascii="宋体" w:hAnsi="宋体" w:eastAsia="宋体" w:cs="宋体"/>
                      <w:spacing w:val="-8"/>
                      <w:kern w:val="2"/>
                      <w:sz w:val="21"/>
                      <w:szCs w:val="21"/>
                      <w:lang w:val="zh-CN" w:eastAsia="zh-CN" w:bidi="zh-CN"/>
                    </w:rPr>
                    <w:t>状及慢性油脂性肺炎。有</w:t>
                  </w:r>
                  <w:r>
                    <w:rPr>
                      <w:rFonts w:ascii="宋体" w:hAnsi="宋体" w:eastAsia="宋体" w:cs="宋体"/>
                      <w:spacing w:val="-1"/>
                      <w:kern w:val="2"/>
                      <w:sz w:val="21"/>
                      <w:szCs w:val="21"/>
                      <w:lang w:val="zh-CN" w:eastAsia="zh-CN" w:bidi="zh-CN"/>
                    </w:rPr>
                    <w:t>资料报道，接触石油润滑油类的工人，有致癌的病例报告。</w:t>
                  </w:r>
                </w:p>
              </w:tc>
            </w:tr>
            <w:tr w14:paraId="7EC6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 w:hRule="atLeast"/>
              </w:trPr>
              <w:tc>
                <w:tcPr>
                  <w:tcW w:w="345" w:type="pct"/>
                  <w:tcBorders>
                    <w:tl2br w:val="nil"/>
                    <w:tr2bl w:val="nil"/>
                  </w:tcBorders>
                  <w:noWrap w:val="0"/>
                  <w:vAlign w:val="center"/>
                </w:tcPr>
                <w:p w14:paraId="6D4FE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w w:val="99"/>
                      <w:kern w:val="2"/>
                      <w:sz w:val="21"/>
                      <w:szCs w:val="21"/>
                      <w:lang w:val="zh-CN" w:eastAsia="zh-CN" w:bidi="zh-CN"/>
                    </w:rPr>
                    <w:t>急救</w:t>
                  </w:r>
                </w:p>
              </w:tc>
              <w:tc>
                <w:tcPr>
                  <w:tcW w:w="4653" w:type="pct"/>
                  <w:gridSpan w:val="11"/>
                  <w:tcBorders>
                    <w:tl2br w:val="nil"/>
                    <w:tr2bl w:val="nil"/>
                  </w:tcBorders>
                  <w:noWrap w:val="0"/>
                  <w:vAlign w:val="center"/>
                </w:tcPr>
                <w:p w14:paraId="761B00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皮肤接触：立即脱去被污染的衣着，用大量清水冲洗；眼睛接触：立即提起眼睑，用大量流动清水或生理盐水冲洗，就医；吸入：迅速脱离现场至空气新鲜处，保持呼吸道通畅，如呼吸困难，给输氧；如呼吸停止，立即进行人工呼吸，就医；食入：饮足量温水，催吐，就医。</w:t>
                  </w:r>
                </w:p>
              </w:tc>
            </w:tr>
            <w:tr w14:paraId="56192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345" w:type="pct"/>
                  <w:tcBorders>
                    <w:tl2br w:val="nil"/>
                    <w:tr2bl w:val="nil"/>
                  </w:tcBorders>
                  <w:noWrap w:val="0"/>
                  <w:vAlign w:val="center"/>
                </w:tcPr>
                <w:p w14:paraId="06C9C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防护</w:t>
                  </w:r>
                </w:p>
              </w:tc>
              <w:tc>
                <w:tcPr>
                  <w:tcW w:w="4653" w:type="pct"/>
                  <w:gridSpan w:val="11"/>
                  <w:tcBorders>
                    <w:tl2br w:val="nil"/>
                    <w:tr2bl w:val="nil"/>
                  </w:tcBorders>
                  <w:noWrap w:val="0"/>
                  <w:vAlign w:val="center"/>
                </w:tcPr>
                <w:p w14:paraId="109404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工程控制：密闭操作，注意通风；呼吸系统防护：空气中浓度超标时，建议佩戴自吸过滤式防毒面具（半面罩）。紧急事态抢救或撤离时，应该佩戴空气呼吸器。眼睛防护：戴化学安全防护眼镜。身体防护：穿防毒物渗透工作服；手防护：戴橡胶耐油手套；其他：工作现场严禁吸烟。避免长期反复接触。</w:t>
                  </w:r>
                </w:p>
              </w:tc>
            </w:tr>
            <w:tr w14:paraId="674E3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45" w:type="pct"/>
                  <w:tcBorders>
                    <w:tl2br w:val="nil"/>
                    <w:tr2bl w:val="nil"/>
                  </w:tcBorders>
                  <w:noWrap w:val="0"/>
                  <w:vAlign w:val="center"/>
                </w:tcPr>
                <w:p w14:paraId="35B915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泄漏处</w:t>
                  </w:r>
                  <w:r>
                    <w:rPr>
                      <w:rFonts w:ascii="宋体" w:hAnsi="宋体" w:eastAsia="宋体" w:cs="宋体"/>
                      <w:w w:val="99"/>
                      <w:kern w:val="2"/>
                      <w:sz w:val="21"/>
                      <w:szCs w:val="21"/>
                      <w:lang w:val="zh-CN" w:eastAsia="zh-CN" w:bidi="zh-CN"/>
                    </w:rPr>
                    <w:t>理</w:t>
                  </w:r>
                </w:p>
              </w:tc>
              <w:tc>
                <w:tcPr>
                  <w:tcW w:w="4653" w:type="pct"/>
                  <w:gridSpan w:val="11"/>
                  <w:tcBorders>
                    <w:tl2br w:val="nil"/>
                    <w:tr2bl w:val="nil"/>
                  </w:tcBorders>
                  <w:noWrap w:val="0"/>
                  <w:vAlign w:val="center"/>
                </w:tcPr>
                <w:p w14:paraId="77FC3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迅速撤离泄漏污染区人员至安全区，并进行隔离，严格限制出入。切断火源。建议应急处理人员戴自给正压式呼吸器，穿防毒服。尽可能切断泄漏源。防止流入下水道、排洪沟等限制性空间。小量泄漏：用砂土或</w:t>
                  </w:r>
                  <w:r>
                    <w:rPr>
                      <w:rFonts w:hint="eastAsia" w:ascii="宋体" w:hAnsi="宋体" w:cs="宋体"/>
                      <w:kern w:val="2"/>
                      <w:sz w:val="21"/>
                      <w:szCs w:val="21"/>
                      <w:lang w:val="zh-CN" w:eastAsia="zh-CN" w:bidi="zh-CN"/>
                    </w:rPr>
                    <w:t>其他不</w:t>
                  </w:r>
                  <w:r>
                    <w:rPr>
                      <w:rFonts w:ascii="宋体" w:hAnsi="宋体" w:eastAsia="宋体" w:cs="宋体"/>
                      <w:kern w:val="2"/>
                      <w:sz w:val="21"/>
                      <w:szCs w:val="21"/>
                      <w:lang w:val="zh-CN" w:eastAsia="zh-CN" w:bidi="zh-CN"/>
                    </w:rPr>
                    <w:t>燃材料吸附或吸收。大量泄漏：构筑围堤或挖坑收容。用泵转移至槽车或专用收集器内，回收或运至废物处理场所处置。</w:t>
                  </w:r>
                </w:p>
              </w:tc>
            </w:tr>
            <w:tr w14:paraId="58FA9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7" w:hRule="atLeast"/>
              </w:trPr>
              <w:tc>
                <w:tcPr>
                  <w:tcW w:w="345" w:type="pct"/>
                  <w:tcBorders>
                    <w:tl2br w:val="nil"/>
                    <w:tr2bl w:val="nil"/>
                  </w:tcBorders>
                  <w:noWrap w:val="0"/>
                  <w:vAlign w:val="center"/>
                </w:tcPr>
                <w:p w14:paraId="0429FB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储运</w:t>
                  </w:r>
                </w:p>
              </w:tc>
              <w:tc>
                <w:tcPr>
                  <w:tcW w:w="4653" w:type="pct"/>
                  <w:gridSpan w:val="11"/>
                  <w:tcBorders>
                    <w:tl2br w:val="nil"/>
                    <w:tr2bl w:val="nil"/>
                  </w:tcBorders>
                  <w:noWrap w:val="0"/>
                  <w:vAlign w:val="center"/>
                </w:tcPr>
                <w:p w14:paraId="56E16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储存于阴凉、通风的库房。远离火种、热源。应与氧化剂分开存放，切忌混储。配备相应品种和数量的消防器材。储区应备有泄漏应急处理设备和合适的收容材料。运输前应先检查包装容器是否完整、密封，运输过程中要确保容器不泄漏、不倒塌、不坠</w:t>
                  </w:r>
                  <w:r>
                    <w:rPr>
                      <w:rFonts w:ascii="宋体" w:hAnsi="宋体" w:eastAsia="宋体" w:cs="宋体"/>
                      <w:spacing w:val="-9"/>
                      <w:kern w:val="2"/>
                      <w:sz w:val="21"/>
                      <w:szCs w:val="21"/>
                      <w:lang w:val="zh-CN" w:eastAsia="zh-CN" w:bidi="zh-CN"/>
                    </w:rPr>
                    <w:t>落、不损坏。严禁与氧化剂、食用化学品等混装混运。运输车船必须彻底清洗、消毒，</w:t>
                  </w:r>
                  <w:r>
                    <w:rPr>
                      <w:rFonts w:ascii="宋体" w:hAnsi="宋体" w:eastAsia="宋体" w:cs="宋体"/>
                      <w:spacing w:val="-1"/>
                      <w:kern w:val="2"/>
                      <w:sz w:val="21"/>
                      <w:szCs w:val="21"/>
                      <w:lang w:val="zh-CN" w:eastAsia="zh-CN" w:bidi="zh-CN"/>
                    </w:rPr>
                    <w:t>否则不得装运其它物品。船运时，配装位置应远离卧室、厨房，并与机舱、电源、火</w:t>
                  </w:r>
                  <w:r>
                    <w:rPr>
                      <w:rFonts w:ascii="宋体" w:hAnsi="宋体" w:eastAsia="宋体" w:cs="宋体"/>
                      <w:kern w:val="2"/>
                      <w:sz w:val="21"/>
                      <w:szCs w:val="21"/>
                      <w:lang w:val="zh-CN" w:eastAsia="zh-CN" w:bidi="zh-CN"/>
                    </w:rPr>
                    <w:t>源等部位隔离。公路运输时要按规定路线行驶。</w:t>
                  </w:r>
                </w:p>
              </w:tc>
            </w:tr>
          </w:tbl>
          <w:p w14:paraId="3891B0F8">
            <w:pPr>
              <w:spacing w:line="360" w:lineRule="auto"/>
              <w:ind w:firstLine="480"/>
              <w:rPr>
                <w:rFonts w:hint="default" w:ascii="Times New Roman" w:hAnsi="Times New Roman" w:eastAsia="宋体" w:cs="Times New Roman"/>
                <w:sz w:val="24"/>
                <w:lang w:val="zh-CN" w:bidi="zh-CN"/>
              </w:rPr>
            </w:pPr>
            <w:r>
              <w:rPr>
                <w:rFonts w:hint="default" w:ascii="Times New Roman" w:hAnsi="Times New Roman" w:eastAsia="宋体" w:cs="Times New Roman"/>
                <w:sz w:val="24"/>
                <w:lang w:val="zh-CN" w:bidi="zh-CN"/>
              </w:rPr>
              <w:t>（</w:t>
            </w:r>
            <w:r>
              <w:rPr>
                <w:rFonts w:hint="eastAsia" w:cs="Times New Roman"/>
                <w:sz w:val="24"/>
                <w:lang w:val="en-US" w:bidi="zh-CN"/>
              </w:rPr>
              <w:t>1</w:t>
            </w:r>
            <w:r>
              <w:rPr>
                <w:rFonts w:hint="default" w:ascii="Times New Roman" w:hAnsi="Times New Roman" w:eastAsia="宋体" w:cs="Times New Roman"/>
                <w:sz w:val="24"/>
                <w:lang w:val="zh-CN" w:bidi="zh-CN"/>
              </w:rPr>
              <w:t>）生产过程潜在危险性识别</w:t>
            </w:r>
          </w:p>
          <w:p w14:paraId="25734861">
            <w:pPr>
              <w:spacing w:line="360" w:lineRule="auto"/>
              <w:ind w:firstLine="480"/>
              <w:rPr>
                <w:rFonts w:hint="default"/>
              </w:rPr>
            </w:pPr>
            <w:r>
              <w:rPr>
                <w:rFonts w:hint="default" w:ascii="Times New Roman" w:hAnsi="Times New Roman" w:eastAsia="宋体" w:cs="Times New Roman"/>
                <w:sz w:val="24"/>
                <w:lang w:val="zh-CN" w:bidi="zh-CN"/>
              </w:rPr>
              <w:t>生产设施风险识别范围包括主要生产装置、贮运系统、公用工程系统、工程环保设施及辅助生产设施等，国内外生产经验表明，设备故障、操作失误等都可能发生物料泄漏、燃烧爆炸，危害人身安全，污染环境。存在的潜在危害因素分析具体识别结果见</w:t>
            </w:r>
            <w:r>
              <w:rPr>
                <w:rFonts w:hint="default" w:ascii="Times New Roman" w:hAnsi="Times New Roman" w:eastAsia="宋体" w:cs="Times New Roman"/>
                <w:sz w:val="24"/>
                <w:lang w:bidi="zh-CN"/>
              </w:rPr>
              <w:t>表</w:t>
            </w:r>
            <w:r>
              <w:rPr>
                <w:rFonts w:hint="eastAsia" w:ascii="Times New Roman" w:hAnsi="Times New Roman" w:eastAsia="宋体" w:cs="Times New Roman"/>
                <w:sz w:val="24"/>
                <w:lang w:val="en-US" w:bidi="zh-CN"/>
              </w:rPr>
              <w:t>4-2</w:t>
            </w:r>
            <w:r>
              <w:rPr>
                <w:rFonts w:hint="eastAsia" w:cs="Times New Roman"/>
                <w:sz w:val="24"/>
                <w:lang w:val="en-US" w:bidi="zh-CN"/>
              </w:rPr>
              <w:t>7</w:t>
            </w:r>
            <w:r>
              <w:rPr>
                <w:rFonts w:hint="default" w:ascii="Times New Roman" w:hAnsi="Times New Roman" w:eastAsia="宋体" w:cs="Times New Roman"/>
                <w:sz w:val="24"/>
                <w:lang w:bidi="zh-CN"/>
              </w:rPr>
              <w:t>。</w:t>
            </w:r>
          </w:p>
          <w:p w14:paraId="3D27E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黑体" w:hAnsi="黑体" w:eastAsia="黑体" w:cs="黑体"/>
                <w:b w:val="0"/>
                <w:bCs w:val="0"/>
                <w:color w:val="auto"/>
                <w:kern w:val="2"/>
                <w:sz w:val="21"/>
                <w:szCs w:val="21"/>
                <w:lang w:val="en-US" w:eastAsia="zh-CN" w:bidi="ar-SA"/>
              </w:rPr>
            </w:pPr>
            <w:r>
              <w:rPr>
                <w:rFonts w:hint="default" w:ascii="黑体" w:hAnsi="黑体" w:eastAsia="黑体" w:cs="黑体"/>
                <w:b w:val="0"/>
                <w:bCs w:val="0"/>
                <w:color w:val="auto"/>
                <w:kern w:val="2"/>
                <w:sz w:val="21"/>
                <w:szCs w:val="21"/>
                <w:lang w:val="en-US" w:eastAsia="zh-CN" w:bidi="ar-SA"/>
              </w:rPr>
              <w:t>表4-</w:t>
            </w:r>
            <w:r>
              <w:rPr>
                <w:rFonts w:hint="eastAsia" w:ascii="黑体" w:hAnsi="黑体" w:eastAsia="黑体" w:cs="黑体"/>
                <w:b w:val="0"/>
                <w:bCs w:val="0"/>
                <w:color w:val="auto"/>
                <w:kern w:val="2"/>
                <w:sz w:val="21"/>
                <w:szCs w:val="21"/>
                <w:lang w:val="en-US" w:eastAsia="zh-CN" w:bidi="ar-SA"/>
              </w:rPr>
              <w:t>27</w:t>
            </w:r>
            <w:r>
              <w:rPr>
                <w:rFonts w:hint="default" w:ascii="黑体" w:hAnsi="黑体" w:eastAsia="黑体" w:cs="黑体"/>
                <w:b w:val="0"/>
                <w:bCs w:val="0"/>
                <w:color w:val="auto"/>
                <w:kern w:val="2"/>
                <w:sz w:val="21"/>
                <w:szCs w:val="21"/>
                <w:lang w:val="en-US" w:eastAsia="zh-CN" w:bidi="ar-SA"/>
              </w:rPr>
              <w:t xml:space="preserve">   生产设施风险潜在危险识别</w:t>
            </w:r>
          </w:p>
          <w:tbl>
            <w:tblPr>
              <w:tblStyle w:val="21"/>
              <w:tblW w:w="8711" w:type="dxa"/>
              <w:tblInd w:w="-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8"/>
              <w:gridCol w:w="915"/>
              <w:gridCol w:w="6468"/>
            </w:tblGrid>
            <w:tr w14:paraId="14EEA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762" w:type="pct"/>
                  <w:tcBorders>
                    <w:tl2br w:val="nil"/>
                    <w:tr2bl w:val="nil"/>
                  </w:tcBorders>
                  <w:noWrap w:val="0"/>
                  <w:vAlign w:val="center"/>
                </w:tcPr>
                <w:p w14:paraId="7DF8EA94">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生产危险单元</w:t>
                  </w:r>
                </w:p>
              </w:tc>
              <w:tc>
                <w:tcPr>
                  <w:tcW w:w="525" w:type="pct"/>
                  <w:tcBorders>
                    <w:tl2br w:val="nil"/>
                    <w:tr2bl w:val="nil"/>
                  </w:tcBorders>
                  <w:noWrap w:val="0"/>
                  <w:vAlign w:val="center"/>
                </w:tcPr>
                <w:p w14:paraId="5563CD36">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危害识别</w:t>
                  </w:r>
                </w:p>
              </w:tc>
              <w:tc>
                <w:tcPr>
                  <w:tcW w:w="3711" w:type="pct"/>
                  <w:tcBorders>
                    <w:tl2br w:val="nil"/>
                    <w:tr2bl w:val="nil"/>
                  </w:tcBorders>
                  <w:noWrap w:val="0"/>
                  <w:vAlign w:val="center"/>
                </w:tcPr>
                <w:p w14:paraId="117C71A9">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危险性分析</w:t>
                  </w:r>
                </w:p>
              </w:tc>
            </w:tr>
            <w:tr w14:paraId="679A8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762" w:type="pct"/>
                  <w:tcBorders>
                    <w:tl2br w:val="nil"/>
                    <w:tr2bl w:val="nil"/>
                  </w:tcBorders>
                  <w:noWrap w:val="0"/>
                  <w:vAlign w:val="center"/>
                </w:tcPr>
                <w:p w14:paraId="436B09FA">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原料堆场</w:t>
                  </w:r>
                </w:p>
              </w:tc>
              <w:tc>
                <w:tcPr>
                  <w:tcW w:w="525" w:type="pct"/>
                  <w:tcBorders>
                    <w:tl2br w:val="nil"/>
                    <w:tr2bl w:val="nil"/>
                  </w:tcBorders>
                  <w:noWrap w:val="0"/>
                  <w:vAlign w:val="center"/>
                </w:tcPr>
                <w:p w14:paraId="64808E55">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火灾</w:t>
                  </w:r>
                </w:p>
              </w:tc>
              <w:tc>
                <w:tcPr>
                  <w:tcW w:w="3711" w:type="pct"/>
                  <w:tcBorders>
                    <w:tl2br w:val="nil"/>
                    <w:tr2bl w:val="nil"/>
                  </w:tcBorders>
                  <w:noWrap w:val="0"/>
                  <w:vAlign w:val="center"/>
                </w:tcPr>
                <w:p w14:paraId="6F1B8F0A">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发生火灾或爆炸的影响基本上能够控制在厂内，在加强厂区管理和保障消防器材的基础上，可将泄漏、火灾或爆炸的危害减少到最小</w:t>
                  </w:r>
                </w:p>
              </w:tc>
            </w:tr>
            <w:tr w14:paraId="5986B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 w:hRule="atLeast"/>
              </w:trPr>
              <w:tc>
                <w:tcPr>
                  <w:tcW w:w="762" w:type="pct"/>
                  <w:tcBorders>
                    <w:tl2br w:val="nil"/>
                    <w:tr2bl w:val="nil"/>
                  </w:tcBorders>
                  <w:noWrap w:val="0"/>
                  <w:vAlign w:val="center"/>
                </w:tcPr>
                <w:p w14:paraId="4CE31E05">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6#溶剂油</w:t>
                  </w:r>
                </w:p>
              </w:tc>
              <w:tc>
                <w:tcPr>
                  <w:tcW w:w="525" w:type="pct"/>
                  <w:vMerge w:val="restart"/>
                  <w:tcBorders>
                    <w:tl2br w:val="nil"/>
                    <w:tr2bl w:val="nil"/>
                  </w:tcBorders>
                  <w:noWrap w:val="0"/>
                  <w:vAlign w:val="center"/>
                </w:tcPr>
                <w:p w14:paraId="618A0968">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泄露</w:t>
                  </w:r>
                </w:p>
              </w:tc>
              <w:tc>
                <w:tcPr>
                  <w:tcW w:w="3711" w:type="pct"/>
                  <w:vMerge w:val="restart"/>
                  <w:tcBorders>
                    <w:tl2br w:val="nil"/>
                    <w:tr2bl w:val="nil"/>
                  </w:tcBorders>
                  <w:noWrap w:val="0"/>
                  <w:vAlign w:val="center"/>
                </w:tcPr>
                <w:p w14:paraId="37ED6989">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在危险品</w:t>
                  </w:r>
                  <w:r>
                    <w:rPr>
                      <w:rFonts w:hint="eastAsia" w:cs="Times New Roman"/>
                      <w:szCs w:val="21"/>
                      <w:lang w:eastAsia="zh-CN"/>
                    </w:rPr>
                    <w:t>运输</w:t>
                  </w:r>
                  <w:r>
                    <w:rPr>
                      <w:rFonts w:hint="default" w:ascii="Times New Roman" w:hAnsi="Times New Roman" w:eastAsia="宋体" w:cs="Times New Roman"/>
                      <w:szCs w:val="21"/>
                    </w:rPr>
                    <w:t>车辆的运输过程中，由于翻车、倾斜或槽车破碎等因素而导致危险化学品的泄漏，化学品进入土壤或地表水体可能对其造成影响，需加强运输过程管理、做好事故应急措施，将事故风险减少到最低。</w:t>
                  </w:r>
                </w:p>
              </w:tc>
            </w:tr>
            <w:tr w14:paraId="47442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762" w:type="pct"/>
                  <w:tcBorders>
                    <w:tl2br w:val="nil"/>
                    <w:tr2bl w:val="nil"/>
                  </w:tcBorders>
                  <w:noWrap w:val="0"/>
                  <w:vAlign w:val="center"/>
                </w:tcPr>
                <w:p w14:paraId="28602C29">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磷酸</w:t>
                  </w:r>
                </w:p>
              </w:tc>
              <w:tc>
                <w:tcPr>
                  <w:tcW w:w="525" w:type="pct"/>
                  <w:vMerge w:val="continue"/>
                  <w:tcBorders>
                    <w:tl2br w:val="nil"/>
                    <w:tr2bl w:val="nil"/>
                  </w:tcBorders>
                  <w:noWrap w:val="0"/>
                  <w:vAlign w:val="center"/>
                </w:tcPr>
                <w:p w14:paraId="1900CDB8">
                  <w:pPr>
                    <w:adjustRightInd w:val="0"/>
                    <w:snapToGrid w:val="0"/>
                    <w:jc w:val="center"/>
                    <w:rPr>
                      <w:rFonts w:hint="default" w:ascii="Times New Roman" w:hAnsi="Times New Roman" w:eastAsia="宋体" w:cs="Times New Roman"/>
                      <w:szCs w:val="21"/>
                    </w:rPr>
                  </w:pPr>
                </w:p>
              </w:tc>
              <w:tc>
                <w:tcPr>
                  <w:tcW w:w="3711" w:type="pct"/>
                  <w:vMerge w:val="continue"/>
                  <w:tcBorders>
                    <w:tl2br w:val="nil"/>
                    <w:tr2bl w:val="nil"/>
                  </w:tcBorders>
                  <w:noWrap w:val="0"/>
                  <w:vAlign w:val="center"/>
                </w:tcPr>
                <w:p w14:paraId="33C6B22E">
                  <w:pPr>
                    <w:adjustRightInd w:val="0"/>
                    <w:snapToGrid w:val="0"/>
                    <w:jc w:val="center"/>
                    <w:rPr>
                      <w:rFonts w:hint="default" w:ascii="Times New Roman" w:hAnsi="Times New Roman" w:eastAsia="宋体" w:cs="Times New Roman"/>
                      <w:szCs w:val="21"/>
                    </w:rPr>
                  </w:pPr>
                </w:p>
              </w:tc>
            </w:tr>
          </w:tbl>
          <w:p w14:paraId="2F215541">
            <w:pPr>
              <w:keepLines/>
              <w:widowControl w:val="0"/>
              <w:adjustRightInd w:val="0"/>
              <w:spacing w:before="0" w:after="0" w:line="360" w:lineRule="auto"/>
              <w:jc w:val="both"/>
              <w:textAlignment w:val="baseline"/>
              <w:outlineLvl w:val="2"/>
              <w:rPr>
                <w:rFonts w:hint="default" w:ascii="Times New Roman" w:hAnsi="Times New Roman" w:eastAsia="宋体" w:cs="Times New Roman"/>
                <w:b/>
                <w:kern w:val="0"/>
                <w:sz w:val="24"/>
                <w:szCs w:val="24"/>
                <w:lang w:val="en-US" w:eastAsia="zh-CN" w:bidi="ar-SA"/>
              </w:rPr>
            </w:pPr>
            <w:r>
              <w:rPr>
                <w:rFonts w:hint="eastAsia" w:cs="Times New Roman"/>
                <w:b/>
                <w:kern w:val="0"/>
                <w:sz w:val="24"/>
                <w:szCs w:val="24"/>
                <w:lang w:val="en-US" w:eastAsia="zh-CN" w:bidi="ar-SA"/>
              </w:rPr>
              <w:t xml:space="preserve">5.1 </w:t>
            </w:r>
            <w:r>
              <w:rPr>
                <w:rFonts w:hint="default" w:ascii="Times New Roman" w:hAnsi="Times New Roman" w:eastAsia="宋体" w:cs="Times New Roman"/>
                <w:b/>
                <w:kern w:val="0"/>
                <w:sz w:val="24"/>
                <w:szCs w:val="24"/>
                <w:lang w:val="en-US" w:eastAsia="zh-CN" w:bidi="ar-SA"/>
              </w:rPr>
              <w:t>风险评价</w:t>
            </w:r>
          </w:p>
          <w:p w14:paraId="4605DCB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（1）火灾爆炸事故影响分析</w:t>
            </w:r>
          </w:p>
          <w:p w14:paraId="39BE177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本项目火灾事故主要为各种橡胶、原材料等发生火灾事故，爆炸是突发性的能量释放，造成大气中破坏性的冲击波、爆炸碎片等形成抛射物，造成危害。发生火灾时，火场的温度很高，辐射热强烈，且火灾</w:t>
            </w:r>
            <w:r>
              <w:rPr>
                <w:rFonts w:hint="eastAsia" w:cs="Times New Roman"/>
                <w:sz w:val="24"/>
                <w:lang w:eastAsia="zh-CN"/>
              </w:rPr>
              <w:t>蔓延</w:t>
            </w:r>
            <w:r>
              <w:rPr>
                <w:rFonts w:hint="default" w:ascii="Times New Roman" w:hAnsi="Times New Roman" w:eastAsia="宋体" w:cs="Times New Roman"/>
                <w:sz w:val="24"/>
              </w:rPr>
              <w:t>速度较快，如果不及时抢救，</w:t>
            </w:r>
            <w:r>
              <w:rPr>
                <w:rFonts w:hint="eastAsia" w:cs="Times New Roman"/>
                <w:sz w:val="24"/>
                <w:lang w:eastAsia="zh-CN"/>
              </w:rPr>
              <w:t>累及其他</w:t>
            </w:r>
            <w:r>
              <w:rPr>
                <w:rFonts w:hint="default" w:ascii="Times New Roman" w:hAnsi="Times New Roman" w:eastAsia="宋体" w:cs="Times New Roman"/>
                <w:sz w:val="24"/>
              </w:rPr>
              <w:t>装置着火并随容器爆炸，物品沸溢、喷溅、流散，极易造成大面积火灾。</w:t>
            </w:r>
          </w:p>
          <w:p w14:paraId="33D1CF9E">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火灾、爆炸事故对环境的危害是热辐射、冲击波和抛射物造成的后果。此外，火灾燃烧过</w:t>
            </w:r>
            <w:r>
              <w:rPr>
                <w:rFonts w:hint="eastAsia" w:cs="Times New Roman"/>
                <w:sz w:val="24"/>
                <w:lang w:eastAsia="zh-CN"/>
              </w:rPr>
              <w:t>程中</w:t>
            </w:r>
            <w:r>
              <w:rPr>
                <w:rFonts w:hint="default" w:ascii="Times New Roman" w:hAnsi="Times New Roman" w:eastAsia="宋体" w:cs="Times New Roman"/>
                <w:sz w:val="24"/>
              </w:rPr>
              <w:t>产生的烟雾和有害恶臭气体可造成较大范围的环境污染。根据火灾燃烧的范围，项目周围无敏感点，发生火灾时，厂区应急组织应立即通知建设项目周围的人员进行撤离，防止火灾给附近人员</w:t>
            </w:r>
            <w:r>
              <w:rPr>
                <w:rFonts w:hint="eastAsia" w:cs="Times New Roman"/>
                <w:sz w:val="24"/>
                <w:lang w:eastAsia="zh-CN"/>
              </w:rPr>
              <w:t>带来</w:t>
            </w:r>
            <w:r>
              <w:rPr>
                <w:rFonts w:hint="default" w:ascii="Times New Roman" w:hAnsi="Times New Roman" w:eastAsia="宋体" w:cs="Times New Roman"/>
                <w:sz w:val="24"/>
              </w:rPr>
              <w:t>影响。</w:t>
            </w:r>
          </w:p>
          <w:p w14:paraId="599422F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（2）水体污染后果评述</w:t>
            </w:r>
          </w:p>
          <w:p w14:paraId="714DEDA3">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当发生火灾时，为迅速控制火势，消防设施用水进行灭火，将产生消防废水。废水产生量采用类比分析与模式计算相结合的方法确定，根据火灾事故调查分析，化学物品燃烧时灭火用水量与着火面积、单位面积化学物质燃烧速率、火灾持续时间、火焰高度有关。本项目应设有满足要求的消防水池。当发生火灾时，在组织灭火的同时迅速切断清水管网和污水排污口与外界的联通，消防废水自流至上述水池。待火灾过后，再对此废水进行处理，预计消防废水对外环境的影响较小。</w:t>
            </w:r>
          </w:p>
          <w:p w14:paraId="1F16DF54">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由以上分析结果可见，本项目影响最大的是火灾爆炸事故对周围环境的影响。影响范围主要为周围的厂区内的工作人员，因此，本项目必须采取有效的预防和应急措施，最大程度减少事故发生的概率，尽可能杜绝事故的发生。</w:t>
            </w:r>
          </w:p>
          <w:p w14:paraId="71377B1F">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（3）油品泄漏影响分析</w:t>
            </w:r>
          </w:p>
          <w:p w14:paraId="6557325D">
            <w:pPr>
              <w:spacing w:line="360" w:lineRule="auto"/>
              <w:ind w:firstLine="48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①溶剂油泄漏</w:t>
            </w:r>
          </w:p>
          <w:p w14:paraId="445069A1">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本项目生产所用</w:t>
            </w:r>
            <w:r>
              <w:rPr>
                <w:rFonts w:hint="eastAsia" w:ascii="Times New Roman" w:hAnsi="Times New Roman" w:eastAsia="宋体" w:cs="Times New Roman"/>
                <w:color w:val="auto"/>
                <w:sz w:val="24"/>
                <w:lang w:val="en-US" w:eastAsia="zh-CN"/>
              </w:rPr>
              <w:t>6#溶剂油</w:t>
            </w:r>
            <w:r>
              <w:rPr>
                <w:rFonts w:hint="default" w:ascii="Times New Roman" w:hAnsi="Times New Roman" w:eastAsia="宋体" w:cs="Times New Roman"/>
                <w:color w:val="auto"/>
                <w:sz w:val="24"/>
              </w:rPr>
              <w:t>辅料采用汽车运输方式进厂，为桶装，存放于</w:t>
            </w:r>
            <w:r>
              <w:rPr>
                <w:rFonts w:hint="eastAsia" w:ascii="Times New Roman" w:hAnsi="Times New Roman" w:eastAsia="宋体" w:cs="Times New Roman"/>
                <w:color w:val="auto"/>
                <w:sz w:val="24"/>
                <w:lang w:val="en-US" w:eastAsia="zh-CN"/>
              </w:rPr>
              <w:t>地下溶剂库内</w:t>
            </w:r>
            <w:r>
              <w:rPr>
                <w:rFonts w:hint="eastAsia" w:cs="Times New Roman"/>
                <w:color w:val="auto"/>
                <w:sz w:val="24"/>
                <w:lang w:val="en-US" w:eastAsia="zh-CN"/>
              </w:rPr>
              <w:t>采用溶剂罐储存</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溶剂油</w:t>
            </w:r>
            <w:r>
              <w:rPr>
                <w:rFonts w:hint="default" w:ascii="Times New Roman" w:hAnsi="Times New Roman" w:eastAsia="宋体" w:cs="Times New Roman"/>
                <w:color w:val="auto"/>
                <w:sz w:val="24"/>
              </w:rPr>
              <w:t>液态贮量不大，低于临界量，</w:t>
            </w:r>
            <w:r>
              <w:rPr>
                <w:rFonts w:hint="eastAsia" w:cs="Times New Roman"/>
                <w:color w:val="auto"/>
                <w:sz w:val="24"/>
                <w:lang w:val="en-US" w:eastAsia="zh-CN"/>
              </w:rPr>
              <w:t>临时</w:t>
            </w:r>
            <w:r>
              <w:rPr>
                <w:rFonts w:hint="default" w:ascii="Times New Roman" w:hAnsi="Times New Roman" w:eastAsia="宋体" w:cs="Times New Roman"/>
                <w:color w:val="auto"/>
                <w:sz w:val="24"/>
              </w:rPr>
              <w:t>贮存采用桶装，发生泄漏可能性较低。在使用过程中可能会发生泄漏，如单桶发生倾覆，能全都推铺</w:t>
            </w:r>
            <w:r>
              <w:rPr>
                <w:rFonts w:hint="eastAsia" w:cs="Times New Roman"/>
                <w:color w:val="auto"/>
                <w:sz w:val="24"/>
                <w:lang w:val="en-US" w:eastAsia="zh-CN"/>
              </w:rPr>
              <w:t>罐底防渗罐池内，</w:t>
            </w:r>
            <w:r>
              <w:rPr>
                <w:rFonts w:hint="default" w:ascii="Times New Roman" w:hAnsi="Times New Roman" w:eastAsia="宋体" w:cs="Times New Roman"/>
                <w:color w:val="auto"/>
                <w:sz w:val="24"/>
              </w:rPr>
              <w:t>不会泄漏到车间外，</w:t>
            </w:r>
            <w:r>
              <w:rPr>
                <w:rFonts w:hint="eastAsia" w:cs="Times New Roman"/>
                <w:color w:val="auto"/>
                <w:sz w:val="24"/>
                <w:lang w:val="en-US" w:eastAsia="zh-CN"/>
              </w:rPr>
              <w:t>如罐体泄漏，泄漏溶剂能进入罐底的防渗罐池内，后</w:t>
            </w:r>
            <w:r>
              <w:rPr>
                <w:rFonts w:hint="default" w:ascii="Times New Roman" w:hAnsi="Times New Roman" w:eastAsia="宋体" w:cs="Times New Roman"/>
                <w:color w:val="auto"/>
                <w:sz w:val="24"/>
              </w:rPr>
              <w:t>及时收集并进行处置，产生环境风险的可能性较小。</w:t>
            </w:r>
          </w:p>
          <w:p w14:paraId="42D18FCC">
            <w:pPr>
              <w:spacing w:line="360" w:lineRule="auto"/>
              <w:ind w:firstLine="48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②成品油罐泄漏</w:t>
            </w:r>
          </w:p>
          <w:p w14:paraId="29B1E12C">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cs="Times New Roman"/>
                <w:color w:val="auto"/>
                <w:sz w:val="24"/>
                <w:lang w:val="en-US" w:eastAsia="zh-CN"/>
              </w:rPr>
              <w:t>成品油</w:t>
            </w:r>
            <w:r>
              <w:rPr>
                <w:rFonts w:hint="default" w:ascii="Times New Roman" w:hAnsi="Times New Roman" w:eastAsia="宋体" w:cs="Times New Roman"/>
                <w:color w:val="auto"/>
                <w:sz w:val="24"/>
              </w:rPr>
              <w:t>采用</w:t>
            </w:r>
            <w:r>
              <w:rPr>
                <w:rFonts w:hint="eastAsia" w:cs="Times New Roman"/>
                <w:color w:val="auto"/>
                <w:sz w:val="24"/>
                <w:lang w:val="en-US" w:eastAsia="zh-CN"/>
              </w:rPr>
              <w:t>油罐</w:t>
            </w:r>
            <w:r>
              <w:rPr>
                <w:rFonts w:hint="default" w:ascii="Times New Roman" w:hAnsi="Times New Roman" w:eastAsia="宋体" w:cs="Times New Roman"/>
                <w:color w:val="auto"/>
                <w:sz w:val="24"/>
              </w:rPr>
              <w:t>汽车运输</w:t>
            </w:r>
            <w:r>
              <w:rPr>
                <w:rFonts w:hint="eastAsia" w:cs="Times New Roman"/>
                <w:color w:val="auto"/>
                <w:sz w:val="24"/>
                <w:lang w:val="en-US" w:eastAsia="zh-CN"/>
              </w:rPr>
              <w:t>方式进行拉运</w:t>
            </w:r>
            <w:r>
              <w:rPr>
                <w:rFonts w:hint="default" w:ascii="Times New Roman" w:hAnsi="Times New Roman" w:eastAsia="宋体" w:cs="Times New Roman"/>
                <w:color w:val="auto"/>
                <w:sz w:val="24"/>
              </w:rPr>
              <w:t>，</w:t>
            </w:r>
            <w:r>
              <w:rPr>
                <w:rFonts w:hint="eastAsia" w:cs="Times New Roman"/>
                <w:color w:val="auto"/>
                <w:sz w:val="24"/>
                <w:lang w:val="en-US" w:eastAsia="zh-CN"/>
              </w:rPr>
              <w:t>地上储油罐在成品油卸油过程中会</w:t>
            </w:r>
            <w:r>
              <w:rPr>
                <w:rFonts w:hint="default" w:ascii="Times New Roman" w:hAnsi="Times New Roman" w:eastAsia="宋体" w:cs="Times New Roman"/>
                <w:color w:val="auto"/>
                <w:sz w:val="24"/>
              </w:rPr>
              <w:t>发生</w:t>
            </w:r>
            <w:r>
              <w:rPr>
                <w:rFonts w:hint="eastAsia" w:cs="Times New Roman"/>
                <w:color w:val="auto"/>
                <w:sz w:val="24"/>
                <w:lang w:val="en-US" w:eastAsia="zh-CN"/>
              </w:rPr>
              <w:t>少许跑、冒、滴、漏，能控制在防火墙内</w:t>
            </w:r>
            <w:r>
              <w:rPr>
                <w:rFonts w:hint="default" w:ascii="Times New Roman" w:hAnsi="Times New Roman" w:eastAsia="宋体" w:cs="Times New Roman"/>
                <w:color w:val="auto"/>
                <w:sz w:val="24"/>
              </w:rPr>
              <w:t>。</w:t>
            </w:r>
            <w:r>
              <w:rPr>
                <w:rFonts w:hint="eastAsia" w:cs="Times New Roman"/>
                <w:color w:val="auto"/>
                <w:sz w:val="24"/>
                <w:lang w:val="en-US" w:eastAsia="zh-CN"/>
              </w:rPr>
              <w:t>如油罐大面积泄漏，防止土壤、地下水污染。在防火墙内采用吸油毯覆盖，后使用泵转移至槽车或消防事故池内，</w:t>
            </w:r>
            <w:r>
              <w:rPr>
                <w:rFonts w:hint="default" w:ascii="Times New Roman" w:hAnsi="Times New Roman" w:eastAsia="宋体" w:cs="Times New Roman"/>
                <w:color w:val="auto"/>
                <w:sz w:val="24"/>
              </w:rPr>
              <w:t>不会泄漏</w:t>
            </w:r>
            <w:r>
              <w:rPr>
                <w:rFonts w:hint="eastAsia" w:cs="Times New Roman"/>
                <w:color w:val="auto"/>
                <w:sz w:val="24"/>
                <w:lang w:val="en-US" w:eastAsia="zh-CN"/>
              </w:rPr>
              <w:t>至防火墙</w:t>
            </w:r>
            <w:r>
              <w:rPr>
                <w:rFonts w:hint="default" w:ascii="Times New Roman" w:hAnsi="Times New Roman" w:eastAsia="宋体" w:cs="Times New Roman"/>
                <w:color w:val="auto"/>
                <w:sz w:val="24"/>
              </w:rPr>
              <w:t>外，能及时收集并进行处置，产生环境风险的可能性较小。</w:t>
            </w:r>
          </w:p>
          <w:p w14:paraId="300C9F13">
            <w:pPr>
              <w:pStyle w:val="38"/>
              <w:numPr>
                <w:ilvl w:val="0"/>
                <w:numId w:val="0"/>
              </w:numPr>
              <w:ind w:left="630" w:leftChars="0"/>
              <w:rPr>
                <w:rFonts w:hint="eastAsia" w:cs="Times New Roman"/>
                <w:color w:val="auto"/>
                <w:sz w:val="24"/>
                <w:lang w:val="en-US" w:eastAsia="zh-CN"/>
              </w:rPr>
            </w:pPr>
            <w:r>
              <w:rPr>
                <w:rFonts w:hint="eastAsia" w:cs="Times New Roman"/>
                <w:color w:val="auto"/>
                <w:sz w:val="24"/>
                <w:lang w:val="en-US" w:eastAsia="zh-CN"/>
              </w:rPr>
              <w:t>③磷酸泄漏</w:t>
            </w:r>
          </w:p>
          <w:p w14:paraId="05095FEE">
            <w:pPr>
              <w:pStyle w:val="38"/>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本项目磷酸在储运过程中如产生泄漏，应急人员佩戴过滤式防毒面具，穿戴酸碱工作服，尽可能切断泄漏源。其余人员撤离泄漏污染区至上风向安全处，隔离，严格限制人员出入，少量泄漏；用砂土与干灰混合，也可用大量水冲洗，稀释中和。</w:t>
            </w:r>
          </w:p>
          <w:p w14:paraId="271F5E4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（4）原料及产品贮存、运输过程事故风险影响分析</w:t>
            </w:r>
          </w:p>
          <w:p w14:paraId="52A5E821">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原料及产品贮存、运输过程事故风险主要有：</w:t>
            </w:r>
          </w:p>
          <w:p w14:paraId="7863E74B">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1）装卸作业风险分析：各物品的装卸过程中，易出现操作不当致使危险品外泄的现象。</w:t>
            </w:r>
          </w:p>
          <w:p w14:paraId="273FC0F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2）运输风险：项目所有外购危险化学品</w:t>
            </w:r>
            <w:r>
              <w:rPr>
                <w:rFonts w:hint="eastAsia" w:cs="Times New Roman"/>
                <w:sz w:val="24"/>
                <w:lang w:eastAsia="zh-CN"/>
              </w:rPr>
              <w:t>均</w:t>
            </w:r>
            <w:r>
              <w:rPr>
                <w:rFonts w:hint="default" w:ascii="Times New Roman" w:hAnsi="Times New Roman" w:eastAsia="宋体" w:cs="Times New Roman"/>
                <w:sz w:val="24"/>
              </w:rPr>
              <w:t>为汽车运输，危险物质在运输途中可能会发生交通事故，导致危险物质泄漏事故发生污染环境和水体，造成局部地区生态系统的破坏和威胁人民群众生命财产等。</w:t>
            </w:r>
          </w:p>
          <w:p w14:paraId="51629513">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国家对危险化学物质运输，装卸有相应规划，运输过程</w:t>
            </w:r>
            <w:r>
              <w:rPr>
                <w:rFonts w:hint="eastAsia" w:cs="Times New Roman"/>
                <w:sz w:val="24"/>
                <w:lang w:eastAsia="zh-CN"/>
              </w:rPr>
              <w:t>要</w:t>
            </w:r>
            <w:r>
              <w:rPr>
                <w:rFonts w:hint="default" w:ascii="Times New Roman" w:hAnsi="Times New Roman" w:eastAsia="宋体" w:cs="Times New Roman"/>
                <w:sz w:val="24"/>
              </w:rPr>
              <w:t>严格</w:t>
            </w:r>
            <w:r>
              <w:rPr>
                <w:rFonts w:hint="eastAsia" w:cs="Times New Roman"/>
                <w:sz w:val="24"/>
                <w:lang w:eastAsia="zh-CN"/>
              </w:rPr>
              <w:t>按照</w:t>
            </w:r>
            <w:r>
              <w:rPr>
                <w:rFonts w:hint="default" w:ascii="Times New Roman" w:hAnsi="Times New Roman" w:eastAsia="宋体" w:cs="Times New Roman"/>
                <w:sz w:val="24"/>
              </w:rPr>
              <w:t>国家规定进行，并加强对运输驾驶员的职业技能培训和职业道德教育，此类环境风险可以避免。</w:t>
            </w:r>
          </w:p>
          <w:p w14:paraId="0AD60218">
            <w:pPr>
              <w:keepLines/>
              <w:widowControl w:val="0"/>
              <w:adjustRightInd w:val="0"/>
              <w:spacing w:before="0" w:after="0" w:line="360" w:lineRule="auto"/>
              <w:jc w:val="both"/>
              <w:textAlignment w:val="baseline"/>
              <w:outlineLvl w:val="2"/>
              <w:rPr>
                <w:rFonts w:hint="default" w:ascii="Times New Roman" w:hAnsi="Times New Roman" w:eastAsia="宋体" w:cs="Times New Roman"/>
                <w:b/>
                <w:bCs w:val="0"/>
                <w:kern w:val="0"/>
                <w:sz w:val="24"/>
                <w:szCs w:val="24"/>
                <w:lang w:val="en-US" w:eastAsia="zh-CN" w:bidi="ar-SA"/>
              </w:rPr>
            </w:pPr>
            <w:r>
              <w:rPr>
                <w:rFonts w:hint="eastAsia" w:cs="Times New Roman"/>
                <w:b/>
                <w:bCs w:val="0"/>
                <w:kern w:val="0"/>
                <w:sz w:val="24"/>
                <w:szCs w:val="24"/>
                <w:lang w:val="en-US" w:eastAsia="zh-CN" w:bidi="ar-SA"/>
              </w:rPr>
              <w:t xml:space="preserve">5.2 </w:t>
            </w:r>
            <w:r>
              <w:rPr>
                <w:rFonts w:hint="default" w:ascii="Times New Roman" w:hAnsi="Times New Roman" w:eastAsia="宋体" w:cs="Times New Roman"/>
                <w:b/>
                <w:bCs w:val="0"/>
                <w:kern w:val="0"/>
                <w:sz w:val="24"/>
                <w:szCs w:val="24"/>
                <w:lang w:val="en-US" w:eastAsia="zh-CN" w:bidi="ar-SA"/>
              </w:rPr>
              <w:t>事故防范与应急措施</w:t>
            </w:r>
          </w:p>
          <w:p w14:paraId="698C94BC">
            <w:pPr>
              <w:spacing w:line="360" w:lineRule="auto"/>
              <w:rPr>
                <w:rFonts w:hint="default" w:ascii="Times New Roman" w:hAnsi="Times New Roman" w:eastAsia="宋体" w:cs="Times New Roman"/>
                <w:b w:val="0"/>
                <w:bCs/>
                <w:sz w:val="24"/>
              </w:rPr>
            </w:pPr>
            <w:r>
              <w:rPr>
                <w:rFonts w:hint="eastAsia" w:cs="Times New Roman"/>
                <w:b w:val="0"/>
                <w:bCs/>
                <w:sz w:val="24"/>
                <w:lang w:val="en-US" w:eastAsia="zh-CN"/>
              </w:rPr>
              <w:t>5</w:t>
            </w:r>
            <w:r>
              <w:rPr>
                <w:rFonts w:hint="eastAsia" w:ascii="Times New Roman" w:hAnsi="Times New Roman" w:eastAsia="宋体" w:cs="Times New Roman"/>
                <w:b w:val="0"/>
                <w:bCs/>
                <w:sz w:val="24"/>
                <w:lang w:val="en-US" w:eastAsia="zh-CN"/>
              </w:rPr>
              <w:t>.</w:t>
            </w:r>
            <w:r>
              <w:rPr>
                <w:rFonts w:hint="eastAsia" w:cs="Times New Roman"/>
                <w:b w:val="0"/>
                <w:bCs/>
                <w:sz w:val="24"/>
                <w:lang w:val="en-US" w:eastAsia="zh-CN"/>
              </w:rPr>
              <w:t>2</w:t>
            </w:r>
            <w:r>
              <w:rPr>
                <w:rFonts w:hint="eastAsia" w:ascii="Times New Roman" w:hAnsi="Times New Roman" w:eastAsia="宋体" w:cs="Times New Roman"/>
                <w:b w:val="0"/>
                <w:bCs/>
                <w:sz w:val="24"/>
                <w:lang w:val="en-US" w:eastAsia="zh-CN"/>
              </w:rPr>
              <w:t>.1</w:t>
            </w:r>
            <w:r>
              <w:rPr>
                <w:rFonts w:hint="default" w:ascii="Times New Roman" w:hAnsi="Times New Roman" w:eastAsia="宋体" w:cs="Times New Roman"/>
                <w:b w:val="0"/>
                <w:bCs/>
                <w:sz w:val="24"/>
              </w:rPr>
              <w:t>原料堆场风险防范措施</w:t>
            </w:r>
          </w:p>
          <w:p w14:paraId="51DF0FF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（1）严格管理</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人为因素往往是事故发生的主要原因，因此严格管理，做好人的工作是预防事故发生的重要环节。主要内容包括：建立健全场内环境管理制度和机构；加强人员安全教育，增强环境风险意识；加强对职工的思想教育，以提高工作人员的责任心和工作主动性；操作人员要进行岗位系统培训，熟悉工作程序、规程、加强岗位责任制；对事故易发生部位，除本岗工人及时检查外，应设安全巡检员。</w:t>
            </w:r>
          </w:p>
          <w:p w14:paraId="20E1B86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（2）精心设计，从设计上把好关。规范施工过程，施工现场监理到位，严格把关，确保施工质量。化学品的存储必须在专门的化学品仓库，并设置一个手机槽。</w:t>
            </w:r>
          </w:p>
          <w:p w14:paraId="784D6A0E">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（3）车间要通风，要有防</w:t>
            </w:r>
            <w:r>
              <w:rPr>
                <w:rFonts w:hint="eastAsia" w:cs="Times New Roman"/>
                <w:sz w:val="24"/>
                <w:lang w:eastAsia="zh-CN"/>
              </w:rPr>
              <w:t>泄漏</w:t>
            </w:r>
            <w:r>
              <w:rPr>
                <w:rFonts w:hint="default" w:ascii="Times New Roman" w:hAnsi="Times New Roman" w:eastAsia="宋体" w:cs="Times New Roman"/>
                <w:sz w:val="24"/>
              </w:rPr>
              <w:t>的沙子、桶、吸附材料等应急物资。</w:t>
            </w:r>
          </w:p>
          <w:p w14:paraId="5CFBB76C">
            <w:pPr>
              <w:spacing w:line="360" w:lineRule="auto"/>
              <w:rPr>
                <w:rFonts w:hint="default" w:ascii="Times New Roman" w:hAnsi="Times New Roman" w:eastAsia="宋体" w:cs="Times New Roman"/>
                <w:b w:val="0"/>
                <w:bCs w:val="0"/>
                <w:sz w:val="24"/>
              </w:rPr>
            </w:pPr>
            <w:r>
              <w:rPr>
                <w:rFonts w:hint="eastAsia" w:cs="Times New Roman"/>
                <w:b w:val="0"/>
                <w:bCs w:val="0"/>
                <w:sz w:val="24"/>
                <w:lang w:val="en-US" w:eastAsia="zh-CN"/>
              </w:rPr>
              <w:t>5</w:t>
            </w:r>
            <w:r>
              <w:rPr>
                <w:rFonts w:hint="eastAsia" w:ascii="Times New Roman" w:hAnsi="Times New Roman" w:eastAsia="宋体" w:cs="Times New Roman"/>
                <w:b w:val="0"/>
                <w:bCs w:val="0"/>
                <w:sz w:val="24"/>
                <w:lang w:val="en-US" w:eastAsia="zh-CN"/>
              </w:rPr>
              <w:t>.</w:t>
            </w:r>
            <w:r>
              <w:rPr>
                <w:rFonts w:hint="eastAsia" w:cs="Times New Roman"/>
                <w:b w:val="0"/>
                <w:bCs w:val="0"/>
                <w:sz w:val="24"/>
                <w:lang w:val="en-US" w:eastAsia="zh-CN"/>
              </w:rPr>
              <w:t>2</w:t>
            </w:r>
            <w:r>
              <w:rPr>
                <w:rFonts w:hint="eastAsia" w:ascii="Times New Roman" w:hAnsi="Times New Roman" w:eastAsia="宋体" w:cs="Times New Roman"/>
                <w:b w:val="0"/>
                <w:bCs w:val="0"/>
                <w:sz w:val="24"/>
                <w:lang w:val="en-US" w:eastAsia="zh-CN"/>
              </w:rPr>
              <w:t>.2</w:t>
            </w:r>
            <w:r>
              <w:rPr>
                <w:rFonts w:hint="default" w:ascii="Times New Roman" w:hAnsi="Times New Roman" w:eastAsia="宋体" w:cs="Times New Roman"/>
                <w:b w:val="0"/>
                <w:bCs w:val="0"/>
                <w:sz w:val="24"/>
              </w:rPr>
              <w:t>危险化学品贮存安全防范措施</w:t>
            </w:r>
          </w:p>
          <w:p w14:paraId="559D47B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项目设置化学品原辅材料放置在相应的车间内，在贮存和使用危险化学品的过程中，应做到以下几点：</w:t>
            </w:r>
          </w:p>
          <w:p w14:paraId="27F4F84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（1）车间必须配备有专业知识的技术人员，库房及场所应设专人管理，管理人员必须配备可靠的个人安全防护用品。</w:t>
            </w:r>
          </w:p>
          <w:p w14:paraId="38E02E73">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（2）原料入库时，应严格检验物品质量、数量、包装情况、有无泄漏。入库后应采取适当的养护措施，在贮存期内，定期检查，发现其品质变化、包装破损、渗漏，稳定剂短缺等，应及时处理。</w:t>
            </w:r>
          </w:p>
          <w:p w14:paraId="78620904">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（3）装卸和使用危险化学品时，操作人员应根据危险性，穿戴相应的防护用品。</w:t>
            </w:r>
          </w:p>
          <w:p w14:paraId="2E5835D1">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（4）化学危险物品</w:t>
            </w:r>
            <w:r>
              <w:rPr>
                <w:rFonts w:hint="eastAsia" w:cs="Times New Roman"/>
                <w:sz w:val="24"/>
                <w:lang w:eastAsia="zh-CN"/>
              </w:rPr>
              <w:t>洒落在</w:t>
            </w:r>
            <w:r>
              <w:rPr>
                <w:rFonts w:hint="default" w:ascii="Times New Roman" w:hAnsi="Times New Roman" w:eastAsia="宋体" w:cs="Times New Roman"/>
                <w:sz w:val="24"/>
              </w:rPr>
              <w:t>地面、车板上时，应及时扫除，对易燃易爆物品应用松软物经水浸湿后扫除。使用危险化学品的过程中，泄漏或渗漏的包装容器应迅速移至安全区域。</w:t>
            </w:r>
          </w:p>
          <w:p w14:paraId="20AB92BF">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（5）危险化学品的使用、储存严格遵守《危险化学品安全管理条例</w:t>
            </w:r>
            <w:r>
              <w:rPr>
                <w:rFonts w:hint="eastAsia" w:cs="Times New Roman"/>
                <w:sz w:val="24"/>
                <w:lang w:eastAsia="zh-CN"/>
              </w:rPr>
              <w:t>》《</w:t>
            </w:r>
            <w:r>
              <w:rPr>
                <w:rFonts w:hint="default" w:ascii="Times New Roman" w:hAnsi="Times New Roman" w:eastAsia="宋体" w:cs="Times New Roman"/>
                <w:sz w:val="24"/>
              </w:rPr>
              <w:t>常用危险化学品储存通则》等相关</w:t>
            </w:r>
            <w:r>
              <w:rPr>
                <w:rFonts w:hint="eastAsia" w:cs="Times New Roman"/>
                <w:sz w:val="24"/>
                <w:lang w:eastAsia="zh-CN"/>
              </w:rPr>
              <w:t>法律法规</w:t>
            </w:r>
            <w:r>
              <w:rPr>
                <w:rFonts w:hint="default" w:ascii="Times New Roman" w:hAnsi="Times New Roman" w:eastAsia="宋体" w:cs="Times New Roman"/>
                <w:sz w:val="24"/>
              </w:rPr>
              <w:t>的规定。</w:t>
            </w:r>
          </w:p>
          <w:p w14:paraId="6128BF51">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（6）危险化学品贮存安全防范措施：加强化学品的管理，建立健全相关的化学品管理制度：定期进行防火安全检查，发现情况应立即采取措施治理；配备必要的消防用品和安全标识；定期检查</w:t>
            </w:r>
            <w:r>
              <w:rPr>
                <w:rFonts w:hint="eastAsia" w:ascii="Times New Roman" w:hAnsi="Times New Roman" w:eastAsia="宋体" w:cs="Times New Roman"/>
                <w:sz w:val="24"/>
                <w:lang w:val="en-US" w:eastAsia="zh-CN"/>
              </w:rPr>
              <w:t>溶剂库</w:t>
            </w:r>
            <w:r>
              <w:rPr>
                <w:rFonts w:hint="default" w:ascii="Times New Roman" w:hAnsi="Times New Roman" w:eastAsia="宋体" w:cs="Times New Roman"/>
                <w:sz w:val="24"/>
              </w:rPr>
              <w:t>进出口管道阀门、接头等连接处是否密封完好，使管道阀门、接头泄漏时能够得到安全处理：配置沙土箱和适当的空容器、工具，以便发生泄漏时收集溢出的物料。</w:t>
            </w:r>
          </w:p>
          <w:p w14:paraId="1B02E28A">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（7）厂区总排口设置截断阀门，发生泄漏时关闭以截断污染物外排途径，杜绝发生泄漏事故时污染物直接排入水体。</w:t>
            </w:r>
          </w:p>
          <w:p w14:paraId="6794B1B4">
            <w:pPr>
              <w:spacing w:line="360" w:lineRule="auto"/>
              <w:rPr>
                <w:rFonts w:hint="default" w:ascii="Times New Roman" w:hAnsi="Times New Roman" w:eastAsia="宋体" w:cs="Times New Roman"/>
                <w:b/>
                <w:bCs/>
                <w:sz w:val="24"/>
              </w:rPr>
            </w:pPr>
            <w:r>
              <w:rPr>
                <w:rFonts w:hint="eastAsia" w:cs="Times New Roman"/>
                <w:b/>
                <w:bCs/>
                <w:sz w:val="24"/>
                <w:lang w:val="en-US" w:eastAsia="zh-CN"/>
              </w:rPr>
              <w:t xml:space="preserve">5.3 </w:t>
            </w:r>
            <w:r>
              <w:rPr>
                <w:rFonts w:hint="default" w:ascii="Times New Roman" w:hAnsi="Times New Roman" w:eastAsia="宋体" w:cs="Times New Roman"/>
                <w:b/>
                <w:bCs/>
                <w:sz w:val="24"/>
              </w:rPr>
              <w:t>工程设计安全防范措施</w:t>
            </w:r>
          </w:p>
          <w:p w14:paraId="17D70E92">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生产操作过程中，发生突发性污染事故的诱发因素很多，其中被认为重要的因素为设计上存在缺陷；设备质量差，或设备过度超时、超负荷运转；管理或指挥失误；违章操作。因此，在操作过程中，应严格控制和管理，加强事故防范、降低污染事故损害的主要保障。建议</w:t>
            </w:r>
            <w:r>
              <w:rPr>
                <w:rFonts w:hint="eastAsia" w:cs="Times New Roman"/>
                <w:sz w:val="24"/>
                <w:lang w:eastAsia="zh-CN"/>
              </w:rPr>
              <w:t>做好</w:t>
            </w:r>
            <w:r>
              <w:rPr>
                <w:rFonts w:hint="default" w:ascii="Times New Roman" w:hAnsi="Times New Roman" w:eastAsia="宋体" w:cs="Times New Roman"/>
                <w:sz w:val="24"/>
              </w:rPr>
              <w:t>以下几个方面的工作：</w:t>
            </w:r>
          </w:p>
          <w:p w14:paraId="5B1FDD3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在总体设计上做好安全防范措施</w:t>
            </w:r>
          </w:p>
          <w:p w14:paraId="6C5C0220">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针对项目特点，本评价建议在将来的设计、施工、营运阶段应考虑下列安全防范措施，以避免事故的发生：</w:t>
            </w:r>
          </w:p>
          <w:p w14:paraId="786C2EE9">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1）各建筑物间的防火间距均按要求设置，主要建筑周围的道路呈环形布置。厂房内设备布置严格执行国家有关防火防爆的规范、规定，设备之间保证有足够的安全距离，并按要求设计消防通道。</w:t>
            </w:r>
          </w:p>
          <w:p w14:paraId="2B7AFCCB">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应贯彻工厂布置一体化的原则，将生产区、辅助生产区、管理区按功能相对集中合理安排，特别是要根据本项目的危险、有害因素特点，统筹考虑生产流程及装置、设施的平面布置，在满足安全距离和职业卫生要求的同时，还要考虑地形、风向、气候等自然条件，尽量减少危险、有害因素的交叉影响。</w:t>
            </w:r>
          </w:p>
          <w:p w14:paraId="35D6EE5F">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3）尽量采用技术先进和安全可靠的设备，并按国家有关规定在车间内设置必要的安全卫生设施。</w:t>
            </w:r>
          </w:p>
          <w:p w14:paraId="4DD7981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4）车间必须采取妥善的防雷措施，以防止直接雷击和雷电感应。为防止直接雷击，一般在库房周围须装设避雷针，仓库各部分必须完全位于避雷针的保护范围以内。</w:t>
            </w:r>
          </w:p>
          <w:p w14:paraId="231E83D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5）按区域分类有关规范在厂房内划分危险区，危险区内安装的</w:t>
            </w:r>
            <w:r>
              <w:rPr>
                <w:rFonts w:hint="eastAsia" w:cs="Times New Roman"/>
                <w:sz w:val="24"/>
                <w:lang w:eastAsia="zh-CN"/>
              </w:rPr>
              <w:t>电气设备</w:t>
            </w:r>
            <w:r>
              <w:rPr>
                <w:rFonts w:hint="default" w:ascii="Times New Roman" w:hAnsi="Times New Roman" w:eastAsia="宋体" w:cs="Times New Roman"/>
                <w:sz w:val="24"/>
              </w:rPr>
              <w:t>应按照相应的区域等级采用防爆级，所有的电气设备均应接地。</w:t>
            </w:r>
          </w:p>
          <w:p w14:paraId="73AD20E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6）在有可能着火的设施附近，设置感温感烟火灾报警器，报警信号送到控制室和消防部门。</w:t>
            </w:r>
          </w:p>
          <w:p w14:paraId="37C8927C">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7）对爆炸、火灾危害场所内可能产生静电危害的物体采取工业静电防范处理</w:t>
            </w:r>
            <w:r>
              <w:rPr>
                <w:rFonts w:hint="eastAsia" w:cs="Times New Roman"/>
                <w:sz w:val="24"/>
                <w:lang w:eastAsia="zh-CN"/>
              </w:rPr>
              <w:t>措施</w:t>
            </w:r>
            <w:r>
              <w:rPr>
                <w:rFonts w:hint="default" w:ascii="Times New Roman" w:hAnsi="Times New Roman" w:eastAsia="宋体" w:cs="Times New Roman"/>
                <w:sz w:val="24"/>
              </w:rPr>
              <w:t>。</w:t>
            </w:r>
          </w:p>
          <w:p w14:paraId="098CA2B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8）在消防值班室设有火警专线电话，以确保紧急情况下</w:t>
            </w:r>
            <w:r>
              <w:rPr>
                <w:rFonts w:hint="eastAsia" w:cs="Times New Roman"/>
                <w:sz w:val="24"/>
                <w:lang w:eastAsia="zh-CN"/>
              </w:rPr>
              <w:t>通信畅通</w:t>
            </w:r>
            <w:r>
              <w:rPr>
                <w:rFonts w:hint="default" w:ascii="Times New Roman" w:hAnsi="Times New Roman" w:eastAsia="宋体" w:cs="Times New Roman"/>
                <w:sz w:val="24"/>
              </w:rPr>
              <w:t>。</w:t>
            </w:r>
          </w:p>
          <w:p w14:paraId="34A03D3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建设单位应对安全和环保应建立严格的防范措施</w:t>
            </w:r>
            <w:r>
              <w:rPr>
                <w:rFonts w:hint="eastAsia" w:cs="Times New Roman"/>
                <w:sz w:val="24"/>
                <w:lang w:eastAsia="zh-CN"/>
              </w:rPr>
              <w:t>。</w:t>
            </w:r>
            <w:r>
              <w:rPr>
                <w:rFonts w:hint="default" w:ascii="Times New Roman" w:hAnsi="Times New Roman" w:eastAsia="宋体" w:cs="Times New Roman"/>
                <w:sz w:val="24"/>
              </w:rPr>
              <w:t>制定严格的管理规章制度，列出潜在危险的过程、设备等清单，严格执行设备检验和报废制度。</w:t>
            </w:r>
          </w:p>
          <w:p w14:paraId="2FB2ABD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（2）加强技术培训，</w:t>
            </w:r>
            <w:r>
              <w:rPr>
                <w:rFonts w:hint="eastAsia" w:cs="Times New Roman"/>
                <w:sz w:val="24"/>
                <w:lang w:eastAsia="zh-CN"/>
              </w:rPr>
              <w:t>增强</w:t>
            </w:r>
            <w:r>
              <w:rPr>
                <w:rFonts w:hint="default" w:ascii="Times New Roman" w:hAnsi="Times New Roman" w:eastAsia="宋体" w:cs="Times New Roman"/>
                <w:sz w:val="24"/>
              </w:rPr>
              <w:t>职工安全意识</w:t>
            </w:r>
          </w:p>
          <w:p w14:paraId="6E064C7C">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职工安全生产的经验不足，一定程度上会增加事故发生的概率，因此企业对生产操作工人必须进行上岗前专业技术培训，严格管理，</w:t>
            </w:r>
            <w:r>
              <w:rPr>
                <w:rFonts w:hint="eastAsia" w:cs="Times New Roman"/>
                <w:sz w:val="24"/>
                <w:lang w:eastAsia="zh-CN"/>
              </w:rPr>
              <w:t>增强</w:t>
            </w:r>
            <w:r>
              <w:rPr>
                <w:rFonts w:hint="default" w:ascii="Times New Roman" w:hAnsi="Times New Roman" w:eastAsia="宋体" w:cs="Times New Roman"/>
                <w:sz w:val="24"/>
              </w:rPr>
              <w:t>职工安全环保意识。</w:t>
            </w:r>
          </w:p>
          <w:p w14:paraId="10AC2832">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（3）提高事故应急处理的能力</w:t>
            </w:r>
          </w:p>
          <w:p w14:paraId="43C4AA61">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企业对具有高危害设备设置保险措施，对危险车间可设置消防装置等必备设施，并辅以适当的通讯工具，定期进行安全环保宣传教育以及紧急事故模拟演习，提高事故应变能力。</w:t>
            </w:r>
          </w:p>
          <w:p w14:paraId="5CB72545">
            <w:pPr>
              <w:spacing w:line="360" w:lineRule="auto"/>
              <w:rPr>
                <w:rFonts w:hint="default" w:ascii="Times New Roman" w:hAnsi="Times New Roman" w:eastAsia="宋体" w:cs="Times New Roman"/>
                <w:b/>
                <w:bCs/>
                <w:sz w:val="24"/>
              </w:rPr>
            </w:pPr>
            <w:r>
              <w:rPr>
                <w:rFonts w:hint="eastAsia" w:cs="Times New Roman"/>
                <w:b/>
                <w:bCs/>
                <w:sz w:val="24"/>
                <w:lang w:val="en-US" w:eastAsia="zh-CN"/>
              </w:rPr>
              <w:t xml:space="preserve">5.4 </w:t>
            </w:r>
            <w:r>
              <w:rPr>
                <w:rFonts w:hint="default" w:ascii="Times New Roman" w:hAnsi="Times New Roman" w:eastAsia="宋体" w:cs="Times New Roman"/>
                <w:b/>
                <w:bCs/>
                <w:sz w:val="24"/>
              </w:rPr>
              <w:t>废气事故排放的风险防范措施</w:t>
            </w:r>
          </w:p>
          <w:p w14:paraId="073ABA50">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（1）做好废气处理装置的保养和维护工作，集气装置的风机量</w:t>
            </w:r>
            <w:r>
              <w:rPr>
                <w:rFonts w:hint="eastAsia" w:ascii="Times New Roman" w:hAnsi="Times New Roman" w:eastAsia="宋体" w:cs="Times New Roman"/>
                <w:sz w:val="24"/>
                <w:lang w:val="en-US" w:eastAsia="zh-CN"/>
              </w:rPr>
              <w:t>定期检查</w:t>
            </w:r>
            <w:r>
              <w:rPr>
                <w:rFonts w:hint="default" w:ascii="Times New Roman" w:hAnsi="Times New Roman" w:eastAsia="宋体" w:cs="Times New Roman"/>
                <w:sz w:val="24"/>
              </w:rPr>
              <w:t>，管道要密闭，防止因密封不足导致吸力不够。</w:t>
            </w:r>
          </w:p>
          <w:p w14:paraId="48EC2D37">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（2）加强对废气处理设施进行日常管理和设备维护，一旦出现故障应立即停产抢修，严禁废气未经处理直接排放。</w:t>
            </w:r>
          </w:p>
          <w:p w14:paraId="23E176DE">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（3）建立废气处理设施的周、月、季和年度检查制度。</w:t>
            </w:r>
          </w:p>
          <w:p w14:paraId="3CDDFB73">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（4）加强安全培训、对岗位职工进行经常性的安全、消防教育，</w:t>
            </w:r>
            <w:r>
              <w:rPr>
                <w:rFonts w:hint="eastAsia" w:cs="Times New Roman"/>
                <w:sz w:val="24"/>
                <w:lang w:eastAsia="zh-CN"/>
              </w:rPr>
              <w:t>增强</w:t>
            </w:r>
            <w:r>
              <w:rPr>
                <w:rFonts w:hint="default" w:ascii="Times New Roman" w:hAnsi="Times New Roman" w:eastAsia="宋体" w:cs="Times New Roman"/>
                <w:sz w:val="24"/>
              </w:rPr>
              <w:t>职工安全意识和安全技能，掌握岗位风险和应急处置办法。</w:t>
            </w:r>
          </w:p>
          <w:p w14:paraId="3464757D">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（5）个人防护方面要加强口罩等劳保用品的发放和配套，以保护员工的身心健康。</w:t>
            </w:r>
          </w:p>
          <w:p w14:paraId="25A2C0C2">
            <w:pPr>
              <w:spacing w:line="360" w:lineRule="auto"/>
              <w:rPr>
                <w:rFonts w:hint="default" w:ascii="Times New Roman" w:hAnsi="Times New Roman" w:eastAsia="宋体" w:cs="Times New Roman"/>
                <w:b/>
                <w:bCs/>
                <w:sz w:val="24"/>
              </w:rPr>
            </w:pPr>
            <w:r>
              <w:rPr>
                <w:rFonts w:hint="eastAsia" w:cs="Times New Roman"/>
                <w:b/>
                <w:bCs/>
                <w:sz w:val="24"/>
                <w:lang w:val="en-US" w:eastAsia="zh-CN"/>
              </w:rPr>
              <w:t xml:space="preserve">5.5 </w:t>
            </w:r>
            <w:r>
              <w:rPr>
                <w:rFonts w:hint="default" w:ascii="Times New Roman" w:hAnsi="Times New Roman" w:eastAsia="宋体" w:cs="Times New Roman"/>
                <w:b/>
                <w:bCs/>
                <w:sz w:val="24"/>
              </w:rPr>
              <w:t>消防及火灾事故防范措施</w:t>
            </w:r>
          </w:p>
          <w:p w14:paraId="2F419B96">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（1）企业在消防工</w:t>
            </w:r>
            <w:r>
              <w:rPr>
                <w:rFonts w:hint="eastAsia" w:cs="Times New Roman"/>
                <w:sz w:val="24"/>
                <w:lang w:eastAsia="zh-CN"/>
              </w:rPr>
              <w:t>作中</w:t>
            </w:r>
            <w:r>
              <w:rPr>
                <w:rFonts w:hint="default" w:ascii="Times New Roman" w:hAnsi="Times New Roman" w:eastAsia="宋体" w:cs="Times New Roman"/>
                <w:sz w:val="24"/>
              </w:rPr>
              <w:t>要注意的有关事项包括：</w:t>
            </w:r>
          </w:p>
          <w:p w14:paraId="138D653E">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①全员职工要树立消防意识，普及对消防工作的宣传，生产区、仓库不得有火种（严禁吸烟、注意电线老化、防止机械摩擦、热辐射传导引起的火种，生活区必须和生产区分离）。</w:t>
            </w:r>
          </w:p>
          <w:p w14:paraId="15484D42">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highlight w:val="none"/>
              </w:rPr>
              <w:t>②</w:t>
            </w:r>
            <w:r>
              <w:rPr>
                <w:rFonts w:hint="eastAsia" w:ascii="Times New Roman" w:hAnsi="Times New Roman" w:eastAsia="宋体" w:cs="Times New Roman"/>
                <w:sz w:val="24"/>
                <w:highlight w:val="none"/>
                <w:lang w:val="en-US" w:eastAsia="zh-CN"/>
              </w:rPr>
              <w:t>本项目</w:t>
            </w:r>
            <w:r>
              <w:rPr>
                <w:rFonts w:hint="default" w:ascii="Times New Roman" w:hAnsi="Times New Roman" w:eastAsia="宋体" w:cs="Times New Roman"/>
                <w:sz w:val="24"/>
              </w:rPr>
              <w:t>行业属于</w:t>
            </w:r>
            <w:r>
              <w:rPr>
                <w:rFonts w:hint="eastAsia" w:ascii="Times New Roman" w:hAnsi="Times New Roman" w:eastAsia="宋体" w:cs="Times New Roman"/>
                <w:sz w:val="24"/>
                <w:lang w:val="en-US" w:eastAsia="zh-CN"/>
              </w:rPr>
              <w:t>重点</w:t>
            </w:r>
            <w:r>
              <w:rPr>
                <w:rFonts w:hint="default" w:ascii="Times New Roman" w:hAnsi="Times New Roman" w:eastAsia="宋体" w:cs="Times New Roman"/>
                <w:sz w:val="24"/>
              </w:rPr>
              <w:t>消防单位，要按</w:t>
            </w:r>
            <w:r>
              <w:rPr>
                <w:rFonts w:hint="eastAsia" w:ascii="Times New Roman" w:hAnsi="Times New Roman" w:eastAsia="宋体" w:cs="Times New Roman"/>
                <w:sz w:val="24"/>
                <w:lang w:val="en-US" w:eastAsia="zh-CN"/>
              </w:rPr>
              <w:t>重点</w:t>
            </w:r>
            <w:r>
              <w:rPr>
                <w:rFonts w:hint="default" w:ascii="Times New Roman" w:hAnsi="Times New Roman" w:eastAsia="宋体" w:cs="Times New Roman"/>
                <w:sz w:val="24"/>
              </w:rPr>
              <w:t>消防单位消防设施配备专用消防电源，专用消防水泵，消防管道及消防水带。同</w:t>
            </w:r>
            <w:r>
              <w:rPr>
                <w:rFonts w:hint="eastAsia" w:cs="Times New Roman"/>
                <w:sz w:val="24"/>
                <w:lang w:val="en-US" w:eastAsia="zh-CN"/>
              </w:rPr>
              <w:t>时</w:t>
            </w:r>
            <w:r>
              <w:rPr>
                <w:rFonts w:hint="default" w:ascii="Times New Roman" w:hAnsi="Times New Roman" w:eastAsia="宋体" w:cs="Times New Roman"/>
                <w:sz w:val="24"/>
              </w:rPr>
              <w:t>必须</w:t>
            </w:r>
            <w:r>
              <w:rPr>
                <w:rFonts w:hint="eastAsia" w:cs="Times New Roman"/>
                <w:sz w:val="24"/>
                <w:lang w:eastAsia="zh-CN"/>
              </w:rPr>
              <w:t>备有</w:t>
            </w:r>
            <w:r>
              <w:rPr>
                <w:rFonts w:hint="default" w:ascii="Times New Roman" w:hAnsi="Times New Roman" w:eastAsia="宋体" w:cs="Times New Roman"/>
                <w:sz w:val="24"/>
              </w:rPr>
              <w:t>足够有效的灭火器，消防防毒面具，消防绳等</w:t>
            </w:r>
            <w:r>
              <w:rPr>
                <w:rFonts w:hint="eastAsia" w:cs="Times New Roman"/>
                <w:sz w:val="24"/>
                <w:lang w:eastAsia="zh-CN"/>
              </w:rPr>
              <w:t>消防器材</w:t>
            </w:r>
            <w:r>
              <w:rPr>
                <w:rFonts w:hint="default" w:ascii="Times New Roman" w:hAnsi="Times New Roman" w:eastAsia="宋体" w:cs="Times New Roman"/>
                <w:sz w:val="24"/>
              </w:rPr>
              <w:t>，留足消防通道和救生通道以及必备的消防条件。</w:t>
            </w:r>
          </w:p>
          <w:p w14:paraId="7AD424E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③明确厂领导直接负责消防工作，组织一支义务消防队伍。遇有火警立即接通119火警电话请求支援，同时组织义务消防队，按照消防知识的规定，自救灭火。</w:t>
            </w:r>
          </w:p>
          <w:p w14:paraId="663F20FD">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（2）企业压力容器使用要注意的有关事项包括：</w:t>
            </w:r>
          </w:p>
          <w:p w14:paraId="77EC8681">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①在使用设备前，使用单位应当按规定到当地特种设备监察部门申请注册登记，并每年</w:t>
            </w:r>
            <w:r>
              <w:rPr>
                <w:rFonts w:hint="eastAsia" w:cs="Times New Roman"/>
                <w:color w:val="auto"/>
                <w:sz w:val="24"/>
                <w:szCs w:val="24"/>
                <w:lang w:val="en-US" w:eastAsia="zh-CN" w:bidi="ar-SA"/>
              </w:rPr>
              <w:t>由</w:t>
            </w:r>
            <w:r>
              <w:rPr>
                <w:rFonts w:hint="default" w:ascii="Times New Roman" w:hAnsi="Times New Roman" w:eastAsia="宋体" w:cs="Times New Roman"/>
                <w:color w:val="auto"/>
                <w:sz w:val="24"/>
                <w:szCs w:val="24"/>
                <w:lang w:val="en-US" w:eastAsia="zh-CN" w:bidi="ar-SA"/>
              </w:rPr>
              <w:t>技术监督部门对这些设备进行年检，建立设备档案，设备运行记录。安全操作规程，合格后方能使用。</w:t>
            </w:r>
          </w:p>
          <w:p w14:paraId="78C25A9D">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②厂长是企业安全第一责任人，各操作现场必须将安全操作规程明示上墙，脱硫工艺人员必须经过行业专业培训，持特种作业证上岗，必须严格遵守操作规程，工作时要认真细致，不得擅自离岗，设备出现故障，必须及时汇报并立即进行维修，严禁野蛮操作。</w:t>
            </w:r>
          </w:p>
          <w:p w14:paraId="048F8879">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（3）企业在操作旋转机械注意的有关事项包括：</w:t>
            </w:r>
          </w:p>
          <w:p w14:paraId="509FA1D7">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①上岗人员必须受过专业培训，并遵守劳动安全规定。</w:t>
            </w:r>
          </w:p>
          <w:p w14:paraId="5456B63B">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②旋转设备的传动部分必须配置防护罩，各种机械必须配置紧急刹车装置，确保安全可靠。</w:t>
            </w:r>
          </w:p>
          <w:p w14:paraId="7D760E06">
            <w:pPr>
              <w:widowControl w:val="0"/>
              <w:autoSpaceDE w:val="0"/>
              <w:autoSpaceDN w:val="0"/>
              <w:adjustRightInd w:val="0"/>
              <w:spacing w:line="360" w:lineRule="auto"/>
              <w:rPr>
                <w:rFonts w:hint="default" w:ascii="Times New Roman" w:hAnsi="Times New Roman" w:eastAsia="宋体" w:cs="Times New Roman"/>
                <w:b/>
                <w:bCs/>
                <w:color w:val="auto"/>
                <w:sz w:val="24"/>
                <w:szCs w:val="24"/>
                <w:lang w:val="en-US" w:eastAsia="zh-CN" w:bidi="ar-SA"/>
              </w:rPr>
            </w:pPr>
            <w:r>
              <w:rPr>
                <w:rFonts w:hint="eastAsia" w:cs="Times New Roman"/>
                <w:b/>
                <w:bCs/>
                <w:color w:val="auto"/>
                <w:sz w:val="24"/>
                <w:szCs w:val="24"/>
                <w:lang w:val="en-US" w:eastAsia="zh-CN" w:bidi="ar-SA"/>
              </w:rPr>
              <w:t xml:space="preserve">5.6 </w:t>
            </w:r>
            <w:r>
              <w:rPr>
                <w:rFonts w:hint="default" w:ascii="Times New Roman" w:hAnsi="Times New Roman" w:eastAsia="宋体" w:cs="Times New Roman"/>
                <w:b/>
                <w:bCs/>
                <w:color w:val="auto"/>
                <w:sz w:val="24"/>
                <w:szCs w:val="24"/>
                <w:lang w:val="en-US" w:eastAsia="zh-CN" w:bidi="ar-SA"/>
              </w:rPr>
              <w:t>事故安全对策及应急预案</w:t>
            </w:r>
          </w:p>
          <w:p w14:paraId="5C2A5EC2">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（1）严格安全管理制度，严格执行安全规章制度，强化现场安全监</w:t>
            </w:r>
            <w:r>
              <w:rPr>
                <w:rFonts w:hint="eastAsia" w:cs="Times New Roman"/>
                <w:color w:val="auto"/>
                <w:sz w:val="24"/>
                <w:szCs w:val="24"/>
                <w:lang w:val="en-US" w:eastAsia="zh-CN" w:bidi="ar-SA"/>
              </w:rPr>
              <w:t>督和</w:t>
            </w:r>
            <w:r>
              <w:rPr>
                <w:rFonts w:hint="default" w:ascii="Times New Roman" w:hAnsi="Times New Roman" w:eastAsia="宋体" w:cs="Times New Roman"/>
                <w:color w:val="auto"/>
                <w:sz w:val="24"/>
                <w:szCs w:val="24"/>
                <w:lang w:val="en-US" w:eastAsia="zh-CN" w:bidi="ar-SA"/>
              </w:rPr>
              <w:t>严格安全管理制度，明确安全责任，逐条落实。要制定并执行严格的安全规章制度</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如制定相应的安全操作规程，设备维修制度等等</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，从制度上控制事故。工厂安全防火监督部门和车间安全防火人员及项目负责人认真负责，加强对现场的安全防火监督管理，对作业中违章作业及违章指挥人员，立即纠正，确保各项规章制度落到实处。</w:t>
            </w:r>
          </w:p>
          <w:p w14:paraId="201619F5">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（2）加强作业人员的安全教育，控制人的不安全行为。加强工人的安全教育，是</w:t>
            </w:r>
            <w:r>
              <w:rPr>
                <w:rFonts w:hint="eastAsia" w:cs="Times New Roman"/>
                <w:color w:val="auto"/>
                <w:sz w:val="24"/>
                <w:szCs w:val="24"/>
                <w:lang w:val="en-US" w:eastAsia="zh-CN" w:bidi="ar-SA"/>
              </w:rPr>
              <w:t>增强</w:t>
            </w:r>
            <w:r>
              <w:rPr>
                <w:rFonts w:hint="default" w:ascii="Times New Roman" w:hAnsi="Times New Roman" w:eastAsia="宋体" w:cs="Times New Roman"/>
                <w:color w:val="auto"/>
                <w:sz w:val="24"/>
                <w:szCs w:val="24"/>
                <w:lang w:val="en-US" w:eastAsia="zh-CN" w:bidi="ar-SA"/>
              </w:rPr>
              <w:t>工人的安全意识，从根本上控制人的不安全行为的最有效措施。操作员对设备、工艺条件及容易出问题的部位要清楚，并能及时处理。工人经考试合格后方可进入作业现场，可有效地保障了作业的安全，从根本上控制了作业人员的不安全行为。</w:t>
            </w:r>
          </w:p>
          <w:p w14:paraId="2C2BAA89">
            <w:pPr>
              <w:widowControl w:val="0"/>
              <w:autoSpaceDE w:val="0"/>
              <w:autoSpaceDN w:val="0"/>
              <w:adjustRightInd w:val="0"/>
              <w:spacing w:line="360" w:lineRule="auto"/>
              <w:ind w:firstLine="480" w:firstLineChars="200"/>
              <w:rPr>
                <w:rFonts w:ascii="宋体" w:hAnsi="宋体" w:eastAsia="宋体" w:cs="Times New Roman"/>
                <w:color w:val="auto"/>
                <w:sz w:val="24"/>
                <w:szCs w:val="24"/>
                <w:lang w:val="en-US" w:eastAsia="zh-CN" w:bidi="ar-SA"/>
              </w:rPr>
            </w:pPr>
            <w:r>
              <w:rPr>
                <w:rFonts w:ascii="宋体" w:hAnsi="宋体" w:eastAsia="宋体" w:cs="Times New Roman"/>
                <w:color w:val="auto"/>
                <w:sz w:val="24"/>
                <w:szCs w:val="24"/>
                <w:lang w:val="en-US" w:eastAsia="zh-CN" w:bidi="ar-SA"/>
              </w:rPr>
              <w:t>（3）针对火灾、爆炸等危险危害因素，制定相应的应急救援预案并应该定期演练。</w:t>
            </w:r>
          </w:p>
          <w:p w14:paraId="09A1CB70">
            <w:pPr>
              <w:widowControl w:val="0"/>
              <w:autoSpaceDE w:val="0"/>
              <w:autoSpaceDN w:val="0"/>
              <w:adjustRightInd w:val="0"/>
              <w:spacing w:line="360" w:lineRule="auto"/>
              <w:ind w:firstLine="480" w:firstLineChars="200"/>
              <w:rPr>
                <w:rFonts w:ascii="宋体" w:hAnsi="宋体" w:eastAsia="宋体" w:cs="Times New Roman"/>
                <w:color w:val="auto"/>
                <w:sz w:val="24"/>
                <w:szCs w:val="24"/>
                <w:lang w:val="en-US" w:eastAsia="zh-CN" w:bidi="ar-SA"/>
              </w:rPr>
            </w:pPr>
            <w:r>
              <w:rPr>
                <w:rFonts w:ascii="宋体" w:hAnsi="宋体" w:eastAsia="宋体" w:cs="Times New Roman"/>
                <w:color w:val="auto"/>
                <w:sz w:val="24"/>
                <w:szCs w:val="24"/>
                <w:lang w:val="en-US" w:eastAsia="zh-CN" w:bidi="ar-SA"/>
              </w:rPr>
              <w:t>（4）应给员工配备相应的工作用具和劳动防护用品，并督促其正确使用。为员工创造良好的工作环境。</w:t>
            </w:r>
          </w:p>
          <w:p w14:paraId="3961FCBD">
            <w:pPr>
              <w:widowControl w:val="0"/>
              <w:autoSpaceDE w:val="0"/>
              <w:autoSpaceDN w:val="0"/>
              <w:adjustRightInd w:val="0"/>
              <w:spacing w:line="360" w:lineRule="auto"/>
              <w:ind w:firstLine="480" w:firstLineChars="200"/>
              <w:rPr>
                <w:rFonts w:ascii="宋体" w:hAnsi="宋体" w:eastAsia="宋体" w:cs="Times New Roman"/>
                <w:color w:val="auto"/>
                <w:sz w:val="24"/>
                <w:szCs w:val="24"/>
                <w:lang w:val="en-US" w:eastAsia="zh-CN" w:bidi="ar-SA"/>
              </w:rPr>
            </w:pPr>
            <w:r>
              <w:rPr>
                <w:rFonts w:ascii="宋体" w:hAnsi="宋体" w:eastAsia="宋体" w:cs="Times New Roman"/>
                <w:color w:val="auto"/>
                <w:sz w:val="24"/>
                <w:szCs w:val="24"/>
                <w:lang w:val="en-US" w:eastAsia="zh-CN" w:bidi="ar-SA"/>
              </w:rPr>
              <w:t>（5）在工艺、设备的设计时应充分考虑到其安全性，提高装置的本质安全。在使用、维护、检修时应严格按照相关的规程要求进行。在设备的选择上应采用耐腐蚀性强的合格设备及安全附件。同时要有控制手段，定期对设备进行检测检验，不能超期使用。</w:t>
            </w:r>
          </w:p>
          <w:p w14:paraId="37068C7C">
            <w:pPr>
              <w:keepLines/>
              <w:widowControl w:val="0"/>
              <w:adjustRightInd w:val="0"/>
              <w:spacing w:before="0" w:after="0" w:line="360" w:lineRule="auto"/>
              <w:jc w:val="both"/>
              <w:textAlignment w:val="baseline"/>
              <w:outlineLvl w:val="2"/>
              <w:rPr>
                <w:rFonts w:hint="default" w:ascii="Times New Roman" w:hAnsi="Times New Roman" w:eastAsia="宋体" w:cs="Times New Roman"/>
                <w:b/>
                <w:kern w:val="0"/>
                <w:sz w:val="24"/>
                <w:szCs w:val="24"/>
                <w:lang w:val="en-US" w:eastAsia="zh-CN" w:bidi="ar-SA"/>
              </w:rPr>
            </w:pPr>
            <w:r>
              <w:rPr>
                <w:rFonts w:hint="eastAsia" w:cs="Times New Roman"/>
                <w:b/>
                <w:kern w:val="0"/>
                <w:sz w:val="24"/>
                <w:szCs w:val="24"/>
                <w:lang w:val="en-US" w:eastAsia="zh-CN" w:bidi="ar-SA"/>
              </w:rPr>
              <w:t xml:space="preserve">5.7 </w:t>
            </w:r>
            <w:r>
              <w:rPr>
                <w:rFonts w:hint="default" w:ascii="Times New Roman" w:hAnsi="Times New Roman" w:eastAsia="宋体" w:cs="Times New Roman"/>
                <w:b/>
                <w:kern w:val="0"/>
                <w:sz w:val="24"/>
                <w:szCs w:val="24"/>
                <w:lang w:val="en-US" w:eastAsia="zh-CN" w:bidi="ar-SA"/>
              </w:rPr>
              <w:t>应急预案的建立</w:t>
            </w:r>
          </w:p>
          <w:p w14:paraId="16A2C3F5">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（1）应急预案内容</w:t>
            </w:r>
          </w:p>
          <w:p w14:paraId="488F7237">
            <w:pPr>
              <w:widowControl w:val="0"/>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应急组织要坚持“主动预防、积极抢救”的原则，应能够处理项目区突发事故，快速的反应和正确的处理措施是处理突发事故和灾害的关键。应急预案所要求的基本内容可参照表</w:t>
            </w:r>
            <w:r>
              <w:rPr>
                <w:rFonts w:hint="eastAsia" w:ascii="Times New Roman" w:hAnsi="Times New Roman" w:eastAsia="宋体" w:cs="Times New Roman"/>
                <w:color w:val="auto"/>
                <w:sz w:val="24"/>
                <w:szCs w:val="24"/>
                <w:lang w:val="en-US" w:eastAsia="zh-CN" w:bidi="ar-SA"/>
              </w:rPr>
              <w:t>4-2</w:t>
            </w:r>
            <w:r>
              <w:rPr>
                <w:rFonts w:hint="eastAsia" w:cs="Times New Roman"/>
                <w:color w:val="auto"/>
                <w:sz w:val="24"/>
                <w:szCs w:val="24"/>
                <w:lang w:val="en-US" w:eastAsia="zh-CN" w:bidi="ar-SA"/>
              </w:rPr>
              <w:t>8</w:t>
            </w:r>
            <w:r>
              <w:rPr>
                <w:rFonts w:hint="default" w:ascii="Times New Roman" w:hAnsi="Times New Roman" w:eastAsia="宋体" w:cs="Times New Roman"/>
                <w:color w:val="auto"/>
                <w:sz w:val="24"/>
                <w:szCs w:val="24"/>
                <w:lang w:val="en-US" w:eastAsia="zh-CN" w:bidi="ar-SA"/>
              </w:rPr>
              <w:t>中的相关内容。</w:t>
            </w:r>
          </w:p>
          <w:p w14:paraId="6798C66C">
            <w:pPr>
              <w:pStyle w:val="33"/>
              <w:rPr>
                <w:rFonts w:hint="default" w:ascii="黑体" w:hAnsi="黑体" w:eastAsia="黑体" w:cs="黑体"/>
                <w:b w:val="0"/>
                <w:bCs w:val="0"/>
                <w:color w:val="auto"/>
                <w:kern w:val="2"/>
                <w:sz w:val="21"/>
                <w:szCs w:val="21"/>
                <w:lang w:val="en-US" w:eastAsia="zh-CN" w:bidi="ar-SA"/>
              </w:rPr>
            </w:pPr>
            <w:r>
              <w:rPr>
                <w:rFonts w:hint="default" w:ascii="黑体" w:hAnsi="黑体" w:eastAsia="黑体" w:cs="黑体"/>
                <w:b w:val="0"/>
                <w:bCs w:val="0"/>
                <w:color w:val="auto"/>
                <w:kern w:val="2"/>
                <w:sz w:val="21"/>
                <w:szCs w:val="21"/>
                <w:lang w:val="en-US" w:eastAsia="zh-CN" w:bidi="ar-SA"/>
              </w:rPr>
              <w:t>表4-</w:t>
            </w:r>
            <w:r>
              <w:rPr>
                <w:rFonts w:hint="eastAsia" w:ascii="黑体" w:hAnsi="黑体" w:eastAsia="黑体" w:cs="黑体"/>
                <w:b w:val="0"/>
                <w:bCs w:val="0"/>
                <w:color w:val="auto"/>
                <w:kern w:val="2"/>
                <w:sz w:val="21"/>
                <w:szCs w:val="21"/>
                <w:lang w:val="en-US" w:eastAsia="zh-CN" w:bidi="ar-SA"/>
              </w:rPr>
              <w:t>28</w:t>
            </w:r>
            <w:r>
              <w:rPr>
                <w:rFonts w:hint="default" w:ascii="黑体" w:hAnsi="黑体" w:eastAsia="黑体" w:cs="黑体"/>
                <w:b w:val="0"/>
                <w:bCs w:val="0"/>
                <w:color w:val="auto"/>
                <w:kern w:val="2"/>
                <w:sz w:val="21"/>
                <w:szCs w:val="21"/>
                <w:lang w:val="en-US" w:eastAsia="zh-CN" w:bidi="ar-SA"/>
              </w:rPr>
              <w:t xml:space="preserve">   应急预案内容</w:t>
            </w:r>
          </w:p>
          <w:tbl>
            <w:tblPr>
              <w:tblStyle w:val="21"/>
              <w:tblW w:w="5000" w:type="pct"/>
              <w:tblInd w:w="-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4"/>
              <w:gridCol w:w="3163"/>
              <w:gridCol w:w="4707"/>
            </w:tblGrid>
            <w:tr w14:paraId="7CE23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432" w:type="pct"/>
                  <w:tcBorders>
                    <w:tl2br w:val="nil"/>
                    <w:tr2bl w:val="nil"/>
                  </w:tcBorders>
                  <w:noWrap w:val="0"/>
                  <w:vAlign w:val="center"/>
                </w:tcPr>
                <w:p w14:paraId="64B2B7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序号</w:t>
                  </w:r>
                </w:p>
              </w:tc>
              <w:tc>
                <w:tcPr>
                  <w:tcW w:w="1836" w:type="pct"/>
                  <w:tcBorders>
                    <w:tl2br w:val="nil"/>
                    <w:tr2bl w:val="nil"/>
                  </w:tcBorders>
                  <w:noWrap w:val="0"/>
                  <w:vAlign w:val="center"/>
                </w:tcPr>
                <w:p w14:paraId="3751F7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项目</w:t>
                  </w:r>
                </w:p>
              </w:tc>
              <w:tc>
                <w:tcPr>
                  <w:tcW w:w="2732" w:type="pct"/>
                  <w:tcBorders>
                    <w:tl2br w:val="nil"/>
                    <w:tr2bl w:val="nil"/>
                  </w:tcBorders>
                  <w:noWrap w:val="0"/>
                  <w:vAlign w:val="center"/>
                </w:tcPr>
                <w:p w14:paraId="271D06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内容及要求</w:t>
                  </w:r>
                </w:p>
              </w:tc>
            </w:tr>
            <w:tr w14:paraId="523C3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432" w:type="pct"/>
                  <w:tcBorders>
                    <w:tl2br w:val="nil"/>
                    <w:tr2bl w:val="nil"/>
                  </w:tcBorders>
                  <w:noWrap w:val="0"/>
                  <w:vAlign w:val="center"/>
                </w:tcPr>
                <w:p w14:paraId="499DC8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1</w:t>
                  </w:r>
                </w:p>
              </w:tc>
              <w:tc>
                <w:tcPr>
                  <w:tcW w:w="1836" w:type="pct"/>
                  <w:tcBorders>
                    <w:tl2br w:val="nil"/>
                    <w:tr2bl w:val="nil"/>
                  </w:tcBorders>
                  <w:noWrap w:val="0"/>
                  <w:vAlign w:val="center"/>
                </w:tcPr>
                <w:p w14:paraId="41F977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应急计划区</w:t>
                  </w:r>
                </w:p>
              </w:tc>
              <w:tc>
                <w:tcPr>
                  <w:tcW w:w="2732" w:type="pct"/>
                  <w:tcBorders>
                    <w:tl2br w:val="nil"/>
                    <w:tr2bl w:val="nil"/>
                  </w:tcBorders>
                  <w:noWrap w:val="0"/>
                  <w:vAlign w:val="center"/>
                </w:tcPr>
                <w:p w14:paraId="35625B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危险目标，环境保护目标</w:t>
                  </w:r>
                </w:p>
              </w:tc>
            </w:tr>
            <w:tr w14:paraId="0490F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432" w:type="pct"/>
                  <w:tcBorders>
                    <w:tl2br w:val="nil"/>
                    <w:tr2bl w:val="nil"/>
                  </w:tcBorders>
                  <w:noWrap w:val="0"/>
                  <w:vAlign w:val="center"/>
                </w:tcPr>
                <w:p w14:paraId="4418BE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2</w:t>
                  </w:r>
                </w:p>
              </w:tc>
              <w:tc>
                <w:tcPr>
                  <w:tcW w:w="1836" w:type="pct"/>
                  <w:tcBorders>
                    <w:tl2br w:val="nil"/>
                    <w:tr2bl w:val="nil"/>
                  </w:tcBorders>
                  <w:noWrap w:val="0"/>
                  <w:vAlign w:val="center"/>
                </w:tcPr>
                <w:p w14:paraId="2E187E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应急组织机构、人员</w:t>
                  </w:r>
                </w:p>
              </w:tc>
              <w:tc>
                <w:tcPr>
                  <w:tcW w:w="2732" w:type="pct"/>
                  <w:tcBorders>
                    <w:tl2br w:val="nil"/>
                    <w:tr2bl w:val="nil"/>
                  </w:tcBorders>
                  <w:noWrap w:val="0"/>
                  <w:vAlign w:val="center"/>
                </w:tcPr>
                <w:p w14:paraId="24F281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项目区应急组织机构、人员</w:t>
                  </w:r>
                </w:p>
              </w:tc>
            </w:tr>
            <w:tr w14:paraId="76F9F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432" w:type="pct"/>
                  <w:tcBorders>
                    <w:tl2br w:val="nil"/>
                    <w:tr2bl w:val="nil"/>
                  </w:tcBorders>
                  <w:noWrap w:val="0"/>
                  <w:vAlign w:val="center"/>
                </w:tcPr>
                <w:p w14:paraId="0BE32D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3</w:t>
                  </w:r>
                </w:p>
              </w:tc>
              <w:tc>
                <w:tcPr>
                  <w:tcW w:w="1836" w:type="pct"/>
                  <w:tcBorders>
                    <w:tl2br w:val="nil"/>
                    <w:tr2bl w:val="nil"/>
                  </w:tcBorders>
                  <w:noWrap w:val="0"/>
                  <w:vAlign w:val="center"/>
                </w:tcPr>
                <w:p w14:paraId="0CDF1C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预案分级响应条件</w:t>
                  </w:r>
                </w:p>
              </w:tc>
              <w:tc>
                <w:tcPr>
                  <w:tcW w:w="2732" w:type="pct"/>
                  <w:tcBorders>
                    <w:tl2br w:val="nil"/>
                    <w:tr2bl w:val="nil"/>
                  </w:tcBorders>
                  <w:noWrap w:val="0"/>
                  <w:vAlign w:val="center"/>
                </w:tcPr>
                <w:p w14:paraId="4396A1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规定预案的级别及分级响应程序</w:t>
                  </w:r>
                </w:p>
              </w:tc>
            </w:tr>
            <w:tr w14:paraId="3447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432" w:type="pct"/>
                  <w:tcBorders>
                    <w:tl2br w:val="nil"/>
                    <w:tr2bl w:val="nil"/>
                  </w:tcBorders>
                  <w:noWrap w:val="0"/>
                  <w:vAlign w:val="center"/>
                </w:tcPr>
                <w:p w14:paraId="5F1F89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4</w:t>
                  </w:r>
                </w:p>
              </w:tc>
              <w:tc>
                <w:tcPr>
                  <w:tcW w:w="1836" w:type="pct"/>
                  <w:tcBorders>
                    <w:tl2br w:val="nil"/>
                    <w:tr2bl w:val="nil"/>
                  </w:tcBorders>
                  <w:noWrap w:val="0"/>
                  <w:vAlign w:val="center"/>
                </w:tcPr>
                <w:p w14:paraId="70CA42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应急救援保障</w:t>
                  </w:r>
                </w:p>
              </w:tc>
              <w:tc>
                <w:tcPr>
                  <w:tcW w:w="2732" w:type="pct"/>
                  <w:tcBorders>
                    <w:tl2br w:val="nil"/>
                    <w:tr2bl w:val="nil"/>
                  </w:tcBorders>
                  <w:noWrap w:val="0"/>
                  <w:vAlign w:val="center"/>
                </w:tcPr>
                <w:p w14:paraId="1FD408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应急设施，设备与器材等</w:t>
                  </w:r>
                </w:p>
              </w:tc>
            </w:tr>
            <w:tr w14:paraId="70890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32" w:type="pct"/>
                  <w:tcBorders>
                    <w:tl2br w:val="nil"/>
                    <w:tr2bl w:val="nil"/>
                  </w:tcBorders>
                  <w:noWrap w:val="0"/>
                  <w:vAlign w:val="center"/>
                </w:tcPr>
                <w:p w14:paraId="0609A5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5</w:t>
                  </w:r>
                </w:p>
              </w:tc>
              <w:tc>
                <w:tcPr>
                  <w:tcW w:w="1836" w:type="pct"/>
                  <w:tcBorders>
                    <w:tl2br w:val="nil"/>
                    <w:tr2bl w:val="nil"/>
                  </w:tcBorders>
                  <w:noWrap w:val="0"/>
                  <w:vAlign w:val="center"/>
                </w:tcPr>
                <w:p w14:paraId="190413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报警、通讯联络方式</w:t>
                  </w:r>
                </w:p>
              </w:tc>
              <w:tc>
                <w:tcPr>
                  <w:tcW w:w="2732" w:type="pct"/>
                  <w:tcBorders>
                    <w:tl2br w:val="nil"/>
                    <w:tr2bl w:val="nil"/>
                  </w:tcBorders>
                  <w:noWrap w:val="0"/>
                  <w:vAlign w:val="center"/>
                </w:tcPr>
                <w:p w14:paraId="425F76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规定应急状态下的报警通讯方式、通知方式和交通保障、管制</w:t>
                  </w:r>
                </w:p>
              </w:tc>
            </w:tr>
            <w:tr w14:paraId="1CB1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2" w:type="pct"/>
                  <w:tcBorders>
                    <w:tl2br w:val="nil"/>
                    <w:tr2bl w:val="nil"/>
                  </w:tcBorders>
                  <w:noWrap w:val="0"/>
                  <w:vAlign w:val="center"/>
                </w:tcPr>
                <w:p w14:paraId="2DB405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6</w:t>
                  </w:r>
                </w:p>
              </w:tc>
              <w:tc>
                <w:tcPr>
                  <w:tcW w:w="1836" w:type="pct"/>
                  <w:tcBorders>
                    <w:tl2br w:val="nil"/>
                    <w:tr2bl w:val="nil"/>
                  </w:tcBorders>
                  <w:noWrap w:val="0"/>
                  <w:vAlign w:val="center"/>
                </w:tcPr>
                <w:p w14:paraId="1F4064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应急环境监测、抢险、救援及控制措施</w:t>
                  </w:r>
                </w:p>
              </w:tc>
              <w:tc>
                <w:tcPr>
                  <w:tcW w:w="2732" w:type="pct"/>
                  <w:tcBorders>
                    <w:tl2br w:val="nil"/>
                    <w:tr2bl w:val="nil"/>
                  </w:tcBorders>
                  <w:noWrap w:val="0"/>
                  <w:vAlign w:val="center"/>
                </w:tcPr>
                <w:p w14:paraId="5A19CA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由专业队伍负责对事故现场进行侦查监测，对事 故性质、参数与后果进行评估，为指挥部门提供决策依据</w:t>
                  </w:r>
                </w:p>
              </w:tc>
            </w:tr>
            <w:tr w14:paraId="5802E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432" w:type="pct"/>
                  <w:tcBorders>
                    <w:tl2br w:val="nil"/>
                    <w:tr2bl w:val="nil"/>
                  </w:tcBorders>
                  <w:noWrap w:val="0"/>
                  <w:vAlign w:val="center"/>
                </w:tcPr>
                <w:p w14:paraId="3A193D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7</w:t>
                  </w:r>
                </w:p>
              </w:tc>
              <w:tc>
                <w:tcPr>
                  <w:tcW w:w="1836" w:type="pct"/>
                  <w:tcBorders>
                    <w:tl2br w:val="nil"/>
                    <w:tr2bl w:val="nil"/>
                  </w:tcBorders>
                  <w:noWrap w:val="0"/>
                  <w:vAlign w:val="center"/>
                </w:tcPr>
                <w:p w14:paraId="3BEEB1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应急检测、防护措施、清除泄漏措施和器材</w:t>
                  </w:r>
                </w:p>
              </w:tc>
              <w:tc>
                <w:tcPr>
                  <w:tcW w:w="2732" w:type="pct"/>
                  <w:tcBorders>
                    <w:tl2br w:val="nil"/>
                    <w:tr2bl w:val="nil"/>
                  </w:tcBorders>
                  <w:noWrap w:val="0"/>
                  <w:vAlign w:val="center"/>
                </w:tcPr>
                <w:p w14:paraId="47B7FE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事故现场、邻近区域、控制防火区域，控制和清除污染措施及相应设备</w:t>
                  </w:r>
                </w:p>
              </w:tc>
            </w:tr>
            <w:tr w14:paraId="27F82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2" w:type="pct"/>
                  <w:tcBorders>
                    <w:tl2br w:val="nil"/>
                    <w:tr2bl w:val="nil"/>
                  </w:tcBorders>
                  <w:noWrap w:val="0"/>
                  <w:vAlign w:val="center"/>
                </w:tcPr>
                <w:p w14:paraId="26C7AA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8</w:t>
                  </w:r>
                </w:p>
              </w:tc>
              <w:tc>
                <w:tcPr>
                  <w:tcW w:w="1836" w:type="pct"/>
                  <w:tcBorders>
                    <w:tl2br w:val="nil"/>
                    <w:tr2bl w:val="nil"/>
                  </w:tcBorders>
                  <w:noWrap w:val="0"/>
                  <w:vAlign w:val="center"/>
                </w:tcPr>
                <w:p w14:paraId="6A25F3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人员紧急撤离、疏散，应急剂量控制、撤离组织计划</w:t>
                  </w:r>
                </w:p>
              </w:tc>
              <w:tc>
                <w:tcPr>
                  <w:tcW w:w="2732" w:type="pct"/>
                  <w:tcBorders>
                    <w:tl2br w:val="nil"/>
                    <w:tr2bl w:val="nil"/>
                  </w:tcBorders>
                  <w:noWrap w:val="0"/>
                  <w:vAlign w:val="center"/>
                </w:tcPr>
                <w:p w14:paraId="547618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事故现场、工厂邻近</w:t>
                  </w:r>
                  <w:r>
                    <w:rPr>
                      <w:rFonts w:hint="eastAsia" w:cs="Times New Roman"/>
                      <w:szCs w:val="21"/>
                      <w:lang w:eastAsia="zh-CN"/>
                    </w:rPr>
                    <w:t>区域</w:t>
                  </w:r>
                  <w:r>
                    <w:rPr>
                      <w:rFonts w:hint="default" w:ascii="Times New Roman" w:hAnsi="Times New Roman" w:cs="Times New Roman"/>
                      <w:szCs w:val="21"/>
                    </w:rPr>
                    <w:t>、受事故影响的区域人员及公众对毒物应急剂量控制规定，撤离组织计划</w:t>
                  </w:r>
                </w:p>
                <w:p w14:paraId="5A41F8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及救护，医疗救护与公众健康</w:t>
                  </w:r>
                </w:p>
              </w:tc>
            </w:tr>
            <w:tr w14:paraId="0F6BB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432" w:type="pct"/>
                  <w:tcBorders>
                    <w:tl2br w:val="nil"/>
                    <w:tr2bl w:val="nil"/>
                  </w:tcBorders>
                  <w:noWrap w:val="0"/>
                  <w:vAlign w:val="center"/>
                </w:tcPr>
                <w:p w14:paraId="29F69D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9</w:t>
                  </w:r>
                </w:p>
              </w:tc>
              <w:tc>
                <w:tcPr>
                  <w:tcW w:w="1836" w:type="pct"/>
                  <w:tcBorders>
                    <w:tl2br w:val="nil"/>
                    <w:tr2bl w:val="nil"/>
                  </w:tcBorders>
                  <w:noWrap w:val="0"/>
                  <w:vAlign w:val="center"/>
                </w:tcPr>
                <w:p w14:paraId="042019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事故应急救援关闭程序与恢复</w:t>
                  </w:r>
                </w:p>
                <w:p w14:paraId="6997EC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措施</w:t>
                  </w:r>
                </w:p>
              </w:tc>
              <w:tc>
                <w:tcPr>
                  <w:tcW w:w="2732" w:type="pct"/>
                  <w:tcBorders>
                    <w:tl2br w:val="nil"/>
                    <w:tr2bl w:val="nil"/>
                  </w:tcBorders>
                  <w:noWrap w:val="0"/>
                  <w:vAlign w:val="center"/>
                </w:tcPr>
                <w:p w14:paraId="2BAB7B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规定应急状态终止程序，事故现场善后处理，恢复措施，邻近区域解除事故警戒及善后恢复措施</w:t>
                  </w:r>
                </w:p>
              </w:tc>
            </w:tr>
            <w:tr w14:paraId="6160B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432" w:type="pct"/>
                  <w:tcBorders>
                    <w:tl2br w:val="nil"/>
                    <w:tr2bl w:val="nil"/>
                  </w:tcBorders>
                  <w:noWrap w:val="0"/>
                  <w:vAlign w:val="center"/>
                </w:tcPr>
                <w:p w14:paraId="129605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10</w:t>
                  </w:r>
                </w:p>
              </w:tc>
              <w:tc>
                <w:tcPr>
                  <w:tcW w:w="1836" w:type="pct"/>
                  <w:tcBorders>
                    <w:tl2br w:val="nil"/>
                    <w:tr2bl w:val="nil"/>
                  </w:tcBorders>
                  <w:noWrap w:val="0"/>
                  <w:vAlign w:val="center"/>
                </w:tcPr>
                <w:p w14:paraId="1D83C9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应急培训计划</w:t>
                  </w:r>
                </w:p>
              </w:tc>
              <w:tc>
                <w:tcPr>
                  <w:tcW w:w="2732" w:type="pct"/>
                  <w:tcBorders>
                    <w:tl2br w:val="nil"/>
                    <w:tr2bl w:val="nil"/>
                  </w:tcBorders>
                  <w:noWrap w:val="0"/>
                  <w:vAlign w:val="center"/>
                </w:tcPr>
                <w:p w14:paraId="21A977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应急计划制定后，平时安排人员培训与演练</w:t>
                  </w:r>
                </w:p>
              </w:tc>
            </w:tr>
          </w:tbl>
          <w:p w14:paraId="4D34D7D8">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（2）预案分级响应条件</w:t>
            </w:r>
          </w:p>
          <w:p w14:paraId="2C14E91A">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根据事故发生的规模以及对环境造成的污染程度，规定预案的级别及分级响应程序。</w:t>
            </w:r>
          </w:p>
          <w:p w14:paraId="139FFE2E">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（3）报警、通讯联络方式</w:t>
            </w:r>
          </w:p>
          <w:p w14:paraId="5FFB6E4E">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规定应急状态下的报警通讯方式、通知方式和交通保障、管制。</w:t>
            </w:r>
          </w:p>
          <w:p w14:paraId="0A4979A4">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（4）应急措施</w:t>
            </w:r>
          </w:p>
          <w:p w14:paraId="3AEA17A4">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①应急救援组织。建设单位应成立应急救援指挥领导小组。负责制定事故应急预案、检查督促事故预防措施及应急救援的准备工作。</w:t>
            </w:r>
          </w:p>
          <w:p w14:paraId="0D05B44B">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②现场事故处置</w:t>
            </w:r>
          </w:p>
          <w:p w14:paraId="1FF98FE0">
            <w:pPr>
              <w:keepNext w:val="0"/>
              <w:pageBreakBefore w:val="0"/>
              <w:widowControl w:val="0"/>
              <w:kinsoku/>
              <w:wordWrap/>
              <w:overflowPunct/>
              <w:topLinePunct w:val="0"/>
              <w:autoSpaceDE w:val="0"/>
              <w:autoSpaceDN w:val="0"/>
              <w:bidi w:val="0"/>
              <w:adjustRightInd w:val="0"/>
              <w:snapToGrid/>
              <w:spacing w:before="0" w:beforeLines="0" w:after="0" w:afterLines="0" w:line="360" w:lineRule="auto"/>
              <w:ind w:firstLine="480" w:firstLineChars="200"/>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火灾处理方法：迅速对起火点采取隔离措施，并采用灭火剂进行灭火。转移火场周围的易燃物质，以防扩大火源。</w:t>
            </w:r>
          </w:p>
          <w:p w14:paraId="604D00A6">
            <w:pPr>
              <w:keepNext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③对于正在发生的大小事故，应有紧急应对措施</w:t>
            </w:r>
          </w:p>
          <w:p w14:paraId="37496C52">
            <w:pPr>
              <w:keepNext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对于正在发生的事故，及时与消防、环保等有关部门联系，应设有抢险车辆，并对有关人员配有联络电话，30分钟内赶到指定地点，对于相应的抢险工具，材料应放在指定地点。</w:t>
            </w:r>
          </w:p>
          <w:p w14:paraId="2146B6E1">
            <w:pPr>
              <w:keepNext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（5）应急培训计划</w:t>
            </w:r>
          </w:p>
          <w:p w14:paraId="6B50E5D6">
            <w:pPr>
              <w:keepNext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sz w:val="24"/>
              </w:rPr>
              <w:t>应急计划制定后，平时安排人员培训与演练。</w:t>
            </w:r>
          </w:p>
          <w:p w14:paraId="3FE73596">
            <w:pPr>
              <w:keepNext w:val="0"/>
              <w:keepLines/>
              <w:pageBreakBefore w:val="0"/>
              <w:widowControl w:val="0"/>
              <w:kinsoku/>
              <w:wordWrap/>
              <w:overflowPunct/>
              <w:topLinePunct w:val="0"/>
              <w:bidi w:val="0"/>
              <w:adjustRightInd w:val="0"/>
              <w:snapToGrid/>
              <w:spacing w:before="0" w:beforeLines="0" w:after="0" w:afterLines="0" w:line="360" w:lineRule="auto"/>
              <w:jc w:val="both"/>
              <w:textAlignment w:val="baseline"/>
              <w:outlineLvl w:val="2"/>
              <w:rPr>
                <w:rFonts w:hint="default" w:ascii="Times New Roman" w:hAnsi="Times New Roman" w:eastAsia="宋体" w:cs="Times New Roman"/>
                <w:b/>
                <w:kern w:val="0"/>
                <w:sz w:val="24"/>
                <w:szCs w:val="24"/>
                <w:lang w:val="en-US" w:eastAsia="zh-CN" w:bidi="ar-SA"/>
              </w:rPr>
            </w:pPr>
            <w:r>
              <w:rPr>
                <w:rFonts w:hint="eastAsia" w:cs="Times New Roman"/>
                <w:b/>
                <w:kern w:val="0"/>
                <w:sz w:val="24"/>
                <w:szCs w:val="24"/>
                <w:lang w:val="en-US" w:eastAsia="zh-CN" w:bidi="ar-SA"/>
              </w:rPr>
              <w:t xml:space="preserve">5.8 </w:t>
            </w:r>
            <w:r>
              <w:rPr>
                <w:rFonts w:hint="default" w:ascii="Times New Roman" w:hAnsi="Times New Roman" w:eastAsia="宋体" w:cs="Times New Roman"/>
                <w:b/>
                <w:kern w:val="0"/>
                <w:sz w:val="24"/>
                <w:szCs w:val="24"/>
                <w:lang w:val="en-US" w:eastAsia="zh-CN" w:bidi="ar-SA"/>
              </w:rPr>
              <w:t>小结</w:t>
            </w:r>
          </w:p>
          <w:p w14:paraId="1E516B0C">
            <w:pPr>
              <w:keepNext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rPr>
              <w:t>本项目可能的环境风险事故主要是原辅材料在储存、生产过程中可能发生泄漏、火灾及爆炸事故，并产生消防废水；废气处理设施故障造成的废气不达标排</w:t>
            </w:r>
            <w:r>
              <w:rPr>
                <w:rFonts w:hint="default" w:ascii="Times New Roman" w:hAnsi="Times New Roman" w:eastAsia="宋体" w:cs="Times New Roman"/>
                <w:sz w:val="24"/>
              </w:rPr>
              <w:t>放；火灾爆炸施工造成次生废气排放。</w:t>
            </w:r>
          </w:p>
          <w:p w14:paraId="09069336">
            <w:pPr>
              <w:keepNext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通过完善事故排水设施，及时将消防废水拉运至污水处理厂进一步处理，避免对事故周围地表水环境造成影响；对污染治理设备的维护保养；对污水管网、固体废物堆场等采取严格的防渗措施，杜绝项目废水进入地下水。在进一步采取</w:t>
            </w:r>
            <w:r>
              <w:rPr>
                <w:rFonts w:hint="eastAsia" w:cs="Times New Roman"/>
                <w:sz w:val="24"/>
                <w:lang w:eastAsia="zh-CN"/>
              </w:rPr>
              <w:t>安全</w:t>
            </w:r>
            <w:r>
              <w:rPr>
                <w:rFonts w:hint="default" w:ascii="Times New Roman" w:hAnsi="Times New Roman" w:eastAsia="宋体" w:cs="Times New Roman"/>
                <w:sz w:val="24"/>
              </w:rPr>
              <w:t>防范措施和事故应急预案后，其风险水平可以接受。但一旦发生事故，对周围环境、人身、财产的影响较为明显，因此，建设单位应有高度的风险意识，从工程上和管理上实行全新严格的防范措施，做好事故预防，并</w:t>
            </w:r>
            <w:r>
              <w:rPr>
                <w:rFonts w:hint="eastAsia" w:cs="Times New Roman"/>
                <w:sz w:val="24"/>
                <w:lang w:eastAsia="zh-CN"/>
              </w:rPr>
              <w:t>制定</w:t>
            </w:r>
            <w:r>
              <w:rPr>
                <w:rFonts w:hint="default" w:ascii="Times New Roman" w:hAnsi="Times New Roman" w:eastAsia="宋体" w:cs="Times New Roman"/>
                <w:sz w:val="24"/>
              </w:rPr>
              <w:t>事故发生的应急措施，</w:t>
            </w:r>
            <w:r>
              <w:rPr>
                <w:rFonts w:hint="eastAsia" w:cs="Times New Roman"/>
                <w:sz w:val="24"/>
                <w:lang w:eastAsia="zh-CN"/>
              </w:rPr>
              <w:t>防患于未然</w:t>
            </w:r>
            <w:r>
              <w:rPr>
                <w:rFonts w:hint="default" w:ascii="Times New Roman" w:hAnsi="Times New Roman" w:eastAsia="宋体" w:cs="Times New Roman"/>
                <w:sz w:val="24"/>
              </w:rPr>
              <w:t>，做好安全生产和环境保护工作。</w:t>
            </w:r>
          </w:p>
          <w:p w14:paraId="40849E23">
            <w:pPr>
              <w:keepNext w:val="0"/>
              <w:pageBreakBefore w:val="0"/>
              <w:widowControl w:val="0"/>
              <w:kinsoku/>
              <w:wordWrap/>
              <w:overflowPunct/>
              <w:topLinePunct w:val="0"/>
              <w:bidi w:val="0"/>
              <w:snapToGrid/>
              <w:spacing w:line="360" w:lineRule="auto"/>
              <w:ind w:firstLine="480" w:firstLineChars="200"/>
              <w:rPr>
                <w:rFonts w:hint="eastAsia" w:cs="Times New Roman"/>
                <w:sz w:val="24"/>
                <w:lang w:val="en-US" w:eastAsia="zh-CN"/>
              </w:rPr>
            </w:pPr>
            <w:r>
              <w:rPr>
                <w:rFonts w:hint="default" w:ascii="Times New Roman" w:hAnsi="Times New Roman" w:eastAsia="宋体" w:cs="Times New Roman"/>
                <w:sz w:val="24"/>
              </w:rPr>
              <w:t>综上，在采取完善的环境风险防范措施后，本项目的环境风险可控。建设项目环境风险简单分析</w:t>
            </w:r>
            <w:r>
              <w:rPr>
                <w:rFonts w:hint="eastAsia" w:cs="Times New Roman"/>
                <w:sz w:val="24"/>
                <w:lang w:eastAsia="zh-CN"/>
              </w:rPr>
              <w:t>内容</w:t>
            </w:r>
            <w:r>
              <w:rPr>
                <w:rFonts w:hint="default" w:ascii="Times New Roman" w:hAnsi="Times New Roman" w:eastAsia="宋体" w:cs="Times New Roman"/>
                <w:sz w:val="24"/>
              </w:rPr>
              <w:t>见表</w:t>
            </w:r>
            <w:r>
              <w:rPr>
                <w:rFonts w:hint="eastAsia" w:ascii="Times New Roman" w:hAnsi="Times New Roman" w:eastAsia="宋体" w:cs="Times New Roman"/>
                <w:sz w:val="24"/>
                <w:lang w:val="en-US" w:eastAsia="zh-CN"/>
              </w:rPr>
              <w:t>4-</w:t>
            </w:r>
            <w:r>
              <w:rPr>
                <w:rFonts w:hint="eastAsia" w:cs="Times New Roman"/>
                <w:sz w:val="24"/>
                <w:lang w:val="en-US" w:eastAsia="zh-CN"/>
              </w:rPr>
              <w:t>29。</w:t>
            </w:r>
          </w:p>
          <w:p w14:paraId="5AD08589">
            <w:pPr>
              <w:pStyle w:val="33"/>
              <w:rPr>
                <w:rFonts w:hint="default" w:ascii="黑体" w:hAnsi="黑体" w:eastAsia="黑体" w:cs="黑体"/>
                <w:b w:val="0"/>
                <w:bCs w:val="0"/>
                <w:color w:val="auto"/>
                <w:kern w:val="2"/>
                <w:sz w:val="21"/>
                <w:szCs w:val="21"/>
                <w:lang w:val="en-US" w:eastAsia="zh-CN" w:bidi="ar-SA"/>
              </w:rPr>
            </w:pPr>
            <w:r>
              <w:rPr>
                <w:rFonts w:hint="default" w:ascii="黑体" w:hAnsi="黑体" w:eastAsia="黑体" w:cs="黑体"/>
                <w:b w:val="0"/>
                <w:bCs w:val="0"/>
                <w:color w:val="auto"/>
                <w:kern w:val="2"/>
                <w:sz w:val="21"/>
                <w:szCs w:val="21"/>
                <w:lang w:val="en-US" w:eastAsia="zh-CN" w:bidi="ar-SA"/>
              </w:rPr>
              <w:t>表</w:t>
            </w:r>
            <w:r>
              <w:rPr>
                <w:rFonts w:hint="eastAsia" w:ascii="黑体" w:hAnsi="黑体" w:eastAsia="黑体" w:cs="黑体"/>
                <w:b w:val="0"/>
                <w:bCs w:val="0"/>
                <w:color w:val="auto"/>
                <w:kern w:val="2"/>
                <w:sz w:val="21"/>
                <w:szCs w:val="21"/>
                <w:lang w:val="en-US" w:eastAsia="zh-CN" w:bidi="ar-SA"/>
              </w:rPr>
              <w:t xml:space="preserve">4-29 </w:t>
            </w:r>
            <w:r>
              <w:rPr>
                <w:rFonts w:hint="default" w:ascii="黑体" w:hAnsi="黑体" w:eastAsia="黑体" w:cs="黑体"/>
                <w:b w:val="0"/>
                <w:bCs w:val="0"/>
                <w:color w:val="auto"/>
                <w:kern w:val="2"/>
                <w:sz w:val="21"/>
                <w:szCs w:val="21"/>
                <w:lang w:val="en-US" w:eastAsia="zh-CN" w:bidi="ar-SA"/>
              </w:rPr>
              <w:t xml:space="preserve">  项目环境风险简单分析内容表</w:t>
            </w:r>
          </w:p>
          <w:tbl>
            <w:tblPr>
              <w:tblStyle w:val="21"/>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7257"/>
            </w:tblGrid>
            <w:tr w14:paraId="0A632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783" w:type="pct"/>
                  <w:tcBorders>
                    <w:tl2br w:val="nil"/>
                    <w:tr2bl w:val="nil"/>
                  </w:tcBorders>
                  <w:noWrap w:val="0"/>
                  <w:vAlign w:val="center"/>
                </w:tcPr>
                <w:p w14:paraId="6CFBEAC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4216" w:type="pct"/>
                  <w:tcBorders>
                    <w:tl2br w:val="nil"/>
                    <w:tr2bl w:val="nil"/>
                  </w:tcBorders>
                  <w:noWrap w:val="0"/>
                  <w:vAlign w:val="center"/>
                </w:tcPr>
                <w:p w14:paraId="1E8469E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新疆同芃生物科技有限公司400T/D脱酚棉籽浓缩蛋白及精深加工生产线项目</w:t>
                  </w:r>
                </w:p>
              </w:tc>
            </w:tr>
            <w:tr w14:paraId="5BBC7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3" w:type="pct"/>
                  <w:tcBorders>
                    <w:tl2br w:val="nil"/>
                    <w:tr2bl w:val="nil"/>
                  </w:tcBorders>
                  <w:noWrap w:val="0"/>
                  <w:vAlign w:val="center"/>
                </w:tcPr>
                <w:p w14:paraId="6C26679E">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4216" w:type="pct"/>
                  <w:tcBorders>
                    <w:tl2br w:val="nil"/>
                    <w:tr2bl w:val="nil"/>
                  </w:tcBorders>
                  <w:noWrap w:val="0"/>
                  <w:vAlign w:val="center"/>
                </w:tcPr>
                <w:p w14:paraId="4DB4DCF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新疆轮台县轮台工业园区红桥石油服务区</w:t>
                  </w:r>
                </w:p>
              </w:tc>
            </w:tr>
            <w:tr w14:paraId="086C8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3" w:type="pct"/>
                  <w:tcBorders>
                    <w:tl2br w:val="nil"/>
                    <w:tr2bl w:val="nil"/>
                  </w:tcBorders>
                  <w:noWrap w:val="0"/>
                  <w:vAlign w:val="center"/>
                </w:tcPr>
                <w:p w14:paraId="0FDCD29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4216" w:type="pct"/>
                  <w:tcBorders>
                    <w:tl2br w:val="nil"/>
                    <w:tr2bl w:val="nil"/>
                  </w:tcBorders>
                  <w:noWrap w:val="0"/>
                  <w:vAlign w:val="center"/>
                </w:tcPr>
                <w:p w14:paraId="3FB6101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E84°18'13.993"，N41°47'50.839"</w:t>
                  </w:r>
                </w:p>
              </w:tc>
            </w:tr>
            <w:tr w14:paraId="7C73E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783" w:type="pct"/>
                  <w:tcBorders>
                    <w:tl2br w:val="nil"/>
                    <w:tr2bl w:val="nil"/>
                  </w:tcBorders>
                  <w:noWrap w:val="0"/>
                  <w:vAlign w:val="center"/>
                </w:tcPr>
                <w:p w14:paraId="33DCA7A5">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主要危险物质分布</w:t>
                  </w:r>
                </w:p>
              </w:tc>
              <w:tc>
                <w:tcPr>
                  <w:tcW w:w="4216" w:type="pct"/>
                  <w:tcBorders>
                    <w:tl2br w:val="nil"/>
                    <w:tr2bl w:val="nil"/>
                  </w:tcBorders>
                  <w:noWrap w:val="0"/>
                  <w:vAlign w:val="center"/>
                </w:tcPr>
                <w:p w14:paraId="353B5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①6#溶剂油位于地埋式溶剂罐</w:t>
                  </w:r>
                </w:p>
                <w:p w14:paraId="46B4F239">
                  <w:pPr>
                    <w:pStyle w:val="3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lang w:val="en-US"/>
                    </w:rPr>
                  </w:pPr>
                  <w:r>
                    <w:rPr>
                      <w:rFonts w:hint="eastAsia" w:ascii="宋体" w:hAnsi="宋体" w:cs="宋体"/>
                      <w:sz w:val="21"/>
                      <w:szCs w:val="21"/>
                      <w:lang w:val="en-US" w:eastAsia="zh-CN"/>
                    </w:rPr>
                    <w:t>②磷酸位于浸出车间</w:t>
                  </w:r>
                </w:p>
              </w:tc>
            </w:tr>
            <w:tr w14:paraId="53A36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69" w:hRule="atLeast"/>
                <w:jc w:val="center"/>
              </w:trPr>
              <w:tc>
                <w:tcPr>
                  <w:tcW w:w="783" w:type="pct"/>
                  <w:tcBorders>
                    <w:tl2br w:val="nil"/>
                    <w:tr2bl w:val="nil"/>
                  </w:tcBorders>
                  <w:noWrap w:val="0"/>
                  <w:vAlign w:val="center"/>
                </w:tcPr>
                <w:p w14:paraId="18B3E0D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环境影响途径及危害后果（大气、地表水、地下水等）</w:t>
                  </w:r>
                </w:p>
              </w:tc>
              <w:tc>
                <w:tcPr>
                  <w:tcW w:w="4216" w:type="pct"/>
                  <w:tcBorders>
                    <w:tl2br w:val="nil"/>
                    <w:tr2bl w:val="nil"/>
                  </w:tcBorders>
                  <w:noWrap w:val="0"/>
                  <w:vAlign w:val="center"/>
                </w:tcPr>
                <w:p w14:paraId="6A84FF00">
                  <w:pPr>
                    <w:adjustRightInd w:val="0"/>
                    <w:snapToGrid w:val="0"/>
                    <w:rPr>
                      <w:rFonts w:hint="default" w:ascii="Times New Roman" w:hAnsi="Times New Roman" w:cs="Times New Roman"/>
                      <w:szCs w:val="21"/>
                    </w:rPr>
                  </w:pPr>
                  <w:r>
                    <w:rPr>
                      <w:rFonts w:hint="default" w:ascii="Times New Roman" w:hAnsi="Times New Roman" w:cs="Times New Roman"/>
                      <w:szCs w:val="21"/>
                    </w:rPr>
                    <w:t>当厂区发生火灾或爆炸事故后，消防灭火工作会产生大量的消防废水，这些废水中会含有原料、产品及消防泡沫等，一旦排入外环境，会造成次生的水污染事故。当发生火灾爆炸事故消防废水进入事故水池，经检验满足接管标准后，排入污水管网，委托有资质单位处置。且易发生火灾爆炸事故的区域均要求进行地面基础防渗，只要按要求收集并及时处理消防废水，不会对地下水环境产生较大影响。</w:t>
                  </w:r>
                </w:p>
              </w:tc>
            </w:tr>
            <w:tr w14:paraId="079EF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3" w:type="pct"/>
                  <w:tcBorders>
                    <w:tl2br w:val="nil"/>
                    <w:tr2bl w:val="nil"/>
                  </w:tcBorders>
                  <w:noWrap w:val="0"/>
                  <w:vAlign w:val="center"/>
                </w:tcPr>
                <w:p w14:paraId="1DA3112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风险防范措施要求</w:t>
                  </w:r>
                </w:p>
              </w:tc>
              <w:tc>
                <w:tcPr>
                  <w:tcW w:w="4216" w:type="pct"/>
                  <w:tcBorders>
                    <w:tl2br w:val="nil"/>
                    <w:tr2bl w:val="nil"/>
                  </w:tcBorders>
                  <w:noWrap w:val="0"/>
                  <w:vAlign w:val="center"/>
                </w:tcPr>
                <w:p w14:paraId="7937BC57">
                  <w:pPr>
                    <w:adjustRightInd w:val="0"/>
                    <w:snapToGrid w:val="0"/>
                    <w:ind w:firstLine="210" w:firstLineChars="100"/>
                    <w:rPr>
                      <w:rFonts w:hint="default" w:ascii="Times New Roman" w:hAnsi="Times New Roman" w:cs="Times New Roman"/>
                      <w:szCs w:val="21"/>
                    </w:rPr>
                  </w:pPr>
                  <w:r>
                    <w:rPr>
                      <w:rFonts w:hint="default" w:ascii="Times New Roman" w:hAnsi="Times New Roman" w:cs="Times New Roman"/>
                      <w:szCs w:val="21"/>
                    </w:rPr>
                    <w:t>本项目通过完善事故排水设施，建造事故池，及时将消防废水排入污水处理厂进一步处理，避免对事故周围地表水环境造成影响；加</w:t>
                  </w:r>
                  <w:r>
                    <w:rPr>
                      <w:rFonts w:hint="eastAsia" w:cs="Times New Roman"/>
                      <w:szCs w:val="21"/>
                      <w:lang w:eastAsia="zh-CN"/>
                    </w:rPr>
                    <w:t>强对</w:t>
                  </w:r>
                  <w:r>
                    <w:rPr>
                      <w:rFonts w:hint="default" w:ascii="Times New Roman" w:hAnsi="Times New Roman" w:cs="Times New Roman"/>
                      <w:szCs w:val="21"/>
                    </w:rPr>
                    <w:t>压力容器操作人员的技能培训以及对设备的安全检查；对污染治理设备的维护保养；对污水管网、固体废物堆场等采取严格的防渗措施，杜绝项目废水进入地下水。从工程上和管理上实行全新严格的防范措施，做好事故预防，并</w:t>
                  </w:r>
                  <w:r>
                    <w:rPr>
                      <w:rFonts w:hint="eastAsia" w:cs="Times New Roman"/>
                      <w:szCs w:val="21"/>
                      <w:lang w:eastAsia="zh-CN"/>
                    </w:rPr>
                    <w:t>制定</w:t>
                  </w:r>
                  <w:r>
                    <w:rPr>
                      <w:rFonts w:hint="default" w:ascii="Times New Roman" w:hAnsi="Times New Roman" w:cs="Times New Roman"/>
                      <w:szCs w:val="21"/>
                    </w:rPr>
                    <w:t>事故发生的应急措施，</w:t>
                  </w:r>
                  <w:r>
                    <w:rPr>
                      <w:rFonts w:hint="eastAsia" w:cs="Times New Roman"/>
                      <w:szCs w:val="21"/>
                      <w:lang w:eastAsia="zh-CN"/>
                    </w:rPr>
                    <w:t>防患于未然</w:t>
                  </w:r>
                  <w:r>
                    <w:rPr>
                      <w:rFonts w:hint="default" w:ascii="Times New Roman" w:hAnsi="Times New Roman" w:cs="Times New Roman"/>
                      <w:szCs w:val="21"/>
                    </w:rPr>
                    <w:t>，做好安全生产和环境保护工作。</w:t>
                  </w:r>
                </w:p>
              </w:tc>
            </w:tr>
            <w:tr w14:paraId="4E6B6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14:paraId="67CCEC89">
                  <w:pPr>
                    <w:adjustRightInd w:val="0"/>
                    <w:snapToGrid w:val="0"/>
                    <w:rPr>
                      <w:rFonts w:hint="default" w:ascii="Times New Roman" w:hAnsi="Times New Roman" w:cs="Times New Roman"/>
                      <w:szCs w:val="21"/>
                    </w:rPr>
                  </w:pPr>
                  <w:r>
                    <w:rPr>
                      <w:rFonts w:hint="default" w:ascii="Times New Roman" w:hAnsi="Times New Roman" w:cs="Times New Roman"/>
                      <w:szCs w:val="21"/>
                    </w:rPr>
                    <w:t>填表说明（列出项目相关信息及评价说明）：项目环境风险潜势为I，评价等级为简单分析，在落实环评提出的风险防范措施后，环境风险可控。</w:t>
                  </w:r>
                </w:p>
              </w:tc>
            </w:tr>
          </w:tbl>
          <w:p w14:paraId="59852053">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 xml:space="preserve">6 </w:t>
            </w:r>
            <w:r>
              <w:rPr>
                <w:rFonts w:hint="eastAsia" w:ascii="Times New Roman" w:hAnsi="Times New Roman" w:eastAsia="宋体" w:cs="Times New Roman"/>
                <w:b/>
                <w:bCs/>
                <w:color w:val="auto"/>
                <w:kern w:val="0"/>
                <w:sz w:val="24"/>
                <w:szCs w:val="28"/>
                <w:lang w:val="en-US" w:eastAsia="zh-CN" w:bidi="ar-SA"/>
              </w:rPr>
              <w:t>排污许可管理</w:t>
            </w:r>
          </w:p>
          <w:p w14:paraId="6C5C0DD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关于强化建设项目环评事中事后监管的实施意见》（环环评〔2018〕11号）、《固定污染源排污许可分类管理名录（2019年版）》等文件要求，企业或者其他经营者按照国家规定，在实施期限内申请排污许可证。对照《固定污染源排污许可分类管理名录（2019年版）》文件，本项目属于“十、“农副食品加工业”类，16“植物油加工”中“除单纯分装和调和外的”，应申请排污许可证简化管理。</w:t>
            </w:r>
          </w:p>
          <w:p w14:paraId="02FB1E1F">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7 排污口规范化</w:t>
            </w:r>
          </w:p>
          <w:p w14:paraId="4C4B503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bCs/>
                <w:color w:val="auto"/>
                <w:kern w:val="2"/>
                <w:sz w:val="24"/>
                <w:szCs w:val="24"/>
                <w:highlight w:val="none"/>
                <w:lang w:val="en-US" w:eastAsia="zh-CN" w:bidi="ar-SA"/>
              </w:rPr>
            </w:pPr>
            <w:r>
              <w:rPr>
                <w:rFonts w:hint="eastAsia" w:ascii="Times New Roman" w:hAnsi="Times New Roman" w:eastAsia="宋体" w:cs="宋体"/>
                <w:bCs/>
                <w:color w:val="auto"/>
                <w:kern w:val="2"/>
                <w:sz w:val="24"/>
                <w:szCs w:val="24"/>
                <w:highlight w:val="none"/>
                <w:lang w:val="en-US" w:eastAsia="zh-CN" w:bidi="ar-SA"/>
              </w:rPr>
              <w:t>（1）排污口管理</w:t>
            </w:r>
          </w:p>
          <w:p w14:paraId="1C7C79F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highlight w:val="none"/>
                <w:lang w:val="en-US" w:eastAsia="zh-CN" w:bidi="ar-SA"/>
              </w:rPr>
              <w:t>根据《关于开展排放口规范化整治工作的通知》（国家环境保护</w:t>
            </w:r>
            <w:r>
              <w:rPr>
                <w:rFonts w:hint="eastAsia" w:ascii="Times New Roman" w:hAnsi="Times New Roman" w:eastAsia="宋体" w:cs="宋体"/>
                <w:bCs/>
                <w:color w:val="auto"/>
                <w:kern w:val="2"/>
                <w:sz w:val="24"/>
                <w:szCs w:val="24"/>
                <w:lang w:val="en-US" w:eastAsia="zh-CN" w:bidi="ar-SA"/>
              </w:rPr>
              <w:t>总局环发〔1999〕24号）和《排放口规范化整治技术》（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与污染治理同步实施，即治理设施完工时，规范化工作必须同时完成，并列入污染物治理设施的验收内容。建设单位应按以下内容建立排污口管理的专门档案：排污口性质和编号；位置；排放主要污染物种类、数量、浓度；排放去向；达标情况；治理设施运行情况及整改意见。</w:t>
            </w:r>
          </w:p>
          <w:p w14:paraId="1E4287A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（2）环境保护图形标志</w:t>
            </w:r>
          </w:p>
          <w:p w14:paraId="5541E4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排污口标志牌的图形标志、图形颜色及装置颜色、标志牌材质、表面处理、外观质量以及字体等要求应符合《环境保护图形标志－排放口（源）》（GB 15562.1-1995）、《环境保护图形标志实施细则（试行）》（国环监〔1996〕463号）、《排污单位污染物排放口二维码标识技术规范》（HJ 1297—2023）及《关于印发排放口标志牌技术规格的通知》（环办〔2003〕95号）、《危险废物识别标志设置技术规范》（HJ1276-2022）的有关规定。</w:t>
            </w:r>
          </w:p>
          <w:p w14:paraId="13897908">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b w:val="0"/>
                <w:bCs w:val="0"/>
                <w:color w:val="auto"/>
                <w:kern w:val="2"/>
                <w:sz w:val="21"/>
                <w:szCs w:val="21"/>
                <w:lang w:val="en-US" w:eastAsia="zh-CN" w:bidi="ar-SA"/>
              </w:rPr>
            </w:pPr>
            <w:r>
              <w:rPr>
                <w:rFonts w:hint="eastAsia" w:ascii="黑体" w:hAnsi="黑体" w:eastAsia="黑体" w:cs="黑体"/>
                <w:b w:val="0"/>
                <w:bCs w:val="0"/>
                <w:color w:val="auto"/>
                <w:kern w:val="2"/>
                <w:sz w:val="21"/>
                <w:szCs w:val="21"/>
                <w:lang w:val="en-US" w:eastAsia="zh-CN" w:bidi="ar-SA"/>
              </w:rPr>
              <w:t>表4-30    环境保护图形符号一览表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71"/>
              <w:gridCol w:w="1868"/>
              <w:gridCol w:w="1924"/>
              <w:gridCol w:w="1426"/>
              <w:gridCol w:w="2928"/>
            </w:tblGrid>
            <w:tr w14:paraId="2CA87A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41" w:hRule="atLeast"/>
                <w:jc w:val="center"/>
              </w:trPr>
              <w:tc>
                <w:tcPr>
                  <w:tcW w:w="273" w:type="pct"/>
                  <w:tcBorders>
                    <w:tl2br w:val="nil"/>
                    <w:tr2bl w:val="nil"/>
                  </w:tcBorders>
                  <w:noWrap w:val="0"/>
                  <w:vAlign w:val="center"/>
                </w:tcPr>
                <w:p w14:paraId="419F4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序号</w:t>
                  </w:r>
                </w:p>
              </w:tc>
              <w:tc>
                <w:tcPr>
                  <w:tcW w:w="1083" w:type="pct"/>
                  <w:tcBorders>
                    <w:tl2br w:val="nil"/>
                    <w:tr2bl w:val="nil"/>
                  </w:tcBorders>
                  <w:noWrap w:val="0"/>
                  <w:vAlign w:val="center"/>
                </w:tcPr>
                <w:p w14:paraId="3FE29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提示图形符号</w:t>
                  </w:r>
                </w:p>
              </w:tc>
              <w:tc>
                <w:tcPr>
                  <w:tcW w:w="1116" w:type="pct"/>
                  <w:tcBorders>
                    <w:tl2br w:val="nil"/>
                    <w:tr2bl w:val="nil"/>
                  </w:tcBorders>
                  <w:noWrap w:val="0"/>
                  <w:vAlign w:val="center"/>
                </w:tcPr>
                <w:p w14:paraId="1CA34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警告图形符号</w:t>
                  </w:r>
                </w:p>
              </w:tc>
              <w:tc>
                <w:tcPr>
                  <w:tcW w:w="827" w:type="pct"/>
                  <w:tcBorders>
                    <w:tl2br w:val="nil"/>
                    <w:tr2bl w:val="nil"/>
                  </w:tcBorders>
                  <w:noWrap w:val="0"/>
                  <w:vAlign w:val="center"/>
                </w:tcPr>
                <w:p w14:paraId="2C9EBB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名称</w:t>
                  </w:r>
                </w:p>
              </w:tc>
              <w:tc>
                <w:tcPr>
                  <w:tcW w:w="1698" w:type="pct"/>
                  <w:tcBorders>
                    <w:tl2br w:val="nil"/>
                    <w:tr2bl w:val="nil"/>
                  </w:tcBorders>
                  <w:noWrap w:val="0"/>
                  <w:vAlign w:val="center"/>
                </w:tcPr>
                <w:p w14:paraId="34161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功能</w:t>
                  </w:r>
                </w:p>
              </w:tc>
            </w:tr>
            <w:tr w14:paraId="323D5E0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432" w:hRule="atLeast"/>
                <w:jc w:val="center"/>
              </w:trPr>
              <w:tc>
                <w:tcPr>
                  <w:tcW w:w="273" w:type="pct"/>
                  <w:tcBorders>
                    <w:tl2br w:val="nil"/>
                    <w:tr2bl w:val="nil"/>
                  </w:tcBorders>
                  <w:noWrap w:val="0"/>
                  <w:vAlign w:val="center"/>
                </w:tcPr>
                <w:p w14:paraId="11358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1</w:t>
                  </w:r>
                </w:p>
              </w:tc>
              <w:tc>
                <w:tcPr>
                  <w:tcW w:w="1083" w:type="pct"/>
                  <w:tcBorders>
                    <w:tl2br w:val="nil"/>
                    <w:tr2bl w:val="nil"/>
                  </w:tcBorders>
                  <w:noWrap w:val="0"/>
                  <w:vAlign w:val="center"/>
                </w:tcPr>
                <w:p w14:paraId="48DBB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916940" cy="932815"/>
                        <wp:effectExtent l="0" t="0" r="16510" b="6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916940" cy="932815"/>
                                </a:xfrm>
                                <a:prstGeom prst="rect">
                                  <a:avLst/>
                                </a:prstGeom>
                                <a:noFill/>
                                <a:ln>
                                  <a:noFill/>
                                </a:ln>
                              </pic:spPr>
                            </pic:pic>
                          </a:graphicData>
                        </a:graphic>
                      </wp:inline>
                    </w:drawing>
                  </w:r>
                </w:p>
              </w:tc>
              <w:tc>
                <w:tcPr>
                  <w:tcW w:w="1116" w:type="pct"/>
                  <w:tcBorders>
                    <w:tl2br w:val="nil"/>
                    <w:tr2bl w:val="nil"/>
                  </w:tcBorders>
                  <w:noWrap w:val="0"/>
                  <w:vAlign w:val="center"/>
                </w:tcPr>
                <w:p w14:paraId="31FC93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1035050" cy="877570"/>
                        <wp:effectExtent l="0" t="0" r="12700" b="177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1035050" cy="877570"/>
                                </a:xfrm>
                                <a:prstGeom prst="rect">
                                  <a:avLst/>
                                </a:prstGeom>
                                <a:noFill/>
                                <a:ln>
                                  <a:noFill/>
                                </a:ln>
                              </pic:spPr>
                            </pic:pic>
                          </a:graphicData>
                        </a:graphic>
                      </wp:inline>
                    </w:drawing>
                  </w:r>
                </w:p>
              </w:tc>
              <w:tc>
                <w:tcPr>
                  <w:tcW w:w="827" w:type="pct"/>
                  <w:tcBorders>
                    <w:tl2br w:val="nil"/>
                    <w:tr2bl w:val="nil"/>
                  </w:tcBorders>
                  <w:noWrap w:val="0"/>
                  <w:vAlign w:val="center"/>
                </w:tcPr>
                <w:p w14:paraId="36CF31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污水排放口</w:t>
                  </w:r>
                </w:p>
              </w:tc>
              <w:tc>
                <w:tcPr>
                  <w:tcW w:w="1698" w:type="pct"/>
                  <w:tcBorders>
                    <w:tl2br w:val="nil"/>
                    <w:tr2bl w:val="nil"/>
                  </w:tcBorders>
                  <w:noWrap w:val="0"/>
                  <w:vAlign w:val="center"/>
                </w:tcPr>
                <w:p w14:paraId="49BCE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表示污水向外环境排放</w:t>
                  </w:r>
                </w:p>
              </w:tc>
            </w:tr>
            <w:tr w14:paraId="47BB65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613" w:hRule="atLeast"/>
                <w:jc w:val="center"/>
              </w:trPr>
              <w:tc>
                <w:tcPr>
                  <w:tcW w:w="273" w:type="pct"/>
                  <w:tcBorders>
                    <w:tl2br w:val="nil"/>
                    <w:tr2bl w:val="nil"/>
                  </w:tcBorders>
                  <w:noWrap w:val="0"/>
                  <w:vAlign w:val="center"/>
                </w:tcPr>
                <w:p w14:paraId="0940F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2</w:t>
                  </w:r>
                </w:p>
              </w:tc>
              <w:tc>
                <w:tcPr>
                  <w:tcW w:w="1083" w:type="pct"/>
                  <w:tcBorders>
                    <w:tl2br w:val="nil"/>
                    <w:tr2bl w:val="nil"/>
                  </w:tcBorders>
                  <w:noWrap w:val="0"/>
                  <w:vAlign w:val="center"/>
                </w:tcPr>
                <w:p w14:paraId="4360E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984885" cy="984885"/>
                        <wp:effectExtent l="0" t="0" r="5715" b="57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8"/>
                                <a:stretch>
                                  <a:fillRect/>
                                </a:stretch>
                              </pic:blipFill>
                              <pic:spPr>
                                <a:xfrm>
                                  <a:off x="0" y="0"/>
                                  <a:ext cx="984885" cy="984885"/>
                                </a:xfrm>
                                <a:prstGeom prst="rect">
                                  <a:avLst/>
                                </a:prstGeom>
                                <a:noFill/>
                                <a:ln>
                                  <a:noFill/>
                                </a:ln>
                              </pic:spPr>
                            </pic:pic>
                          </a:graphicData>
                        </a:graphic>
                      </wp:inline>
                    </w:drawing>
                  </w:r>
                </w:p>
              </w:tc>
              <w:tc>
                <w:tcPr>
                  <w:tcW w:w="1116" w:type="pct"/>
                  <w:tcBorders>
                    <w:tl2br w:val="nil"/>
                    <w:tr2bl w:val="nil"/>
                  </w:tcBorders>
                  <w:noWrap w:val="0"/>
                  <w:vAlign w:val="center"/>
                </w:tcPr>
                <w:p w14:paraId="6BC63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1008380" cy="817880"/>
                        <wp:effectExtent l="0" t="0" r="1270" b="127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9"/>
                                <a:stretch>
                                  <a:fillRect/>
                                </a:stretch>
                              </pic:blipFill>
                              <pic:spPr>
                                <a:xfrm>
                                  <a:off x="0" y="0"/>
                                  <a:ext cx="1008380" cy="817880"/>
                                </a:xfrm>
                                <a:prstGeom prst="rect">
                                  <a:avLst/>
                                </a:prstGeom>
                                <a:noFill/>
                                <a:ln>
                                  <a:noFill/>
                                </a:ln>
                              </pic:spPr>
                            </pic:pic>
                          </a:graphicData>
                        </a:graphic>
                      </wp:inline>
                    </w:drawing>
                  </w:r>
                </w:p>
              </w:tc>
              <w:tc>
                <w:tcPr>
                  <w:tcW w:w="827" w:type="pct"/>
                  <w:tcBorders>
                    <w:tl2br w:val="nil"/>
                    <w:tr2bl w:val="nil"/>
                  </w:tcBorders>
                  <w:noWrap w:val="0"/>
                  <w:vAlign w:val="center"/>
                </w:tcPr>
                <w:p w14:paraId="1EC59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一般固体废物</w:t>
                  </w:r>
                </w:p>
              </w:tc>
              <w:tc>
                <w:tcPr>
                  <w:tcW w:w="1698" w:type="pct"/>
                  <w:tcBorders>
                    <w:tl2br w:val="nil"/>
                    <w:tr2bl w:val="nil"/>
                  </w:tcBorders>
                  <w:noWrap w:val="0"/>
                  <w:vAlign w:val="center"/>
                </w:tcPr>
                <w:p w14:paraId="583E1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表示一般固体废物贮存、处置场</w:t>
                  </w:r>
                </w:p>
              </w:tc>
            </w:tr>
            <w:tr w14:paraId="2FB3A39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483" w:hRule="atLeast"/>
                <w:jc w:val="center"/>
              </w:trPr>
              <w:tc>
                <w:tcPr>
                  <w:tcW w:w="273" w:type="pct"/>
                  <w:tcBorders>
                    <w:tl2br w:val="nil"/>
                    <w:tr2bl w:val="nil"/>
                  </w:tcBorders>
                  <w:noWrap w:val="0"/>
                  <w:vAlign w:val="center"/>
                </w:tcPr>
                <w:p w14:paraId="0BC9F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3</w:t>
                  </w:r>
                </w:p>
              </w:tc>
              <w:tc>
                <w:tcPr>
                  <w:tcW w:w="1083" w:type="pct"/>
                  <w:tcBorders>
                    <w:tl2br w:val="nil"/>
                    <w:tr2bl w:val="nil"/>
                  </w:tcBorders>
                  <w:noWrap w:val="0"/>
                  <w:vAlign w:val="center"/>
                </w:tcPr>
                <w:p w14:paraId="44AA7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982345" cy="893445"/>
                        <wp:effectExtent l="0" t="0" r="8255" b="190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0"/>
                                <a:stretch>
                                  <a:fillRect/>
                                </a:stretch>
                              </pic:blipFill>
                              <pic:spPr>
                                <a:xfrm>
                                  <a:off x="0" y="0"/>
                                  <a:ext cx="982345" cy="893445"/>
                                </a:xfrm>
                                <a:prstGeom prst="rect">
                                  <a:avLst/>
                                </a:prstGeom>
                                <a:noFill/>
                                <a:ln>
                                  <a:noFill/>
                                </a:ln>
                              </pic:spPr>
                            </pic:pic>
                          </a:graphicData>
                        </a:graphic>
                      </wp:inline>
                    </w:drawing>
                  </w:r>
                </w:p>
              </w:tc>
              <w:tc>
                <w:tcPr>
                  <w:tcW w:w="1116" w:type="pct"/>
                  <w:tcBorders>
                    <w:tl2br w:val="nil"/>
                    <w:tr2bl w:val="nil"/>
                  </w:tcBorders>
                  <w:noWrap w:val="0"/>
                  <w:vAlign w:val="center"/>
                </w:tcPr>
                <w:p w14:paraId="21019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1003935" cy="821690"/>
                        <wp:effectExtent l="0" t="0" r="5715" b="1651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1"/>
                                <a:stretch>
                                  <a:fillRect/>
                                </a:stretch>
                              </pic:blipFill>
                              <pic:spPr>
                                <a:xfrm>
                                  <a:off x="0" y="0"/>
                                  <a:ext cx="1003935" cy="821690"/>
                                </a:xfrm>
                                <a:prstGeom prst="rect">
                                  <a:avLst/>
                                </a:prstGeom>
                                <a:noFill/>
                                <a:ln>
                                  <a:noFill/>
                                </a:ln>
                              </pic:spPr>
                            </pic:pic>
                          </a:graphicData>
                        </a:graphic>
                      </wp:inline>
                    </w:drawing>
                  </w:r>
                </w:p>
              </w:tc>
              <w:tc>
                <w:tcPr>
                  <w:tcW w:w="827" w:type="pct"/>
                  <w:tcBorders>
                    <w:tl2br w:val="nil"/>
                    <w:tr2bl w:val="nil"/>
                  </w:tcBorders>
                  <w:noWrap w:val="0"/>
                  <w:vAlign w:val="center"/>
                </w:tcPr>
                <w:p w14:paraId="6637C2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噪声源</w:t>
                  </w:r>
                </w:p>
              </w:tc>
              <w:tc>
                <w:tcPr>
                  <w:tcW w:w="1698" w:type="pct"/>
                  <w:tcBorders>
                    <w:tl2br w:val="nil"/>
                    <w:tr2bl w:val="nil"/>
                  </w:tcBorders>
                  <w:noWrap w:val="0"/>
                  <w:vAlign w:val="center"/>
                </w:tcPr>
                <w:p w14:paraId="35CDB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表示噪声向外环境排放</w:t>
                  </w:r>
                </w:p>
              </w:tc>
            </w:tr>
            <w:tr w14:paraId="6C5690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868" w:hRule="atLeast"/>
                <w:jc w:val="center"/>
              </w:trPr>
              <w:tc>
                <w:tcPr>
                  <w:tcW w:w="273" w:type="pct"/>
                  <w:tcBorders>
                    <w:tl2br w:val="nil"/>
                    <w:tr2bl w:val="nil"/>
                  </w:tcBorders>
                  <w:noWrap w:val="0"/>
                  <w:vAlign w:val="center"/>
                </w:tcPr>
                <w:p w14:paraId="1073B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4</w:t>
                  </w:r>
                </w:p>
              </w:tc>
              <w:tc>
                <w:tcPr>
                  <w:tcW w:w="1083" w:type="pct"/>
                  <w:tcBorders>
                    <w:tl2br w:val="nil"/>
                    <w:tr2bl w:val="nil"/>
                  </w:tcBorders>
                  <w:noWrap w:val="0"/>
                  <w:vAlign w:val="center"/>
                </w:tcPr>
                <w:p w14:paraId="319DA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962025" cy="1200150"/>
                        <wp:effectExtent l="0" t="0" r="952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2"/>
                                <a:stretch>
                                  <a:fillRect/>
                                </a:stretch>
                              </pic:blipFill>
                              <pic:spPr>
                                <a:xfrm>
                                  <a:off x="0" y="0"/>
                                  <a:ext cx="962025" cy="1200150"/>
                                </a:xfrm>
                                <a:prstGeom prst="rect">
                                  <a:avLst/>
                                </a:prstGeom>
                                <a:noFill/>
                                <a:ln>
                                  <a:noFill/>
                                </a:ln>
                              </pic:spPr>
                            </pic:pic>
                          </a:graphicData>
                        </a:graphic>
                      </wp:inline>
                    </w:drawing>
                  </w:r>
                </w:p>
              </w:tc>
              <w:tc>
                <w:tcPr>
                  <w:tcW w:w="1116" w:type="pct"/>
                  <w:tcBorders>
                    <w:tl2br w:val="nil"/>
                    <w:tr2bl w:val="nil"/>
                  </w:tcBorders>
                  <w:noWrap w:val="0"/>
                  <w:vAlign w:val="center"/>
                </w:tcPr>
                <w:p w14:paraId="44ECD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1019175" cy="1171575"/>
                        <wp:effectExtent l="0" t="0" r="9525"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3"/>
                                <a:stretch>
                                  <a:fillRect/>
                                </a:stretch>
                              </pic:blipFill>
                              <pic:spPr>
                                <a:xfrm>
                                  <a:off x="0" y="0"/>
                                  <a:ext cx="1019175" cy="1171575"/>
                                </a:xfrm>
                                <a:prstGeom prst="rect">
                                  <a:avLst/>
                                </a:prstGeom>
                                <a:noFill/>
                                <a:ln>
                                  <a:noFill/>
                                </a:ln>
                              </pic:spPr>
                            </pic:pic>
                          </a:graphicData>
                        </a:graphic>
                      </wp:inline>
                    </w:drawing>
                  </w:r>
                </w:p>
              </w:tc>
              <w:tc>
                <w:tcPr>
                  <w:tcW w:w="827" w:type="pct"/>
                  <w:tcBorders>
                    <w:tl2br w:val="nil"/>
                    <w:tr2bl w:val="nil"/>
                  </w:tcBorders>
                  <w:noWrap w:val="0"/>
                  <w:vAlign w:val="center"/>
                </w:tcPr>
                <w:p w14:paraId="47109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废气排放口</w:t>
                  </w:r>
                </w:p>
              </w:tc>
              <w:tc>
                <w:tcPr>
                  <w:tcW w:w="1698" w:type="pct"/>
                  <w:tcBorders>
                    <w:tl2br w:val="nil"/>
                    <w:tr2bl w:val="nil"/>
                  </w:tcBorders>
                  <w:noWrap w:val="0"/>
                  <w:vAlign w:val="center"/>
                </w:tcPr>
                <w:p w14:paraId="79BE6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表示废气向外环境排放</w:t>
                  </w:r>
                </w:p>
              </w:tc>
            </w:tr>
            <w:tr w14:paraId="56C6A4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273" w:type="pct"/>
                  <w:tcBorders>
                    <w:tl2br w:val="nil"/>
                    <w:tr2bl w:val="nil"/>
                  </w:tcBorders>
                  <w:noWrap w:val="0"/>
                  <w:vAlign w:val="center"/>
                </w:tcPr>
                <w:p w14:paraId="49F3E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5</w:t>
                  </w:r>
                </w:p>
              </w:tc>
              <w:tc>
                <w:tcPr>
                  <w:tcW w:w="1083" w:type="pct"/>
                  <w:tcBorders>
                    <w:tl2br w:val="nil"/>
                    <w:tr2bl w:val="nil"/>
                  </w:tcBorders>
                  <w:noWrap w:val="0"/>
                  <w:vAlign w:val="center"/>
                </w:tcPr>
                <w:p w14:paraId="028A81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w:t>
                  </w:r>
                </w:p>
              </w:tc>
              <w:tc>
                <w:tcPr>
                  <w:tcW w:w="1116" w:type="pct"/>
                  <w:tcBorders>
                    <w:tl2br w:val="nil"/>
                    <w:tr2bl w:val="nil"/>
                  </w:tcBorders>
                  <w:noWrap w:val="0"/>
                  <w:vAlign w:val="center"/>
                </w:tcPr>
                <w:p w14:paraId="66C88C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drawing>
                      <wp:inline distT="0" distB="0" distL="114300" distR="114300">
                        <wp:extent cx="1054735" cy="933450"/>
                        <wp:effectExtent l="0" t="0" r="1206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4"/>
                                <a:stretch>
                                  <a:fillRect/>
                                </a:stretch>
                              </pic:blipFill>
                              <pic:spPr>
                                <a:xfrm>
                                  <a:off x="0" y="0"/>
                                  <a:ext cx="1054735" cy="933450"/>
                                </a:xfrm>
                                <a:prstGeom prst="rect">
                                  <a:avLst/>
                                </a:prstGeom>
                                <a:noFill/>
                                <a:ln>
                                  <a:noFill/>
                                </a:ln>
                              </pic:spPr>
                            </pic:pic>
                          </a:graphicData>
                        </a:graphic>
                      </wp:inline>
                    </w:drawing>
                  </w:r>
                </w:p>
              </w:tc>
              <w:tc>
                <w:tcPr>
                  <w:tcW w:w="827" w:type="pct"/>
                  <w:tcBorders>
                    <w:tl2br w:val="nil"/>
                    <w:tr2bl w:val="nil"/>
                  </w:tcBorders>
                  <w:noWrap w:val="0"/>
                  <w:vAlign w:val="center"/>
                </w:tcPr>
                <w:p w14:paraId="3867F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危废贮存点</w:t>
                  </w:r>
                </w:p>
              </w:tc>
              <w:tc>
                <w:tcPr>
                  <w:tcW w:w="1698" w:type="pct"/>
                  <w:tcBorders>
                    <w:tl2br w:val="nil"/>
                    <w:tr2bl w:val="nil"/>
                  </w:tcBorders>
                  <w:noWrap w:val="0"/>
                  <w:vAlign w:val="center"/>
                </w:tcPr>
                <w:p w14:paraId="16ED1C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vertAlign w:val="baseline"/>
                      <w:lang w:val="en-US" w:eastAsia="zh-CN"/>
                    </w:rPr>
                  </w:pPr>
                  <w:r>
                    <w:rPr>
                      <w:rFonts w:hint="default" w:ascii="Times New Roman" w:hAnsi="Times New Roman" w:eastAsia="宋体" w:cs="Times New Roman"/>
                      <w:b w:val="0"/>
                      <w:bCs/>
                      <w:kern w:val="0"/>
                      <w:sz w:val="21"/>
                      <w:szCs w:val="21"/>
                      <w:vertAlign w:val="baseline"/>
                      <w:lang w:val="en-US" w:eastAsia="zh-CN"/>
                    </w:rPr>
                    <w:t>表示危险废物贮</w:t>
                  </w:r>
                  <w:r>
                    <w:rPr>
                      <w:rFonts w:hint="eastAsia" w:cs="Times New Roman"/>
                      <w:b w:val="0"/>
                      <w:bCs/>
                      <w:kern w:val="0"/>
                      <w:sz w:val="21"/>
                      <w:szCs w:val="21"/>
                      <w:vertAlign w:val="baseline"/>
                      <w:lang w:val="en-US" w:eastAsia="zh-CN"/>
                    </w:rPr>
                    <w:t xml:space="preserve">  </w:t>
                  </w:r>
                  <w:r>
                    <w:rPr>
                      <w:rFonts w:hint="default" w:ascii="Times New Roman" w:hAnsi="Times New Roman" w:eastAsia="宋体" w:cs="Times New Roman"/>
                      <w:b w:val="0"/>
                      <w:bCs/>
                      <w:kern w:val="0"/>
                      <w:sz w:val="21"/>
                      <w:szCs w:val="21"/>
                      <w:vertAlign w:val="baseline"/>
                      <w:lang w:val="en-US" w:eastAsia="zh-CN"/>
                    </w:rPr>
                    <w:t>存、处置场</w:t>
                  </w:r>
                </w:p>
              </w:tc>
            </w:tr>
          </w:tbl>
          <w:p w14:paraId="2436CF65">
            <w:pPr>
              <w:adjustRightInd w:val="0"/>
              <w:snapToGrid w:val="0"/>
              <w:rPr>
                <w:rFonts w:ascii="宋体" w:hAnsi="宋体" w:cs="宋体"/>
                <w:bCs/>
                <w:spacing w:val="-10"/>
                <w:szCs w:val="21"/>
              </w:rPr>
            </w:pPr>
          </w:p>
          <w:p w14:paraId="2E65E4C3">
            <w:pPr>
              <w:adjustRightInd w:val="0"/>
              <w:snapToGrid w:val="0"/>
              <w:rPr>
                <w:rFonts w:ascii="宋体" w:hAnsi="宋体" w:cs="宋体"/>
                <w:bCs/>
                <w:spacing w:val="-10"/>
                <w:szCs w:val="21"/>
              </w:rPr>
            </w:pPr>
          </w:p>
          <w:p w14:paraId="6CCA3AC8">
            <w:pPr>
              <w:adjustRightInd w:val="0"/>
              <w:snapToGrid w:val="0"/>
              <w:rPr>
                <w:rFonts w:ascii="宋体" w:hAnsi="宋体" w:cs="宋体"/>
                <w:bCs/>
                <w:spacing w:val="-10"/>
                <w:szCs w:val="21"/>
              </w:rPr>
            </w:pPr>
          </w:p>
          <w:p w14:paraId="2BEDD820">
            <w:pPr>
              <w:adjustRightInd w:val="0"/>
              <w:snapToGrid w:val="0"/>
              <w:rPr>
                <w:rFonts w:ascii="宋体" w:hAnsi="宋体" w:cs="宋体"/>
                <w:bCs/>
                <w:spacing w:val="-10"/>
                <w:szCs w:val="21"/>
              </w:rPr>
            </w:pPr>
          </w:p>
          <w:p w14:paraId="51C9C3D7">
            <w:pPr>
              <w:adjustRightInd w:val="0"/>
              <w:snapToGrid w:val="0"/>
              <w:rPr>
                <w:rFonts w:ascii="宋体" w:hAnsi="宋体" w:cs="宋体"/>
                <w:bCs/>
                <w:spacing w:val="-10"/>
                <w:szCs w:val="21"/>
              </w:rPr>
            </w:pPr>
          </w:p>
          <w:p w14:paraId="461BD4AD">
            <w:pPr>
              <w:adjustRightInd w:val="0"/>
              <w:snapToGrid w:val="0"/>
              <w:rPr>
                <w:rFonts w:ascii="宋体" w:hAnsi="宋体" w:cs="宋体"/>
                <w:bCs/>
                <w:spacing w:val="-10"/>
                <w:szCs w:val="21"/>
              </w:rPr>
            </w:pPr>
          </w:p>
          <w:p w14:paraId="06482530">
            <w:pPr>
              <w:adjustRightInd w:val="0"/>
              <w:snapToGrid w:val="0"/>
              <w:rPr>
                <w:rFonts w:ascii="宋体" w:hAnsi="宋体" w:cs="宋体"/>
                <w:bCs/>
                <w:spacing w:val="-10"/>
                <w:szCs w:val="21"/>
              </w:rPr>
            </w:pPr>
          </w:p>
          <w:p w14:paraId="16B8EBD0">
            <w:pPr>
              <w:adjustRightInd w:val="0"/>
              <w:snapToGrid w:val="0"/>
              <w:rPr>
                <w:rFonts w:ascii="宋体" w:hAnsi="宋体" w:cs="宋体"/>
                <w:bCs/>
                <w:spacing w:val="-10"/>
                <w:szCs w:val="21"/>
              </w:rPr>
            </w:pPr>
          </w:p>
          <w:p w14:paraId="43B00B80">
            <w:pPr>
              <w:adjustRightInd w:val="0"/>
              <w:snapToGrid w:val="0"/>
              <w:rPr>
                <w:rFonts w:ascii="宋体" w:hAnsi="宋体" w:cs="宋体"/>
                <w:bCs/>
                <w:spacing w:val="-10"/>
                <w:szCs w:val="21"/>
              </w:rPr>
            </w:pPr>
          </w:p>
          <w:p w14:paraId="784639EB">
            <w:pPr>
              <w:adjustRightInd w:val="0"/>
              <w:snapToGrid w:val="0"/>
              <w:rPr>
                <w:rFonts w:ascii="宋体" w:hAnsi="宋体" w:cs="宋体"/>
                <w:bCs/>
                <w:spacing w:val="-10"/>
                <w:szCs w:val="21"/>
              </w:rPr>
            </w:pPr>
          </w:p>
          <w:p w14:paraId="6DD60BB8">
            <w:pPr>
              <w:adjustRightInd w:val="0"/>
              <w:snapToGrid w:val="0"/>
              <w:rPr>
                <w:rFonts w:ascii="宋体" w:hAnsi="宋体" w:cs="宋体"/>
                <w:bCs/>
                <w:spacing w:val="-10"/>
                <w:szCs w:val="21"/>
              </w:rPr>
            </w:pPr>
          </w:p>
          <w:p w14:paraId="38F6D47B">
            <w:pPr>
              <w:adjustRightInd w:val="0"/>
              <w:snapToGrid w:val="0"/>
              <w:rPr>
                <w:rFonts w:ascii="宋体" w:hAnsi="宋体" w:cs="宋体"/>
                <w:bCs/>
                <w:spacing w:val="-10"/>
                <w:szCs w:val="21"/>
              </w:rPr>
            </w:pPr>
          </w:p>
          <w:p w14:paraId="2185975C">
            <w:pPr>
              <w:adjustRightInd w:val="0"/>
              <w:snapToGrid w:val="0"/>
              <w:rPr>
                <w:rFonts w:ascii="宋体" w:hAnsi="宋体" w:cs="宋体"/>
                <w:bCs/>
                <w:spacing w:val="-10"/>
                <w:szCs w:val="21"/>
              </w:rPr>
            </w:pPr>
          </w:p>
          <w:p w14:paraId="6EB4057E">
            <w:pPr>
              <w:adjustRightInd w:val="0"/>
              <w:snapToGrid w:val="0"/>
              <w:rPr>
                <w:rFonts w:ascii="宋体" w:hAnsi="宋体" w:cs="宋体"/>
                <w:bCs/>
                <w:spacing w:val="-10"/>
                <w:szCs w:val="21"/>
              </w:rPr>
            </w:pPr>
          </w:p>
        </w:tc>
      </w:tr>
    </w:tbl>
    <w:p w14:paraId="63BC457B">
      <w:pPr>
        <w:rPr>
          <w:rFonts w:hint="eastAsia" w:ascii="黑体" w:hAnsi="黑体" w:eastAsia="黑体"/>
          <w:snapToGrid w:val="0"/>
          <w:sz w:val="30"/>
          <w:szCs w:val="30"/>
        </w:rPr>
      </w:pPr>
      <w:r>
        <w:rPr>
          <w:rFonts w:hint="eastAsia" w:ascii="黑体" w:hAnsi="黑体" w:eastAsia="黑体"/>
          <w:snapToGrid w:val="0"/>
          <w:sz w:val="30"/>
          <w:szCs w:val="30"/>
        </w:rPr>
        <w:br w:type="page"/>
      </w:r>
    </w:p>
    <w:p w14:paraId="4EBBCF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21"/>
        <w:tblW w:w="86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642"/>
        <w:gridCol w:w="1258"/>
        <w:gridCol w:w="1684"/>
        <w:gridCol w:w="2450"/>
      </w:tblGrid>
      <w:tr w14:paraId="2BFCC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591" w:type="dxa"/>
            <w:tcBorders>
              <w:tl2br w:val="nil"/>
              <w:tr2bl w:val="nil"/>
            </w:tcBorders>
            <w:noWrap w:val="0"/>
            <w:vAlign w:val="top"/>
          </w:tcPr>
          <w:p w14:paraId="3B3AD611">
            <w:pPr>
              <w:adjustRightInd w:val="0"/>
              <w:snapToGrid w:val="0"/>
              <w:ind w:firstLine="840"/>
              <w:rPr>
                <w:rFonts w:hint="eastAsia" w:ascii="宋体" w:hAnsi="宋体" w:cs="宋体"/>
                <w:b/>
                <w:bCs/>
                <w:sz w:val="24"/>
                <w:szCs w:val="24"/>
              </w:rPr>
            </w:pPr>
            <w:r>
              <w:rPr>
                <w:rFonts w:hint="eastAsia" w:ascii="宋体" w:hAnsi="宋体" w:cs="宋体"/>
                <w:b/>
                <w:bCs/>
                <w:sz w:val="24"/>
                <w:szCs w:val="24"/>
              </w:rPr>
              <w:t>内容</w:t>
            </w:r>
          </w:p>
          <w:p w14:paraId="583093DC">
            <w:pPr>
              <w:adjustRightInd w:val="0"/>
              <w:snapToGrid w:val="0"/>
              <w:rPr>
                <w:rFonts w:hint="eastAsia" w:ascii="宋体" w:hAnsi="宋体" w:cs="宋体"/>
                <w:b/>
                <w:bCs/>
                <w:sz w:val="24"/>
                <w:szCs w:val="24"/>
              </w:rPr>
            </w:pPr>
            <w:r>
              <w:rPr>
                <w:rFonts w:hint="eastAsia" w:ascii="宋体" w:hAnsi="宋体" w:cs="宋体"/>
                <w:b/>
                <w:bCs/>
                <w:sz w:val="24"/>
                <w:szCs w:val="24"/>
              </w:rPr>
              <w:t>要素</w:t>
            </w:r>
          </w:p>
        </w:tc>
        <w:tc>
          <w:tcPr>
            <w:tcW w:w="1642" w:type="dxa"/>
            <w:tcBorders>
              <w:tl2br w:val="nil"/>
              <w:tr2bl w:val="nil"/>
            </w:tcBorders>
            <w:noWrap w:val="0"/>
            <w:vAlign w:val="center"/>
          </w:tcPr>
          <w:p w14:paraId="2942B454">
            <w:pPr>
              <w:adjustRightInd w:val="0"/>
              <w:snapToGrid w:val="0"/>
              <w:jc w:val="center"/>
              <w:rPr>
                <w:rFonts w:hint="eastAsia" w:ascii="宋体" w:hAnsi="宋体" w:cs="宋体"/>
                <w:b/>
                <w:bCs/>
                <w:sz w:val="24"/>
                <w:szCs w:val="24"/>
              </w:rPr>
            </w:pPr>
            <w:r>
              <w:rPr>
                <w:rFonts w:hint="eastAsia" w:ascii="宋体" w:hAnsi="宋体" w:cs="宋体"/>
                <w:b/>
                <w:bCs/>
                <w:sz w:val="24"/>
                <w:szCs w:val="24"/>
              </w:rPr>
              <w:t>排放口</w:t>
            </w:r>
            <w:r>
              <w:rPr>
                <w:rFonts w:hint="eastAsia" w:ascii="宋体" w:hAnsi="宋体" w:cs="宋体"/>
                <w:b/>
                <w:bCs/>
                <w:sz w:val="24"/>
                <w:szCs w:val="24"/>
                <w:lang w:eastAsia="zh-CN"/>
              </w:rPr>
              <w:t>（</w:t>
            </w:r>
            <w:r>
              <w:rPr>
                <w:rFonts w:hint="eastAsia" w:ascii="宋体" w:hAnsi="宋体" w:cs="宋体"/>
                <w:b/>
                <w:bCs/>
                <w:sz w:val="24"/>
                <w:szCs w:val="24"/>
              </w:rPr>
              <w:t>编号、名称</w:t>
            </w:r>
            <w:r>
              <w:rPr>
                <w:rFonts w:hint="eastAsia" w:ascii="宋体" w:hAnsi="宋体" w:cs="宋体"/>
                <w:b/>
                <w:bCs/>
                <w:sz w:val="24"/>
                <w:szCs w:val="24"/>
                <w:lang w:eastAsia="zh-CN"/>
              </w:rPr>
              <w:t>）</w:t>
            </w:r>
            <w:r>
              <w:rPr>
                <w:rFonts w:hint="eastAsia" w:ascii="宋体" w:hAnsi="宋体" w:cs="宋体"/>
                <w:b/>
                <w:bCs/>
                <w:sz w:val="24"/>
                <w:szCs w:val="24"/>
              </w:rPr>
              <w:t>/污染源</w:t>
            </w:r>
          </w:p>
        </w:tc>
        <w:tc>
          <w:tcPr>
            <w:tcW w:w="1258" w:type="dxa"/>
            <w:tcBorders>
              <w:tl2br w:val="nil"/>
              <w:tr2bl w:val="nil"/>
            </w:tcBorders>
            <w:noWrap w:val="0"/>
            <w:vAlign w:val="center"/>
          </w:tcPr>
          <w:p w14:paraId="4CE59340">
            <w:pPr>
              <w:adjustRightInd w:val="0"/>
              <w:snapToGrid w:val="0"/>
              <w:jc w:val="center"/>
              <w:rPr>
                <w:rFonts w:hint="eastAsia" w:ascii="宋体" w:hAnsi="宋体" w:cs="宋体"/>
                <w:b/>
                <w:bCs/>
                <w:sz w:val="24"/>
                <w:szCs w:val="24"/>
              </w:rPr>
            </w:pPr>
            <w:r>
              <w:rPr>
                <w:rFonts w:hint="eastAsia" w:ascii="宋体" w:hAnsi="宋体" w:cs="宋体"/>
                <w:b/>
                <w:bCs/>
                <w:sz w:val="24"/>
                <w:szCs w:val="24"/>
              </w:rPr>
              <w:t>污染物项目</w:t>
            </w:r>
          </w:p>
        </w:tc>
        <w:tc>
          <w:tcPr>
            <w:tcW w:w="1684" w:type="dxa"/>
            <w:tcBorders>
              <w:tl2br w:val="nil"/>
              <w:tr2bl w:val="nil"/>
            </w:tcBorders>
            <w:noWrap w:val="0"/>
            <w:vAlign w:val="center"/>
          </w:tcPr>
          <w:p w14:paraId="1F352AE5">
            <w:pPr>
              <w:adjustRightInd w:val="0"/>
              <w:snapToGrid w:val="0"/>
              <w:jc w:val="center"/>
              <w:rPr>
                <w:rFonts w:hint="eastAsia" w:ascii="宋体" w:hAnsi="宋体" w:cs="宋体"/>
                <w:b/>
                <w:bCs/>
                <w:sz w:val="24"/>
                <w:szCs w:val="24"/>
              </w:rPr>
            </w:pPr>
            <w:r>
              <w:rPr>
                <w:rFonts w:hint="eastAsia" w:ascii="宋体" w:hAnsi="宋体" w:cs="宋体"/>
                <w:b/>
                <w:bCs/>
                <w:sz w:val="24"/>
                <w:szCs w:val="24"/>
              </w:rPr>
              <w:t>环境保护措施</w:t>
            </w:r>
          </w:p>
        </w:tc>
        <w:tc>
          <w:tcPr>
            <w:tcW w:w="2450" w:type="dxa"/>
            <w:tcBorders>
              <w:tl2br w:val="nil"/>
              <w:tr2bl w:val="nil"/>
            </w:tcBorders>
            <w:noWrap w:val="0"/>
            <w:vAlign w:val="center"/>
          </w:tcPr>
          <w:p w14:paraId="30907766">
            <w:pPr>
              <w:adjustRightInd w:val="0"/>
              <w:snapToGrid w:val="0"/>
              <w:jc w:val="center"/>
              <w:rPr>
                <w:rFonts w:hint="eastAsia" w:ascii="宋体" w:hAnsi="宋体" w:cs="宋体"/>
                <w:b/>
                <w:bCs/>
                <w:sz w:val="24"/>
                <w:szCs w:val="24"/>
              </w:rPr>
            </w:pPr>
            <w:r>
              <w:rPr>
                <w:rFonts w:hint="eastAsia" w:ascii="宋体" w:hAnsi="宋体" w:cs="宋体"/>
                <w:b/>
                <w:bCs/>
                <w:sz w:val="24"/>
                <w:szCs w:val="24"/>
              </w:rPr>
              <w:t>执行标准</w:t>
            </w:r>
          </w:p>
        </w:tc>
      </w:tr>
      <w:tr w14:paraId="76230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591" w:type="dxa"/>
            <w:vMerge w:val="restart"/>
            <w:tcBorders>
              <w:tl2br w:val="nil"/>
              <w:tr2bl w:val="nil"/>
            </w:tcBorders>
            <w:noWrap w:val="0"/>
            <w:vAlign w:val="center"/>
          </w:tcPr>
          <w:p w14:paraId="42603335">
            <w:pPr>
              <w:adjustRightInd w:val="0"/>
              <w:snapToGrid w:val="0"/>
              <w:jc w:val="center"/>
              <w:rPr>
                <w:rFonts w:hint="eastAsia" w:ascii="宋体" w:hAnsi="宋体" w:cs="宋体"/>
                <w:b/>
                <w:bCs/>
                <w:sz w:val="24"/>
                <w:szCs w:val="24"/>
              </w:rPr>
            </w:pPr>
            <w:r>
              <w:rPr>
                <w:rFonts w:hint="eastAsia" w:ascii="宋体" w:hAnsi="宋体" w:cs="宋体"/>
                <w:b/>
                <w:bCs/>
                <w:sz w:val="24"/>
                <w:szCs w:val="24"/>
              </w:rPr>
              <w:t>大气环境</w:t>
            </w:r>
          </w:p>
        </w:tc>
        <w:tc>
          <w:tcPr>
            <w:tcW w:w="1642" w:type="dxa"/>
            <w:tcBorders>
              <w:tl2br w:val="nil"/>
              <w:tr2bl w:val="nil"/>
            </w:tcBorders>
            <w:noWrap w:val="0"/>
            <w:vAlign w:val="center"/>
          </w:tcPr>
          <w:p w14:paraId="79FB49E2">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剥绒</w:t>
            </w:r>
            <w:r>
              <w:rPr>
                <w:rFonts w:hint="default" w:ascii="Times New Roman" w:hAnsi="Times New Roman" w:cs="Times New Roman"/>
                <w:sz w:val="24"/>
                <w:szCs w:val="24"/>
                <w:lang w:val="en-US" w:eastAsia="zh-CN"/>
              </w:rPr>
              <w:t>车间（DA001</w:t>
            </w:r>
            <w:r>
              <w:rPr>
                <w:rFonts w:hint="eastAsia" w:cs="Times New Roman"/>
                <w:sz w:val="24"/>
                <w:szCs w:val="24"/>
                <w:lang w:val="en-US" w:eastAsia="zh-CN"/>
              </w:rPr>
              <w:t>、DA002</w:t>
            </w:r>
            <w:r>
              <w:rPr>
                <w:rFonts w:hint="default" w:ascii="Times New Roman" w:hAnsi="Times New Roman" w:cs="Times New Roman"/>
                <w:sz w:val="24"/>
                <w:szCs w:val="24"/>
                <w:lang w:val="en-US" w:eastAsia="zh-CN"/>
              </w:rPr>
              <w:t>）</w:t>
            </w:r>
          </w:p>
        </w:tc>
        <w:tc>
          <w:tcPr>
            <w:tcW w:w="1258" w:type="dxa"/>
            <w:tcBorders>
              <w:tl2br w:val="nil"/>
              <w:tr2bl w:val="nil"/>
            </w:tcBorders>
            <w:noWrap w:val="0"/>
            <w:vAlign w:val="center"/>
          </w:tcPr>
          <w:p w14:paraId="18DB6688">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颗粒物</w:t>
            </w:r>
          </w:p>
        </w:tc>
        <w:tc>
          <w:tcPr>
            <w:tcW w:w="1684" w:type="dxa"/>
            <w:tcBorders>
              <w:tl2br w:val="nil"/>
              <w:tr2bl w:val="nil"/>
            </w:tcBorders>
            <w:noWrap w:val="0"/>
            <w:vAlign w:val="center"/>
          </w:tcPr>
          <w:p w14:paraId="5DB0CA7B">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1"/>
                <w:szCs w:val="21"/>
                <w:lang w:val="en-US" w:eastAsia="zh-CN"/>
              </w:rPr>
              <w:t>2套</w:t>
            </w:r>
            <w:r>
              <w:rPr>
                <w:rFonts w:hint="default" w:ascii="Times New Roman" w:hAnsi="Times New Roman" w:eastAsia="宋体" w:cs="Times New Roman"/>
                <w:sz w:val="21"/>
                <w:szCs w:val="21"/>
                <w:lang w:val="en-US" w:eastAsia="zh-CN"/>
              </w:rPr>
              <w:t>除尘机组（</w:t>
            </w:r>
            <w:r>
              <w:rPr>
                <w:rFonts w:hint="eastAsia" w:ascii="Times New Roman" w:hAnsi="Times New Roman" w:eastAsia="宋体" w:cs="Times New Roman"/>
                <w:sz w:val="21"/>
                <w:szCs w:val="21"/>
                <w:lang w:val="en-US" w:eastAsia="zh-CN"/>
              </w:rPr>
              <w:t>多管</w:t>
            </w:r>
            <w:r>
              <w:rPr>
                <w:rFonts w:hint="default" w:ascii="Times New Roman" w:hAnsi="Times New Roman" w:eastAsia="宋体" w:cs="Times New Roman"/>
                <w:sz w:val="21"/>
                <w:szCs w:val="21"/>
                <w:lang w:val="en-US" w:eastAsia="zh-CN"/>
              </w:rPr>
              <w:t>旋风除尘器+袋式</w:t>
            </w:r>
            <w:r>
              <w:rPr>
                <w:rFonts w:hint="eastAsia" w:ascii="Times New Roman" w:hAnsi="Times New Roman" w:eastAsia="宋体" w:cs="Times New Roman"/>
                <w:sz w:val="21"/>
                <w:szCs w:val="21"/>
                <w:lang w:val="en-US" w:eastAsia="zh-CN"/>
              </w:rPr>
              <w:t>滤筒</w:t>
            </w:r>
            <w:r>
              <w:rPr>
                <w:rFonts w:hint="default" w:ascii="Times New Roman" w:hAnsi="Times New Roman" w:eastAsia="宋体" w:cs="Times New Roman"/>
                <w:sz w:val="21"/>
                <w:szCs w:val="21"/>
                <w:lang w:val="en-US" w:eastAsia="zh-CN"/>
              </w:rPr>
              <w:t>除尘器）后通过15m高排气筒外排（DA00</w:t>
            </w:r>
            <w:r>
              <w:rPr>
                <w:rFonts w:hint="eastAsia" w:ascii="Times New Roman" w:hAnsi="Times New Roman" w:eastAsia="宋体" w:cs="Times New Roman"/>
                <w:sz w:val="21"/>
                <w:szCs w:val="21"/>
                <w:lang w:val="en-US" w:eastAsia="zh-CN"/>
              </w:rPr>
              <w:t>1、DA002</w:t>
            </w:r>
            <w:r>
              <w:rPr>
                <w:rFonts w:hint="default" w:ascii="Times New Roman" w:hAnsi="Times New Roman" w:eastAsia="宋体" w:cs="Times New Roman"/>
                <w:sz w:val="21"/>
                <w:szCs w:val="21"/>
                <w:lang w:val="en-US" w:eastAsia="zh-CN"/>
              </w:rPr>
              <w:t>）</w:t>
            </w:r>
          </w:p>
        </w:tc>
        <w:tc>
          <w:tcPr>
            <w:tcW w:w="2450" w:type="dxa"/>
            <w:tcBorders>
              <w:tl2br w:val="nil"/>
              <w:tr2bl w:val="nil"/>
            </w:tcBorders>
            <w:noWrap w:val="0"/>
            <w:vAlign w:val="center"/>
          </w:tcPr>
          <w:p w14:paraId="202591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sz w:val="24"/>
                <w:szCs w:val="24"/>
              </w:rPr>
              <w:t>《大气污染物综合排放标准》（GB16297-1996）二级标准要求</w:t>
            </w:r>
          </w:p>
        </w:tc>
      </w:tr>
      <w:tr w14:paraId="47746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591" w:type="dxa"/>
            <w:vMerge w:val="continue"/>
            <w:tcBorders>
              <w:tl2br w:val="nil"/>
              <w:tr2bl w:val="nil"/>
            </w:tcBorders>
            <w:noWrap w:val="0"/>
            <w:vAlign w:val="center"/>
          </w:tcPr>
          <w:p w14:paraId="4EA0D7A3">
            <w:pPr>
              <w:adjustRightInd w:val="0"/>
              <w:snapToGrid w:val="0"/>
              <w:jc w:val="center"/>
              <w:rPr>
                <w:rFonts w:hint="eastAsia" w:ascii="宋体" w:hAnsi="宋体" w:cs="宋体"/>
                <w:b/>
                <w:bCs/>
                <w:sz w:val="24"/>
                <w:szCs w:val="24"/>
              </w:rPr>
            </w:pPr>
          </w:p>
        </w:tc>
        <w:tc>
          <w:tcPr>
            <w:tcW w:w="1642" w:type="dxa"/>
            <w:tcBorders>
              <w:tl2br w:val="nil"/>
              <w:tr2bl w:val="nil"/>
            </w:tcBorders>
            <w:noWrap w:val="0"/>
            <w:vAlign w:val="center"/>
          </w:tcPr>
          <w:p w14:paraId="3C594234">
            <w:pPr>
              <w:adjustRightInd w:val="0"/>
              <w:snapToGrid w:val="0"/>
              <w:jc w:val="center"/>
              <w:rPr>
                <w:rFonts w:hint="eastAsia" w:cs="Times New Roman"/>
                <w:sz w:val="24"/>
                <w:szCs w:val="24"/>
                <w:lang w:val="en-US" w:eastAsia="zh-CN"/>
              </w:rPr>
            </w:pPr>
            <w:r>
              <w:rPr>
                <w:rFonts w:hint="eastAsia" w:ascii="Times New Roman" w:hAnsi="Times New Roman" w:eastAsia="宋体" w:cs="Times New Roman"/>
                <w:sz w:val="21"/>
                <w:szCs w:val="21"/>
                <w:highlight w:val="none"/>
                <w:lang w:val="en-US" w:eastAsia="zh-CN"/>
              </w:rPr>
              <w:t>粉碎包装车间</w:t>
            </w:r>
            <w:r>
              <w:rPr>
                <w:rFonts w:hint="eastAsia" w:ascii="Times New Roman" w:hAnsi="Times New Roman" w:cs="Times New Roman"/>
                <w:sz w:val="24"/>
                <w:szCs w:val="24"/>
                <w:lang w:val="en-US" w:eastAsia="zh-CN"/>
              </w:rPr>
              <w:t>（DA003）</w:t>
            </w:r>
          </w:p>
        </w:tc>
        <w:tc>
          <w:tcPr>
            <w:tcW w:w="1258" w:type="dxa"/>
            <w:tcBorders>
              <w:tl2br w:val="nil"/>
              <w:tr2bl w:val="nil"/>
            </w:tcBorders>
            <w:noWrap w:val="0"/>
            <w:vAlign w:val="center"/>
          </w:tcPr>
          <w:p w14:paraId="4D92422E">
            <w:pPr>
              <w:adjustRightInd w:val="0"/>
              <w:snapToGrid w:val="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颗粒物</w:t>
            </w:r>
          </w:p>
        </w:tc>
        <w:tc>
          <w:tcPr>
            <w:tcW w:w="1684" w:type="dxa"/>
            <w:tcBorders>
              <w:tl2br w:val="nil"/>
              <w:tr2bl w:val="nil"/>
            </w:tcBorders>
            <w:noWrap w:val="0"/>
            <w:vAlign w:val="center"/>
          </w:tcPr>
          <w:p w14:paraId="5C2097B2">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粉碎包装车间采用1台脉冲除尘器+15m高排气筒（</w:t>
            </w:r>
            <w:r>
              <w:rPr>
                <w:rFonts w:hint="default" w:ascii="Times New Roman" w:hAnsi="Times New Roman" w:eastAsia="宋体" w:cs="Times New Roman"/>
                <w:sz w:val="21"/>
                <w:szCs w:val="21"/>
                <w:highlight w:val="none"/>
                <w:lang w:val="en-US" w:eastAsia="zh-CN"/>
              </w:rPr>
              <w:t>DA00</w:t>
            </w: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w:t>
            </w:r>
          </w:p>
        </w:tc>
        <w:tc>
          <w:tcPr>
            <w:tcW w:w="2450" w:type="dxa"/>
            <w:tcBorders>
              <w:tl2br w:val="nil"/>
              <w:tr2bl w:val="nil"/>
            </w:tcBorders>
            <w:noWrap w:val="0"/>
            <w:vAlign w:val="center"/>
          </w:tcPr>
          <w:p w14:paraId="50CAB03F">
            <w:pPr>
              <w:keepNext w:val="0"/>
              <w:keepLines w:val="0"/>
              <w:pageBreakBefore w:val="0"/>
              <w:widowControl w:val="0"/>
              <w:kinsoku/>
              <w:wordWrap/>
              <w:overflowPunct/>
              <w:topLinePunct w:val="0"/>
              <w:autoSpaceDE/>
              <w:autoSpaceDN/>
              <w:bidi w:val="0"/>
              <w:adjustRightInd w:val="0"/>
              <w:snapToGrid w:val="0"/>
              <w:jc w:val="center"/>
              <w:textAlignment w:val="auto"/>
              <w:rPr>
                <w:sz w:val="24"/>
                <w:szCs w:val="24"/>
              </w:rPr>
            </w:pPr>
            <w:r>
              <w:rPr>
                <w:rFonts w:hint="eastAsia"/>
                <w:sz w:val="24"/>
                <w:szCs w:val="24"/>
              </w:rPr>
              <w:t>《大气污染物综合排放标准》（GB16297-1996）二级标准要求</w:t>
            </w:r>
          </w:p>
        </w:tc>
      </w:tr>
      <w:tr w14:paraId="7BC8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1" w:type="dxa"/>
            <w:vMerge w:val="continue"/>
            <w:tcBorders>
              <w:tl2br w:val="nil"/>
              <w:tr2bl w:val="nil"/>
            </w:tcBorders>
            <w:noWrap w:val="0"/>
            <w:vAlign w:val="center"/>
          </w:tcPr>
          <w:p w14:paraId="78FE2FE7">
            <w:pPr>
              <w:adjustRightInd w:val="0"/>
              <w:snapToGrid w:val="0"/>
              <w:jc w:val="center"/>
              <w:rPr>
                <w:rFonts w:hint="eastAsia" w:ascii="宋体" w:hAnsi="宋体" w:cs="宋体"/>
                <w:b/>
                <w:bCs/>
                <w:sz w:val="24"/>
                <w:szCs w:val="24"/>
              </w:rPr>
            </w:pPr>
          </w:p>
        </w:tc>
        <w:tc>
          <w:tcPr>
            <w:tcW w:w="1642" w:type="dxa"/>
            <w:vMerge w:val="restart"/>
            <w:tcBorders>
              <w:tl2br w:val="nil"/>
              <w:tr2bl w:val="nil"/>
            </w:tcBorders>
            <w:noWrap w:val="0"/>
            <w:vAlign w:val="center"/>
          </w:tcPr>
          <w:p w14:paraId="10DF4BAD">
            <w:pPr>
              <w:adjustRightInd w:val="0"/>
              <w:snapToGrid w:val="0"/>
              <w:jc w:val="center"/>
              <w:rPr>
                <w:rFonts w:hint="eastAsia"/>
                <w:sz w:val="24"/>
                <w:szCs w:val="24"/>
                <w:lang w:val="en-US" w:eastAsia="zh-CN"/>
              </w:rPr>
            </w:pPr>
            <w:r>
              <w:rPr>
                <w:rFonts w:hint="eastAsia"/>
                <w:sz w:val="24"/>
                <w:szCs w:val="24"/>
                <w:lang w:val="en-US" w:eastAsia="zh-CN"/>
              </w:rPr>
              <w:t>预处理车间</w:t>
            </w:r>
          </w:p>
          <w:p w14:paraId="2ACDAE98">
            <w:pPr>
              <w:adjustRightInd w:val="0"/>
              <w:snapToGrid w:val="0"/>
              <w:jc w:val="center"/>
              <w:rPr>
                <w:rFonts w:hint="default"/>
                <w:sz w:val="24"/>
                <w:szCs w:val="24"/>
                <w:lang w:val="en-US" w:eastAsia="zh-CN"/>
              </w:rPr>
            </w:pPr>
            <w:r>
              <w:rPr>
                <w:rFonts w:hint="eastAsia"/>
                <w:sz w:val="24"/>
                <w:szCs w:val="24"/>
                <w:lang w:val="en-US" w:eastAsia="zh-CN"/>
              </w:rPr>
              <w:t>(</w:t>
            </w:r>
            <w:r>
              <w:rPr>
                <w:rFonts w:hint="eastAsia" w:ascii="Times New Roman" w:hAnsi="Times New Roman" w:cs="Times New Roman"/>
                <w:sz w:val="24"/>
                <w:szCs w:val="24"/>
                <w:lang w:val="en-US" w:eastAsia="zh-CN"/>
              </w:rPr>
              <w:t>DA004、DA005、DA006</w:t>
            </w:r>
            <w:r>
              <w:rPr>
                <w:rFonts w:hint="eastAsia"/>
                <w:sz w:val="24"/>
                <w:szCs w:val="24"/>
                <w:lang w:val="en-US" w:eastAsia="zh-CN"/>
              </w:rPr>
              <w:t>)</w:t>
            </w:r>
          </w:p>
        </w:tc>
        <w:tc>
          <w:tcPr>
            <w:tcW w:w="1258" w:type="dxa"/>
            <w:tcBorders>
              <w:tl2br w:val="nil"/>
              <w:tr2bl w:val="nil"/>
            </w:tcBorders>
            <w:noWrap w:val="0"/>
            <w:vAlign w:val="center"/>
          </w:tcPr>
          <w:p w14:paraId="5A48FE8F">
            <w:pPr>
              <w:adjustRightInd w:val="0"/>
              <w:snapToGrid w:val="0"/>
              <w:jc w:val="center"/>
              <w:rPr>
                <w:rFonts w:hint="default" w:ascii="Times New Roman" w:hAnsi="Times New Roman" w:cs="Times New Roman"/>
                <w:sz w:val="24"/>
                <w:szCs w:val="24"/>
                <w:lang w:val="en-US"/>
              </w:rPr>
            </w:pPr>
            <w:r>
              <w:rPr>
                <w:rFonts w:hint="eastAsia" w:ascii="Times New Roman" w:hAnsi="Times New Roman" w:cs="Times New Roman"/>
                <w:sz w:val="24"/>
                <w:szCs w:val="24"/>
                <w:lang w:val="en-US" w:eastAsia="zh-CN"/>
              </w:rPr>
              <w:t>颗粒物</w:t>
            </w:r>
          </w:p>
        </w:tc>
        <w:tc>
          <w:tcPr>
            <w:tcW w:w="1684" w:type="dxa"/>
            <w:vMerge w:val="restart"/>
            <w:tcBorders>
              <w:tl2br w:val="nil"/>
              <w:tr2bl w:val="nil"/>
            </w:tcBorders>
            <w:noWrap w:val="0"/>
            <w:vAlign w:val="center"/>
          </w:tcPr>
          <w:p w14:paraId="5147AE41">
            <w:pPr>
              <w:adjustRightInd w:val="0"/>
              <w:snapToGrid w:val="0"/>
              <w:jc w:val="center"/>
              <w:rPr>
                <w:rFonts w:hint="default" w:ascii="Times New Roman" w:hAnsi="Times New Roman" w:cs="Times New Roman"/>
                <w:sz w:val="24"/>
                <w:szCs w:val="24"/>
              </w:rPr>
            </w:pPr>
            <w:r>
              <w:rPr>
                <w:rFonts w:hint="eastAsia" w:ascii="Times New Roman" w:hAnsi="Times New Roman" w:eastAsia="宋体" w:cs="Times New Roman"/>
                <w:sz w:val="21"/>
                <w:szCs w:val="21"/>
                <w:highlight w:val="none"/>
                <w:lang w:val="en-US" w:eastAsia="zh-CN"/>
              </w:rPr>
              <w:t>粕降温废气</w:t>
            </w:r>
            <w:r>
              <w:rPr>
                <w:rFonts w:hint="eastAsia" w:cs="Times New Roman"/>
                <w:sz w:val="21"/>
                <w:szCs w:val="21"/>
                <w:highlight w:val="none"/>
                <w:lang w:val="en-US" w:eastAsia="zh-CN"/>
              </w:rPr>
              <w:t>采用</w:t>
            </w:r>
            <w:r>
              <w:rPr>
                <w:rFonts w:hint="default" w:ascii="Times New Roman" w:hAnsi="Times New Roman" w:eastAsia="宋体" w:cs="Times New Roman"/>
                <w:sz w:val="21"/>
                <w:szCs w:val="21"/>
                <w:highlight w:val="none"/>
                <w:lang w:val="en-US" w:eastAsia="zh-CN"/>
              </w:rPr>
              <w:t>除尘机组（</w:t>
            </w:r>
            <w:r>
              <w:rPr>
                <w:rFonts w:hint="eastAsia" w:ascii="Times New Roman" w:hAnsi="Times New Roman" w:eastAsia="宋体" w:cs="Times New Roman"/>
                <w:sz w:val="21"/>
                <w:szCs w:val="21"/>
                <w:highlight w:val="none"/>
                <w:lang w:val="en-US" w:eastAsia="zh-CN"/>
              </w:rPr>
              <w:t>多管</w:t>
            </w:r>
            <w:r>
              <w:rPr>
                <w:rFonts w:hint="default" w:ascii="Times New Roman" w:hAnsi="Times New Roman" w:eastAsia="宋体" w:cs="Times New Roman"/>
                <w:sz w:val="21"/>
                <w:szCs w:val="21"/>
                <w:highlight w:val="none"/>
                <w:lang w:val="en-US" w:eastAsia="zh-CN"/>
              </w:rPr>
              <w:t>旋风除尘器）后通过15m高排气筒</w:t>
            </w:r>
            <w:r>
              <w:rPr>
                <w:rFonts w:hint="eastAsia" w:ascii="Times New Roman" w:hAnsi="Times New Roman" w:eastAsia="宋体" w:cs="Times New Roman"/>
                <w:sz w:val="21"/>
                <w:szCs w:val="21"/>
                <w:highlight w:val="none"/>
                <w:lang w:val="en-US" w:eastAsia="zh-CN"/>
              </w:rPr>
              <w:t>；软化工艺，</w:t>
            </w:r>
            <w:r>
              <w:rPr>
                <w:rFonts w:hint="eastAsia" w:cs="Times New Roman"/>
                <w:sz w:val="21"/>
                <w:szCs w:val="21"/>
                <w:highlight w:val="none"/>
                <w:lang w:val="en-US" w:eastAsia="zh-CN"/>
              </w:rPr>
              <w:t>蒸、软化</w:t>
            </w:r>
            <w:r>
              <w:rPr>
                <w:rFonts w:hint="default" w:ascii="Times New Roman" w:hAnsi="Times New Roman" w:eastAsia="宋体" w:cs="Times New Roman"/>
                <w:sz w:val="21"/>
                <w:szCs w:val="21"/>
                <w:highlight w:val="none"/>
                <w:lang w:val="en-US" w:eastAsia="zh-CN"/>
              </w:rPr>
              <w:t>通过15m高排气筒外排</w:t>
            </w:r>
          </w:p>
        </w:tc>
        <w:tc>
          <w:tcPr>
            <w:tcW w:w="2450" w:type="dxa"/>
            <w:tcBorders>
              <w:tl2br w:val="nil"/>
              <w:tr2bl w:val="nil"/>
            </w:tcBorders>
            <w:noWrap w:val="0"/>
            <w:vAlign w:val="center"/>
          </w:tcPr>
          <w:p w14:paraId="4AB881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sz w:val="24"/>
                <w:szCs w:val="24"/>
              </w:rPr>
              <w:t>《大气污染物综合排放标准》（GB16297-1996）二级标准要求</w:t>
            </w:r>
          </w:p>
        </w:tc>
      </w:tr>
      <w:tr w14:paraId="27297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1" w:type="dxa"/>
            <w:vMerge w:val="continue"/>
            <w:tcBorders>
              <w:tl2br w:val="nil"/>
              <w:tr2bl w:val="nil"/>
            </w:tcBorders>
            <w:noWrap w:val="0"/>
            <w:vAlign w:val="center"/>
          </w:tcPr>
          <w:p w14:paraId="6B74CCD4">
            <w:pPr>
              <w:adjustRightInd w:val="0"/>
              <w:snapToGrid w:val="0"/>
              <w:jc w:val="center"/>
              <w:rPr>
                <w:rFonts w:hint="eastAsia" w:ascii="宋体" w:hAnsi="宋体" w:cs="宋体"/>
                <w:b/>
                <w:bCs/>
                <w:sz w:val="24"/>
                <w:szCs w:val="24"/>
              </w:rPr>
            </w:pPr>
          </w:p>
        </w:tc>
        <w:tc>
          <w:tcPr>
            <w:tcW w:w="1642" w:type="dxa"/>
            <w:vMerge w:val="continue"/>
            <w:tcBorders>
              <w:tl2br w:val="nil"/>
              <w:tr2bl w:val="nil"/>
            </w:tcBorders>
            <w:noWrap w:val="0"/>
            <w:vAlign w:val="center"/>
          </w:tcPr>
          <w:p w14:paraId="247CECCB">
            <w:pPr>
              <w:adjustRightInd w:val="0"/>
              <w:snapToGrid w:val="0"/>
              <w:jc w:val="center"/>
              <w:rPr>
                <w:rFonts w:hint="eastAsia"/>
                <w:lang w:val="en-US" w:eastAsia="zh-CN"/>
              </w:rPr>
            </w:pPr>
          </w:p>
        </w:tc>
        <w:tc>
          <w:tcPr>
            <w:tcW w:w="1258" w:type="dxa"/>
            <w:tcBorders>
              <w:tl2br w:val="nil"/>
              <w:tr2bl w:val="nil"/>
            </w:tcBorders>
            <w:noWrap w:val="0"/>
            <w:vAlign w:val="center"/>
          </w:tcPr>
          <w:p w14:paraId="5D0009A7">
            <w:pPr>
              <w:adjustRightInd w:val="0"/>
              <w:snapToGrid w:val="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臭气浓度</w:t>
            </w:r>
          </w:p>
        </w:tc>
        <w:tc>
          <w:tcPr>
            <w:tcW w:w="1684" w:type="dxa"/>
            <w:vMerge w:val="continue"/>
            <w:tcBorders>
              <w:tl2br w:val="nil"/>
              <w:tr2bl w:val="nil"/>
            </w:tcBorders>
            <w:noWrap w:val="0"/>
            <w:vAlign w:val="center"/>
          </w:tcPr>
          <w:p w14:paraId="3AB0DCB5">
            <w:pPr>
              <w:adjustRightInd w:val="0"/>
              <w:snapToGrid w:val="0"/>
              <w:jc w:val="center"/>
              <w:rPr>
                <w:rFonts w:hint="eastAsia" w:ascii="Times New Roman" w:hAnsi="Times New Roman" w:cs="Times New Roman"/>
                <w:sz w:val="24"/>
                <w:szCs w:val="24"/>
                <w:lang w:val="en-US" w:eastAsia="zh-CN"/>
              </w:rPr>
            </w:pPr>
          </w:p>
        </w:tc>
        <w:tc>
          <w:tcPr>
            <w:tcW w:w="2450" w:type="dxa"/>
            <w:tcBorders>
              <w:tl2br w:val="nil"/>
              <w:tr2bl w:val="nil"/>
            </w:tcBorders>
            <w:noWrap w:val="0"/>
            <w:vAlign w:val="center"/>
          </w:tcPr>
          <w:p w14:paraId="38218C19">
            <w:pPr>
              <w:keepNext w:val="0"/>
              <w:keepLines w:val="0"/>
              <w:pageBreakBefore w:val="0"/>
              <w:widowControl w:val="0"/>
              <w:kinsoku/>
              <w:wordWrap/>
              <w:overflowPunct/>
              <w:topLinePunct w:val="0"/>
              <w:autoSpaceDE/>
              <w:autoSpaceDN/>
              <w:bidi w:val="0"/>
              <w:adjustRightInd w:val="0"/>
              <w:snapToGrid w:val="0"/>
              <w:jc w:val="center"/>
              <w:textAlignment w:val="auto"/>
              <w:rPr>
                <w:sz w:val="24"/>
                <w:szCs w:val="24"/>
              </w:rPr>
            </w:pPr>
            <w:r>
              <w:rPr>
                <w:rFonts w:hint="eastAsia" w:ascii="Times New Roman" w:hAnsi="Times New Roman" w:eastAsia="宋体" w:cs="Times New Roman"/>
                <w:b w:val="0"/>
                <w:bCs w:val="0"/>
                <w:color w:val="000000"/>
                <w:kern w:val="2"/>
                <w:sz w:val="24"/>
                <w:szCs w:val="24"/>
                <w:highlight w:val="none"/>
                <w:lang w:val="en-US" w:eastAsia="zh-CN" w:bidi="ar-SA"/>
              </w:rPr>
              <w:t>臭气浓度染物排放满足《恶臭污染物排放标准》（GB14554-93）表2恶臭污染物排放限值。</w:t>
            </w:r>
          </w:p>
        </w:tc>
      </w:tr>
      <w:tr w14:paraId="6369B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591" w:type="dxa"/>
            <w:vMerge w:val="continue"/>
            <w:tcBorders>
              <w:tl2br w:val="nil"/>
              <w:tr2bl w:val="nil"/>
            </w:tcBorders>
            <w:noWrap w:val="0"/>
            <w:vAlign w:val="center"/>
          </w:tcPr>
          <w:p w14:paraId="7546BF12">
            <w:pPr>
              <w:adjustRightInd w:val="0"/>
              <w:snapToGrid w:val="0"/>
              <w:jc w:val="center"/>
              <w:rPr>
                <w:rFonts w:hint="eastAsia" w:ascii="宋体" w:hAnsi="宋体" w:cs="宋体"/>
                <w:b/>
                <w:bCs/>
                <w:sz w:val="24"/>
                <w:szCs w:val="24"/>
              </w:rPr>
            </w:pPr>
          </w:p>
        </w:tc>
        <w:tc>
          <w:tcPr>
            <w:tcW w:w="1642" w:type="dxa"/>
            <w:tcBorders>
              <w:tl2br w:val="nil"/>
              <w:tr2bl w:val="nil"/>
            </w:tcBorders>
            <w:noWrap w:val="0"/>
            <w:vAlign w:val="center"/>
          </w:tcPr>
          <w:p w14:paraId="3E8A11C8">
            <w:pPr>
              <w:adjustRightInd w:val="0"/>
              <w:snapToGrid w:val="0"/>
              <w:jc w:val="center"/>
              <w:rPr>
                <w:rFonts w:hint="default" w:ascii="Times New Roman" w:hAnsi="Times New Roman" w:cs="Times New Roman"/>
                <w:sz w:val="24"/>
                <w:szCs w:val="24"/>
              </w:rPr>
            </w:pPr>
            <w:r>
              <w:rPr>
                <w:rFonts w:hint="eastAsia"/>
                <w:sz w:val="24"/>
                <w:szCs w:val="24"/>
                <w:lang w:val="en-US" w:eastAsia="zh-CN"/>
              </w:rPr>
              <w:t>浸出车间</w:t>
            </w:r>
            <w:r>
              <w:rPr>
                <w:rFonts w:hint="eastAsia" w:ascii="Times New Roman" w:hAnsi="Times New Roman" w:cs="Times New Roman"/>
                <w:sz w:val="24"/>
                <w:szCs w:val="24"/>
                <w:lang w:val="en-US" w:eastAsia="zh-CN"/>
              </w:rPr>
              <w:t>（DA00</w:t>
            </w:r>
            <w:r>
              <w:rPr>
                <w:rFonts w:hint="eastAsia" w:cs="Times New Roman"/>
                <w:sz w:val="24"/>
                <w:szCs w:val="24"/>
                <w:lang w:val="en-US" w:eastAsia="zh-CN"/>
              </w:rPr>
              <w:t>7</w:t>
            </w:r>
            <w:r>
              <w:rPr>
                <w:rFonts w:hint="eastAsia" w:ascii="Times New Roman" w:hAnsi="Times New Roman" w:cs="Times New Roman"/>
                <w:sz w:val="24"/>
                <w:szCs w:val="24"/>
                <w:lang w:val="en-US" w:eastAsia="zh-CN"/>
              </w:rPr>
              <w:t>）</w:t>
            </w:r>
          </w:p>
        </w:tc>
        <w:tc>
          <w:tcPr>
            <w:tcW w:w="1258" w:type="dxa"/>
            <w:tcBorders>
              <w:tl2br w:val="nil"/>
              <w:tr2bl w:val="nil"/>
            </w:tcBorders>
            <w:noWrap w:val="0"/>
            <w:vAlign w:val="center"/>
          </w:tcPr>
          <w:p w14:paraId="35C7E756">
            <w:pPr>
              <w:adjustRightInd w:val="0"/>
              <w:snapToGrid w:val="0"/>
              <w:jc w:val="center"/>
              <w:rPr>
                <w:rFonts w:hint="default" w:ascii="Times New Roman" w:hAnsi="Times New Roman" w:cs="Times New Roman"/>
                <w:sz w:val="24"/>
                <w:szCs w:val="24"/>
                <w:lang w:val="en-US"/>
              </w:rPr>
            </w:pPr>
            <w:r>
              <w:rPr>
                <w:rFonts w:hint="eastAsia" w:cs="Times New Roman"/>
                <w:sz w:val="24"/>
                <w:szCs w:val="24"/>
                <w:lang w:val="en-US" w:eastAsia="zh-CN"/>
              </w:rPr>
              <w:t>非甲烷总烃</w:t>
            </w:r>
          </w:p>
        </w:tc>
        <w:tc>
          <w:tcPr>
            <w:tcW w:w="1684" w:type="dxa"/>
            <w:tcBorders>
              <w:tl2br w:val="nil"/>
              <w:tr2bl w:val="nil"/>
            </w:tcBorders>
            <w:noWrap w:val="0"/>
            <w:vAlign w:val="center"/>
          </w:tcPr>
          <w:p w14:paraId="023890C4">
            <w:pPr>
              <w:adjustRightInd w:val="0"/>
              <w:snapToGrid w:val="0"/>
              <w:jc w:val="center"/>
              <w:rPr>
                <w:rFonts w:hint="default" w:ascii="Times New Roman" w:hAnsi="Times New Roman" w:cs="Times New Roman"/>
                <w:sz w:val="24"/>
                <w:szCs w:val="24"/>
                <w:lang w:val="en-US"/>
              </w:rPr>
            </w:pPr>
            <w:r>
              <w:rPr>
                <w:rFonts w:hint="eastAsia" w:ascii="Times New Roman" w:hAnsi="Times New Roman" w:eastAsia="宋体" w:cs="Times New Roman"/>
                <w:sz w:val="21"/>
                <w:szCs w:val="21"/>
                <w:highlight w:val="none"/>
                <w:lang w:val="en-US" w:eastAsia="zh-CN"/>
              </w:rPr>
              <w:t>采用冷冻法+15m高排气筒排放</w:t>
            </w:r>
          </w:p>
        </w:tc>
        <w:tc>
          <w:tcPr>
            <w:tcW w:w="2450" w:type="dxa"/>
            <w:tcBorders>
              <w:tl2br w:val="nil"/>
              <w:tr2bl w:val="nil"/>
            </w:tcBorders>
            <w:noWrap w:val="0"/>
            <w:vAlign w:val="center"/>
          </w:tcPr>
          <w:p w14:paraId="237647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sz w:val="24"/>
                <w:szCs w:val="24"/>
              </w:rPr>
              <w:t>《大气污染物综合排放标准》（GB16297-1996）二级标准要求</w:t>
            </w:r>
          </w:p>
        </w:tc>
      </w:tr>
      <w:tr w14:paraId="014F5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591" w:type="dxa"/>
            <w:vMerge w:val="continue"/>
            <w:tcBorders>
              <w:tl2br w:val="nil"/>
              <w:tr2bl w:val="nil"/>
            </w:tcBorders>
            <w:noWrap w:val="0"/>
            <w:vAlign w:val="center"/>
          </w:tcPr>
          <w:p w14:paraId="0F3C5CBA">
            <w:pPr>
              <w:adjustRightInd w:val="0"/>
              <w:snapToGrid w:val="0"/>
              <w:jc w:val="center"/>
              <w:rPr>
                <w:rFonts w:hint="eastAsia" w:ascii="宋体" w:hAnsi="宋体" w:cs="宋体"/>
                <w:b/>
                <w:bCs/>
                <w:sz w:val="24"/>
                <w:szCs w:val="24"/>
              </w:rPr>
            </w:pPr>
          </w:p>
        </w:tc>
        <w:tc>
          <w:tcPr>
            <w:tcW w:w="1642" w:type="dxa"/>
            <w:tcBorders>
              <w:tl2br w:val="nil"/>
              <w:tr2bl w:val="nil"/>
            </w:tcBorders>
            <w:noWrap w:val="0"/>
            <w:vAlign w:val="center"/>
          </w:tcPr>
          <w:p w14:paraId="74E2E2E3">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15t燃气锅炉</w:t>
            </w:r>
          </w:p>
          <w:p w14:paraId="23D65663">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4"/>
                <w:szCs w:val="24"/>
                <w:lang w:val="en-US" w:eastAsia="zh-CN"/>
              </w:rPr>
              <w:t>（DA008）</w:t>
            </w:r>
          </w:p>
        </w:tc>
        <w:tc>
          <w:tcPr>
            <w:tcW w:w="1258" w:type="dxa"/>
            <w:tcBorders>
              <w:tl2br w:val="nil"/>
              <w:tr2bl w:val="nil"/>
            </w:tcBorders>
            <w:noWrap w:val="0"/>
            <w:vAlign w:val="center"/>
          </w:tcPr>
          <w:p w14:paraId="32D95ABE">
            <w:pPr>
              <w:adjustRightInd w:val="0"/>
              <w:snapToGrid w:val="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颗粒物、SO</w:t>
            </w:r>
            <w:r>
              <w:rPr>
                <w:rFonts w:hint="eastAsia" w:ascii="Times New Roman" w:hAnsi="Times New Roman" w:cs="Times New Roman"/>
                <w:sz w:val="24"/>
                <w:szCs w:val="24"/>
                <w:vertAlign w:val="subscript"/>
                <w:lang w:val="en-US" w:eastAsia="zh-CN"/>
              </w:rPr>
              <w:t>2</w:t>
            </w:r>
            <w:r>
              <w:rPr>
                <w:rFonts w:hint="eastAsia" w:ascii="Times New Roman" w:hAnsi="Times New Roman" w:cs="Times New Roman"/>
                <w:sz w:val="24"/>
                <w:szCs w:val="24"/>
                <w:lang w:val="en-US" w:eastAsia="zh-CN"/>
              </w:rPr>
              <w:t>、NO</w:t>
            </w:r>
            <w:r>
              <w:rPr>
                <w:rFonts w:hint="eastAsia" w:ascii="Times New Roman" w:hAnsi="Times New Roman" w:cs="Times New Roman"/>
                <w:sz w:val="24"/>
                <w:szCs w:val="24"/>
                <w:vertAlign w:val="subscript"/>
                <w:lang w:val="en-US" w:eastAsia="zh-CN"/>
              </w:rPr>
              <w:t>x</w:t>
            </w:r>
          </w:p>
        </w:tc>
        <w:tc>
          <w:tcPr>
            <w:tcW w:w="1684" w:type="dxa"/>
            <w:tcBorders>
              <w:tl2br w:val="nil"/>
              <w:tr2bl w:val="nil"/>
            </w:tcBorders>
            <w:noWrap w:val="0"/>
            <w:vAlign w:val="center"/>
          </w:tcPr>
          <w:p w14:paraId="6E0A8C7B">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低氮燃烧技术+烟气再循环+8m高排气筒外排</w:t>
            </w:r>
          </w:p>
        </w:tc>
        <w:tc>
          <w:tcPr>
            <w:tcW w:w="2450" w:type="dxa"/>
            <w:tcBorders>
              <w:tl2br w:val="nil"/>
              <w:tr2bl w:val="nil"/>
            </w:tcBorders>
            <w:noWrap w:val="0"/>
            <w:vAlign w:val="center"/>
          </w:tcPr>
          <w:p w14:paraId="20353B51">
            <w:pPr>
              <w:keepNext w:val="0"/>
              <w:keepLines w:val="0"/>
              <w:pageBreakBefore w:val="0"/>
              <w:widowControl w:val="0"/>
              <w:kinsoku/>
              <w:wordWrap/>
              <w:overflowPunct/>
              <w:topLinePunct w:val="0"/>
              <w:autoSpaceDE/>
              <w:autoSpaceDN/>
              <w:bidi w:val="0"/>
              <w:adjustRightInd w:val="0"/>
              <w:snapToGrid w:val="0"/>
              <w:jc w:val="center"/>
              <w:textAlignment w:val="auto"/>
              <w:rPr>
                <w:sz w:val="24"/>
                <w:szCs w:val="24"/>
              </w:rPr>
            </w:pPr>
            <w:r>
              <w:rPr>
                <w:rFonts w:ascii="Times New Roman" w:hAnsi="Times New Roman" w:cs="Times New Roman"/>
                <w:color w:val="auto"/>
                <w:sz w:val="24"/>
                <w:szCs w:val="24"/>
                <w:highlight w:val="none"/>
              </w:rPr>
              <w:t>《锅炉大气污染物排放标准》（GB13271-2014）中表2新建燃气锅炉的排放标准限值</w:t>
            </w:r>
          </w:p>
        </w:tc>
      </w:tr>
      <w:tr w14:paraId="336B8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591" w:type="dxa"/>
            <w:vMerge w:val="continue"/>
            <w:tcBorders>
              <w:tl2br w:val="nil"/>
              <w:tr2bl w:val="nil"/>
            </w:tcBorders>
            <w:noWrap w:val="0"/>
            <w:vAlign w:val="center"/>
          </w:tcPr>
          <w:p w14:paraId="33E08384">
            <w:pPr>
              <w:adjustRightInd w:val="0"/>
              <w:snapToGrid w:val="0"/>
              <w:jc w:val="center"/>
              <w:rPr>
                <w:rFonts w:hint="eastAsia" w:ascii="宋体" w:hAnsi="宋体" w:cs="宋体"/>
                <w:b/>
                <w:bCs/>
                <w:sz w:val="24"/>
                <w:szCs w:val="24"/>
              </w:rPr>
            </w:pPr>
          </w:p>
        </w:tc>
        <w:tc>
          <w:tcPr>
            <w:tcW w:w="1642" w:type="dxa"/>
            <w:tcBorders>
              <w:tl2br w:val="nil"/>
              <w:tr2bl w:val="nil"/>
            </w:tcBorders>
            <w:noWrap w:val="0"/>
            <w:vAlign w:val="center"/>
          </w:tcPr>
          <w:p w14:paraId="70433A65">
            <w:pPr>
              <w:adjustRightInd w:val="0"/>
              <w:snapToGrid w:val="0"/>
              <w:jc w:val="center"/>
              <w:rPr>
                <w:rFonts w:hint="default"/>
                <w:sz w:val="24"/>
                <w:szCs w:val="24"/>
                <w:lang w:val="en-US" w:eastAsia="zh-CN"/>
              </w:rPr>
            </w:pPr>
            <w:r>
              <w:rPr>
                <w:rFonts w:hint="eastAsia" w:ascii="Times New Roman" w:hAnsi="Times New Roman" w:eastAsia="宋体" w:cs="Times New Roman"/>
                <w:sz w:val="24"/>
                <w:szCs w:val="24"/>
                <w:lang w:val="en-US" w:eastAsia="zh-CN"/>
              </w:rPr>
              <w:t>备用10t燃气</w:t>
            </w:r>
            <w:r>
              <w:rPr>
                <w:rFonts w:hint="eastAsia" w:cs="Times New Roman"/>
                <w:sz w:val="24"/>
                <w:szCs w:val="24"/>
                <w:lang w:val="en-US" w:eastAsia="zh-CN"/>
              </w:rPr>
              <w:t>锅炉</w:t>
            </w:r>
          </w:p>
        </w:tc>
        <w:tc>
          <w:tcPr>
            <w:tcW w:w="1258" w:type="dxa"/>
            <w:tcBorders>
              <w:tl2br w:val="nil"/>
              <w:tr2bl w:val="nil"/>
            </w:tcBorders>
            <w:noWrap w:val="0"/>
            <w:vAlign w:val="center"/>
          </w:tcPr>
          <w:p w14:paraId="179FB273">
            <w:pPr>
              <w:adjustRightInd w:val="0"/>
              <w:snapToGrid w:val="0"/>
              <w:jc w:val="center"/>
              <w:rPr>
                <w:rFonts w:hint="default" w:cs="Times New Roman"/>
                <w:sz w:val="24"/>
                <w:szCs w:val="24"/>
                <w:lang w:val="en-US" w:eastAsia="zh-CN"/>
              </w:rPr>
            </w:pPr>
            <w:r>
              <w:rPr>
                <w:rFonts w:hint="eastAsia" w:ascii="Times New Roman" w:hAnsi="Times New Roman" w:cs="Times New Roman"/>
                <w:sz w:val="24"/>
                <w:szCs w:val="24"/>
                <w:lang w:val="en-US" w:eastAsia="zh-CN"/>
              </w:rPr>
              <w:t>颗粒物、SO</w:t>
            </w:r>
            <w:r>
              <w:rPr>
                <w:rFonts w:hint="eastAsia" w:ascii="Times New Roman" w:hAnsi="Times New Roman" w:cs="Times New Roman"/>
                <w:sz w:val="24"/>
                <w:szCs w:val="24"/>
                <w:vertAlign w:val="subscript"/>
                <w:lang w:val="en-US" w:eastAsia="zh-CN"/>
              </w:rPr>
              <w:t>2</w:t>
            </w:r>
            <w:r>
              <w:rPr>
                <w:rFonts w:hint="eastAsia" w:ascii="Times New Roman" w:hAnsi="Times New Roman" w:cs="Times New Roman"/>
                <w:sz w:val="24"/>
                <w:szCs w:val="24"/>
                <w:lang w:val="en-US" w:eastAsia="zh-CN"/>
              </w:rPr>
              <w:t>、NO</w:t>
            </w:r>
          </w:p>
        </w:tc>
        <w:tc>
          <w:tcPr>
            <w:tcW w:w="1684" w:type="dxa"/>
            <w:tcBorders>
              <w:tl2br w:val="nil"/>
              <w:tr2bl w:val="nil"/>
            </w:tcBorders>
            <w:noWrap w:val="0"/>
            <w:vAlign w:val="center"/>
          </w:tcPr>
          <w:p w14:paraId="4FFEAECD">
            <w:pPr>
              <w:adjustRightInd w:val="0"/>
              <w:snapToGrid w:val="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低氮燃烧技术+烟气再循环+8m高排气筒外排</w:t>
            </w:r>
          </w:p>
        </w:tc>
        <w:tc>
          <w:tcPr>
            <w:tcW w:w="2450" w:type="dxa"/>
            <w:tcBorders>
              <w:tl2br w:val="nil"/>
              <w:tr2bl w:val="nil"/>
            </w:tcBorders>
            <w:noWrap w:val="0"/>
            <w:vAlign w:val="center"/>
          </w:tcPr>
          <w:p w14:paraId="3FD3BCC2">
            <w:pPr>
              <w:keepNext w:val="0"/>
              <w:keepLines w:val="0"/>
              <w:pageBreakBefore w:val="0"/>
              <w:widowControl w:val="0"/>
              <w:kinsoku/>
              <w:wordWrap/>
              <w:overflowPunct/>
              <w:topLinePunct w:val="0"/>
              <w:autoSpaceDE/>
              <w:autoSpaceDN/>
              <w:bidi w:val="0"/>
              <w:adjustRightInd w:val="0"/>
              <w:snapToGrid w:val="0"/>
              <w:jc w:val="center"/>
              <w:textAlignment w:val="auto"/>
              <w:rPr>
                <w:sz w:val="24"/>
                <w:szCs w:val="24"/>
              </w:rPr>
            </w:pPr>
            <w:r>
              <w:rPr>
                <w:rFonts w:ascii="Times New Roman" w:hAnsi="Times New Roman" w:cs="Times New Roman"/>
                <w:color w:val="auto"/>
                <w:sz w:val="24"/>
                <w:szCs w:val="24"/>
                <w:highlight w:val="none"/>
              </w:rPr>
              <w:t>《锅炉大气污染物排放标准》（GB13271-2014）中表2新建燃气锅炉的排放标准限值</w:t>
            </w:r>
          </w:p>
        </w:tc>
      </w:tr>
      <w:tr w14:paraId="77AA7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591" w:type="dxa"/>
            <w:vMerge w:val="continue"/>
            <w:tcBorders>
              <w:tl2br w:val="nil"/>
              <w:tr2bl w:val="nil"/>
            </w:tcBorders>
            <w:noWrap w:val="0"/>
            <w:vAlign w:val="center"/>
          </w:tcPr>
          <w:p w14:paraId="7CFF0FDE">
            <w:pPr>
              <w:adjustRightInd w:val="0"/>
              <w:snapToGrid w:val="0"/>
              <w:jc w:val="center"/>
              <w:rPr>
                <w:rFonts w:hint="eastAsia" w:ascii="宋体" w:hAnsi="宋体" w:cs="宋体"/>
                <w:b/>
                <w:bCs/>
                <w:sz w:val="24"/>
                <w:szCs w:val="24"/>
              </w:rPr>
            </w:pPr>
          </w:p>
        </w:tc>
        <w:tc>
          <w:tcPr>
            <w:tcW w:w="1642" w:type="dxa"/>
            <w:tcBorders>
              <w:tl2br w:val="nil"/>
              <w:tr2bl w:val="nil"/>
            </w:tcBorders>
            <w:noWrap w:val="0"/>
            <w:vAlign w:val="center"/>
          </w:tcPr>
          <w:p w14:paraId="597FA621">
            <w:pPr>
              <w:pStyle w:val="20"/>
              <w:ind w:left="0" w:leftChars="0" w:firstLine="0" w:firstLineChars="0"/>
              <w:jc w:val="center"/>
              <w:rPr>
                <w:rFonts w:hint="default"/>
                <w:lang w:val="en-US" w:eastAsia="zh-CN"/>
              </w:rPr>
            </w:pPr>
            <w:r>
              <w:rPr>
                <w:rFonts w:hint="eastAsia"/>
                <w:b w:val="0"/>
                <w:bCs w:val="0"/>
                <w:sz w:val="24"/>
                <w:szCs w:val="24"/>
                <w:lang w:val="en-US" w:eastAsia="zh-CN"/>
              </w:rPr>
              <w:t>污水处理站</w:t>
            </w:r>
          </w:p>
        </w:tc>
        <w:tc>
          <w:tcPr>
            <w:tcW w:w="1258" w:type="dxa"/>
            <w:tcBorders>
              <w:tl2br w:val="nil"/>
              <w:tr2bl w:val="nil"/>
            </w:tcBorders>
            <w:noWrap w:val="0"/>
            <w:vAlign w:val="center"/>
          </w:tcPr>
          <w:p w14:paraId="5EEC8EAF">
            <w:pPr>
              <w:adjustRightInd w:val="0"/>
              <w:snapToGrid w:val="0"/>
              <w:jc w:val="center"/>
              <w:rPr>
                <w:rFonts w:hint="default" w:cs="Times New Roman"/>
                <w:sz w:val="24"/>
                <w:szCs w:val="24"/>
                <w:lang w:val="en-US" w:eastAsia="zh-CN"/>
              </w:rPr>
            </w:pPr>
            <w:r>
              <w:rPr>
                <w:rFonts w:hint="eastAsia" w:cs="Times New Roman"/>
                <w:sz w:val="24"/>
                <w:szCs w:val="24"/>
                <w:lang w:val="en-US" w:eastAsia="zh-CN"/>
              </w:rPr>
              <w:t>氨、硫化氢</w:t>
            </w:r>
          </w:p>
        </w:tc>
        <w:tc>
          <w:tcPr>
            <w:tcW w:w="1684" w:type="dxa"/>
            <w:tcBorders>
              <w:tl2br w:val="nil"/>
              <w:tr2bl w:val="nil"/>
            </w:tcBorders>
            <w:noWrap w:val="0"/>
            <w:vAlign w:val="center"/>
          </w:tcPr>
          <w:p w14:paraId="3DEE920B">
            <w:pPr>
              <w:adjustRightInd w:val="0"/>
              <w:snapToGrid w:val="0"/>
              <w:jc w:val="center"/>
              <w:rPr>
                <w:rFonts w:hint="default" w:ascii="Times New Roman" w:hAnsi="Times New Roman" w:cs="Times New Roman"/>
                <w:sz w:val="24"/>
                <w:szCs w:val="24"/>
                <w:lang w:val="en-US" w:eastAsia="zh-CN"/>
              </w:rPr>
            </w:pPr>
            <w:r>
              <w:rPr>
                <w:rFonts w:hint="eastAsia" w:cs="Times New Roman"/>
                <w:sz w:val="24"/>
                <w:szCs w:val="24"/>
                <w:lang w:val="en-US" w:eastAsia="zh-CN"/>
              </w:rPr>
              <w:t>定期喷洒除臭剂</w:t>
            </w:r>
          </w:p>
        </w:tc>
        <w:tc>
          <w:tcPr>
            <w:tcW w:w="2450" w:type="dxa"/>
            <w:tcBorders>
              <w:tl2br w:val="nil"/>
              <w:tr2bl w:val="nil"/>
            </w:tcBorders>
            <w:noWrap w:val="0"/>
            <w:vAlign w:val="center"/>
          </w:tcPr>
          <w:p w14:paraId="55A0319D">
            <w:pPr>
              <w:keepNext w:val="0"/>
              <w:keepLines w:val="0"/>
              <w:pageBreakBefore w:val="0"/>
              <w:widowControl w:val="0"/>
              <w:kinsoku/>
              <w:wordWrap/>
              <w:overflowPunct/>
              <w:topLinePunct w:val="0"/>
              <w:autoSpaceDE/>
              <w:autoSpaceDN/>
              <w:bidi w:val="0"/>
              <w:adjustRightInd w:val="0"/>
              <w:snapToGrid w:val="0"/>
              <w:jc w:val="center"/>
              <w:textAlignment w:val="auto"/>
              <w:rPr>
                <w:sz w:val="24"/>
                <w:szCs w:val="24"/>
              </w:rPr>
            </w:pPr>
            <w:r>
              <w:rPr>
                <w:rFonts w:hint="eastAsia" w:ascii="Times New Roman" w:hAnsi="Times New Roman" w:eastAsia="宋体" w:cs="Times New Roman"/>
                <w:b w:val="0"/>
                <w:bCs w:val="0"/>
                <w:color w:val="000000"/>
                <w:kern w:val="2"/>
                <w:sz w:val="24"/>
                <w:szCs w:val="24"/>
                <w:highlight w:val="none"/>
                <w:lang w:val="en-US" w:eastAsia="zh-CN" w:bidi="ar-SA"/>
              </w:rPr>
              <w:t>《恶臭污染物排放标准》（GB14554-93）表2污染物排放限值。</w:t>
            </w:r>
          </w:p>
        </w:tc>
      </w:tr>
      <w:tr w14:paraId="27264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1" w:type="dxa"/>
            <w:vMerge w:val="continue"/>
            <w:tcBorders>
              <w:tl2br w:val="nil"/>
              <w:tr2bl w:val="nil"/>
            </w:tcBorders>
            <w:noWrap w:val="0"/>
            <w:vAlign w:val="center"/>
          </w:tcPr>
          <w:p w14:paraId="627477D6">
            <w:pPr>
              <w:adjustRightInd w:val="0"/>
              <w:snapToGrid w:val="0"/>
              <w:jc w:val="center"/>
              <w:rPr>
                <w:rFonts w:hint="eastAsia" w:ascii="宋体" w:hAnsi="宋体" w:cs="宋体"/>
                <w:b/>
                <w:bCs/>
                <w:sz w:val="24"/>
                <w:szCs w:val="24"/>
              </w:rPr>
            </w:pPr>
          </w:p>
        </w:tc>
        <w:tc>
          <w:tcPr>
            <w:tcW w:w="1642" w:type="dxa"/>
            <w:tcBorders>
              <w:tl2br w:val="nil"/>
              <w:tr2bl w:val="nil"/>
            </w:tcBorders>
            <w:noWrap w:val="0"/>
            <w:vAlign w:val="center"/>
          </w:tcPr>
          <w:p w14:paraId="5F242C9A">
            <w:pPr>
              <w:pStyle w:val="20"/>
              <w:ind w:left="0" w:leftChars="0" w:firstLine="0" w:firstLineChars="0"/>
              <w:jc w:val="center"/>
              <w:rPr>
                <w:rFonts w:hint="default" w:ascii="Times New Roman" w:hAnsi="Times New Roman"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无组织废气</w:t>
            </w:r>
          </w:p>
        </w:tc>
        <w:tc>
          <w:tcPr>
            <w:tcW w:w="1258" w:type="dxa"/>
            <w:tcBorders>
              <w:tl2br w:val="nil"/>
              <w:tr2bl w:val="nil"/>
            </w:tcBorders>
            <w:noWrap w:val="0"/>
            <w:vAlign w:val="center"/>
          </w:tcPr>
          <w:p w14:paraId="686F4D90">
            <w:pPr>
              <w:adjustRightInd w:val="0"/>
              <w:snapToGrid w:val="0"/>
              <w:jc w:val="center"/>
              <w:rPr>
                <w:rFonts w:hint="default" w:cs="Times New Roman"/>
                <w:sz w:val="24"/>
                <w:szCs w:val="24"/>
                <w:lang w:val="en-US" w:eastAsia="zh-CN"/>
              </w:rPr>
            </w:pPr>
            <w:r>
              <w:rPr>
                <w:rFonts w:hint="eastAsia" w:cs="Times New Roman"/>
                <w:sz w:val="24"/>
                <w:szCs w:val="24"/>
                <w:lang w:val="en-US" w:eastAsia="zh-CN"/>
              </w:rPr>
              <w:t>颗粒物</w:t>
            </w:r>
          </w:p>
        </w:tc>
        <w:tc>
          <w:tcPr>
            <w:tcW w:w="1684" w:type="dxa"/>
            <w:tcBorders>
              <w:tl2br w:val="nil"/>
              <w:tr2bl w:val="nil"/>
            </w:tcBorders>
            <w:noWrap w:val="0"/>
            <w:vAlign w:val="center"/>
          </w:tcPr>
          <w:p w14:paraId="5C10DEDA">
            <w:pPr>
              <w:adjustRightInd w:val="0"/>
              <w:snapToGrid w:val="0"/>
              <w:jc w:val="center"/>
              <w:rPr>
                <w:rFonts w:hint="default" w:cs="Times New Roman"/>
                <w:sz w:val="24"/>
                <w:szCs w:val="24"/>
                <w:lang w:val="en-US" w:eastAsia="zh-CN"/>
              </w:rPr>
            </w:pPr>
            <w:r>
              <w:rPr>
                <w:rFonts w:hint="eastAsia" w:cs="Times New Roman"/>
                <w:sz w:val="24"/>
                <w:szCs w:val="24"/>
                <w:lang w:val="en-US" w:eastAsia="zh-CN"/>
              </w:rPr>
              <w:t>原料棚加盖防火布、定期对厂区散落棉绒进行清扫</w:t>
            </w:r>
          </w:p>
        </w:tc>
        <w:tc>
          <w:tcPr>
            <w:tcW w:w="2450" w:type="dxa"/>
            <w:tcBorders>
              <w:tl2br w:val="nil"/>
              <w:tr2bl w:val="nil"/>
            </w:tcBorders>
            <w:noWrap w:val="0"/>
            <w:vAlign w:val="center"/>
          </w:tcPr>
          <w:p w14:paraId="79D1F6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sz w:val="24"/>
                <w:szCs w:val="24"/>
              </w:rPr>
              <w:t>《大气污染物综合排放标准》（GB16297-1996）</w:t>
            </w:r>
            <w:r>
              <w:rPr>
                <w:rFonts w:hint="eastAsia"/>
                <w:sz w:val="24"/>
                <w:szCs w:val="24"/>
                <w:lang w:val="en-US" w:eastAsia="zh-CN"/>
              </w:rPr>
              <w:t>中无组织要求</w:t>
            </w:r>
          </w:p>
        </w:tc>
      </w:tr>
      <w:tr w14:paraId="0DFD2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1" w:type="dxa"/>
            <w:vMerge w:val="continue"/>
            <w:tcBorders>
              <w:tl2br w:val="nil"/>
              <w:tr2bl w:val="nil"/>
            </w:tcBorders>
            <w:noWrap w:val="0"/>
            <w:vAlign w:val="center"/>
          </w:tcPr>
          <w:p w14:paraId="7AE2BE16">
            <w:pPr>
              <w:adjustRightInd w:val="0"/>
              <w:snapToGrid w:val="0"/>
              <w:jc w:val="center"/>
              <w:rPr>
                <w:rFonts w:hint="eastAsia" w:ascii="宋体" w:hAnsi="宋体" w:cs="宋体"/>
                <w:b/>
                <w:bCs/>
                <w:sz w:val="24"/>
                <w:szCs w:val="24"/>
              </w:rPr>
            </w:pPr>
          </w:p>
        </w:tc>
        <w:tc>
          <w:tcPr>
            <w:tcW w:w="1642" w:type="dxa"/>
            <w:vMerge w:val="restart"/>
            <w:tcBorders>
              <w:tl2br w:val="nil"/>
              <w:tr2bl w:val="nil"/>
            </w:tcBorders>
            <w:noWrap w:val="0"/>
            <w:vAlign w:val="center"/>
          </w:tcPr>
          <w:p w14:paraId="7D3027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Times New Roman" w:hAnsi="Times New Roman" w:cs="Times New Roman"/>
                <w:sz w:val="24"/>
                <w:szCs w:val="24"/>
                <w:lang w:val="en-US" w:eastAsia="zh-CN"/>
              </w:rPr>
              <w:t>食堂油烟</w:t>
            </w:r>
          </w:p>
        </w:tc>
        <w:tc>
          <w:tcPr>
            <w:tcW w:w="1258" w:type="dxa"/>
            <w:tcBorders>
              <w:tl2br w:val="nil"/>
              <w:tr2bl w:val="nil"/>
            </w:tcBorders>
            <w:noWrap w:val="0"/>
            <w:vAlign w:val="center"/>
          </w:tcPr>
          <w:p w14:paraId="2C4376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烟尘</w:t>
            </w:r>
          </w:p>
        </w:tc>
        <w:tc>
          <w:tcPr>
            <w:tcW w:w="1684" w:type="dxa"/>
            <w:vMerge w:val="restart"/>
            <w:tcBorders>
              <w:tl2br w:val="nil"/>
              <w:tr2bl w:val="nil"/>
            </w:tcBorders>
            <w:noWrap w:val="0"/>
            <w:vAlign w:val="center"/>
          </w:tcPr>
          <w:p w14:paraId="195091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油烟净化器</w:t>
            </w:r>
          </w:p>
        </w:tc>
        <w:tc>
          <w:tcPr>
            <w:tcW w:w="2450" w:type="dxa"/>
            <w:vMerge w:val="restart"/>
            <w:tcBorders>
              <w:tl2br w:val="nil"/>
              <w:tr2bl w:val="nil"/>
            </w:tcBorders>
            <w:noWrap w:val="0"/>
            <w:vAlign w:val="center"/>
          </w:tcPr>
          <w:p w14:paraId="03AC00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sz w:val="24"/>
                <w:szCs w:val="24"/>
              </w:rPr>
              <w:t>《饮食业油</w:t>
            </w:r>
            <w:r>
              <w:rPr>
                <w:rFonts w:hint="default" w:ascii="Times New Roman" w:hAnsi="Times New Roman" w:eastAsia="宋体" w:cs="Times New Roman"/>
                <w:sz w:val="24"/>
                <w:szCs w:val="24"/>
              </w:rPr>
              <w:t>烟排放标准》</w:t>
            </w:r>
            <w:r>
              <w:rPr>
                <w:rFonts w:hint="eastAsia" w:cs="Times New Roman"/>
                <w:sz w:val="24"/>
                <w:szCs w:val="24"/>
                <w:lang w:eastAsia="zh-CN"/>
              </w:rPr>
              <w:t>（</w:t>
            </w:r>
            <w:r>
              <w:rPr>
                <w:rFonts w:hint="eastAsia" w:cs="Times New Roman"/>
                <w:sz w:val="24"/>
                <w:szCs w:val="24"/>
                <w:lang w:val="en-US" w:eastAsia="zh-CN"/>
              </w:rPr>
              <w:t>GB</w:t>
            </w:r>
            <w:r>
              <w:rPr>
                <w:rFonts w:hint="eastAsia" w:cs="Times New Roman"/>
                <w:sz w:val="24"/>
                <w:szCs w:val="24"/>
                <w:lang w:eastAsia="zh-CN"/>
              </w:rPr>
              <w:t>18483-2001）</w:t>
            </w:r>
          </w:p>
        </w:tc>
      </w:tr>
      <w:tr w14:paraId="19AAA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1" w:type="dxa"/>
            <w:vMerge w:val="restart"/>
            <w:tcBorders>
              <w:tl2br w:val="nil"/>
              <w:tr2bl w:val="nil"/>
            </w:tcBorders>
            <w:noWrap w:val="0"/>
            <w:vAlign w:val="center"/>
          </w:tcPr>
          <w:p w14:paraId="23FC51DE">
            <w:pPr>
              <w:adjustRightInd w:val="0"/>
              <w:snapToGrid w:val="0"/>
              <w:jc w:val="center"/>
              <w:rPr>
                <w:rFonts w:hint="eastAsia" w:ascii="宋体" w:hAnsi="宋体" w:cs="宋体"/>
                <w:b/>
                <w:bCs/>
                <w:sz w:val="24"/>
                <w:szCs w:val="24"/>
              </w:rPr>
            </w:pPr>
            <w:r>
              <w:rPr>
                <w:rFonts w:hint="eastAsia" w:ascii="宋体" w:hAnsi="宋体" w:cs="宋体"/>
                <w:b/>
                <w:bCs/>
                <w:sz w:val="24"/>
                <w:szCs w:val="24"/>
              </w:rPr>
              <w:t>地表水环境</w:t>
            </w:r>
          </w:p>
        </w:tc>
        <w:tc>
          <w:tcPr>
            <w:tcW w:w="1642" w:type="dxa"/>
            <w:vMerge w:val="restart"/>
            <w:tcBorders>
              <w:tl2br w:val="nil"/>
              <w:tr2bl w:val="nil"/>
            </w:tcBorders>
            <w:noWrap w:val="0"/>
            <w:vAlign w:val="center"/>
          </w:tcPr>
          <w:p w14:paraId="0BC92ACD">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厂区总排放口（DW001）</w:t>
            </w:r>
          </w:p>
        </w:tc>
        <w:tc>
          <w:tcPr>
            <w:tcW w:w="1258" w:type="dxa"/>
            <w:tcBorders>
              <w:tl2br w:val="nil"/>
              <w:tr2bl w:val="nil"/>
            </w:tcBorders>
            <w:noWrap w:val="0"/>
            <w:vAlign w:val="center"/>
          </w:tcPr>
          <w:p w14:paraId="16334184">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COD</w:t>
            </w:r>
            <w:r>
              <w:rPr>
                <w:rFonts w:hint="eastAsia" w:ascii="Times New Roman" w:hAnsi="Times New Roman" w:cs="Times New Roman"/>
                <w:sz w:val="24"/>
                <w:szCs w:val="24"/>
                <w:vertAlign w:val="subscript"/>
                <w:lang w:val="en-US" w:eastAsia="zh-CN"/>
              </w:rPr>
              <w:t>cr</w:t>
            </w:r>
          </w:p>
        </w:tc>
        <w:tc>
          <w:tcPr>
            <w:tcW w:w="1684" w:type="dxa"/>
            <w:vMerge w:val="restart"/>
            <w:tcBorders>
              <w:tl2br w:val="nil"/>
              <w:tr2bl w:val="nil"/>
            </w:tcBorders>
            <w:noWrap w:val="0"/>
            <w:vAlign w:val="center"/>
          </w:tcPr>
          <w:p w14:paraId="24F0C620">
            <w:pPr>
              <w:adjustRightInd w:val="0"/>
              <w:snapToGrid w:val="0"/>
              <w:jc w:val="center"/>
              <w:rPr>
                <w:rFonts w:hint="default" w:ascii="Times New Roman" w:hAnsi="Times New Roman" w:cs="Times New Roman"/>
                <w:sz w:val="24"/>
                <w:szCs w:val="24"/>
              </w:rPr>
            </w:pPr>
            <w:r>
              <w:rPr>
                <w:rFonts w:hint="eastAsia" w:ascii="Times New Roman" w:hAnsi="Times New Roman" w:eastAsia="宋体" w:cs="Times New Roman"/>
                <w:sz w:val="24"/>
                <w:szCs w:val="24"/>
                <w:lang w:val="en-US" w:eastAsia="zh-CN"/>
              </w:rPr>
              <w:t>处理能力</w:t>
            </w:r>
            <w:r>
              <w:rPr>
                <w:rFonts w:hint="eastAsia" w:cs="Times New Roman"/>
                <w:sz w:val="24"/>
                <w:szCs w:val="24"/>
                <w:lang w:val="en-US" w:eastAsia="zh-CN"/>
              </w:rPr>
              <w:t>200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w:t>
            </w:r>
            <w:r>
              <w:rPr>
                <w:rFonts w:hint="eastAsia" w:cs="Times New Roman"/>
                <w:sz w:val="24"/>
                <w:szCs w:val="24"/>
                <w:lang w:val="en-US" w:eastAsia="zh-CN"/>
              </w:rPr>
              <w:t>隔油池+二级气浮+SBR+厌氧</w:t>
            </w:r>
            <w:r>
              <w:rPr>
                <w:rFonts w:hint="eastAsia" w:ascii="Times New Roman" w:hAnsi="Times New Roman" w:eastAsia="宋体" w:cs="Times New Roman"/>
                <w:sz w:val="24"/>
                <w:szCs w:val="24"/>
                <w:lang w:val="en-US" w:eastAsia="zh-CN"/>
              </w:rPr>
              <w:t>工艺</w:t>
            </w:r>
          </w:p>
        </w:tc>
        <w:tc>
          <w:tcPr>
            <w:tcW w:w="2450" w:type="dxa"/>
            <w:vMerge w:val="restart"/>
            <w:tcBorders>
              <w:tl2br w:val="nil"/>
              <w:tr2bl w:val="nil"/>
            </w:tcBorders>
            <w:noWrap w:val="0"/>
            <w:vAlign w:val="center"/>
          </w:tcPr>
          <w:p w14:paraId="231B3E7D">
            <w:pPr>
              <w:adjustRightInd w:val="0"/>
              <w:snapToGrid w:val="0"/>
              <w:jc w:val="center"/>
              <w:rPr>
                <w:rFonts w:hint="default" w:ascii="Times New Roman" w:hAnsi="Times New Roman" w:cs="Times New Roman"/>
                <w:sz w:val="24"/>
                <w:szCs w:val="24"/>
              </w:rPr>
            </w:pPr>
            <w:r>
              <w:rPr>
                <w:rFonts w:hint="eastAsia" w:ascii="Times New Roman" w:hAnsi="Times New Roman" w:eastAsia="宋体" w:cs="Times New Roman"/>
                <w:sz w:val="24"/>
                <w:lang w:val="en-US" w:eastAsia="zh-CN"/>
              </w:rPr>
              <w:t>《污水综合排放标准》（GB8978-1996）中</w:t>
            </w:r>
            <w:r>
              <w:rPr>
                <w:rFonts w:hint="eastAsia" w:cs="Times New Roman"/>
                <w:sz w:val="24"/>
                <w:lang w:val="en-US" w:eastAsia="zh-CN"/>
              </w:rPr>
              <w:t>三级</w:t>
            </w:r>
            <w:r>
              <w:rPr>
                <w:rFonts w:hint="eastAsia" w:ascii="Times New Roman" w:hAnsi="Times New Roman" w:eastAsia="宋体" w:cs="Times New Roman"/>
                <w:sz w:val="24"/>
                <w:lang w:val="en-US" w:eastAsia="zh-CN"/>
              </w:rPr>
              <w:t>排放标准</w:t>
            </w:r>
          </w:p>
        </w:tc>
      </w:tr>
      <w:tr w14:paraId="2A907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1" w:type="dxa"/>
            <w:vMerge w:val="continue"/>
            <w:tcBorders>
              <w:tl2br w:val="nil"/>
              <w:tr2bl w:val="nil"/>
            </w:tcBorders>
            <w:noWrap w:val="0"/>
            <w:vAlign w:val="center"/>
          </w:tcPr>
          <w:p w14:paraId="782C6E84">
            <w:pPr>
              <w:adjustRightInd w:val="0"/>
              <w:snapToGrid w:val="0"/>
              <w:jc w:val="center"/>
              <w:rPr>
                <w:rFonts w:hint="eastAsia" w:ascii="宋体" w:hAnsi="宋体" w:cs="宋体"/>
                <w:b/>
                <w:bCs/>
                <w:sz w:val="24"/>
                <w:szCs w:val="24"/>
              </w:rPr>
            </w:pPr>
          </w:p>
        </w:tc>
        <w:tc>
          <w:tcPr>
            <w:tcW w:w="1642" w:type="dxa"/>
            <w:vMerge w:val="continue"/>
            <w:tcBorders>
              <w:tl2br w:val="nil"/>
              <w:tr2bl w:val="nil"/>
            </w:tcBorders>
            <w:noWrap w:val="0"/>
            <w:vAlign w:val="center"/>
          </w:tcPr>
          <w:p w14:paraId="73F072E2">
            <w:pPr>
              <w:adjustRightInd w:val="0"/>
              <w:snapToGrid w:val="0"/>
              <w:jc w:val="center"/>
              <w:rPr>
                <w:rFonts w:hint="eastAsia" w:ascii="Times New Roman" w:hAnsi="Times New Roman" w:cs="Times New Roman"/>
                <w:sz w:val="24"/>
                <w:szCs w:val="24"/>
                <w:lang w:val="en-US" w:eastAsia="zh-CN"/>
              </w:rPr>
            </w:pPr>
          </w:p>
        </w:tc>
        <w:tc>
          <w:tcPr>
            <w:tcW w:w="1258" w:type="dxa"/>
            <w:tcBorders>
              <w:tl2br w:val="nil"/>
              <w:tr2bl w:val="nil"/>
            </w:tcBorders>
            <w:noWrap w:val="0"/>
            <w:vAlign w:val="center"/>
          </w:tcPr>
          <w:p w14:paraId="44D1214A">
            <w:pPr>
              <w:adjustRightInd w:val="0"/>
              <w:snapToGrid w:val="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NH</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-N</w:t>
            </w:r>
          </w:p>
        </w:tc>
        <w:tc>
          <w:tcPr>
            <w:tcW w:w="1684" w:type="dxa"/>
            <w:vMerge w:val="continue"/>
            <w:tcBorders>
              <w:tl2br w:val="nil"/>
              <w:tr2bl w:val="nil"/>
            </w:tcBorders>
            <w:noWrap w:val="0"/>
            <w:vAlign w:val="center"/>
          </w:tcPr>
          <w:p w14:paraId="3110B52A">
            <w:pPr>
              <w:adjustRightInd w:val="0"/>
              <w:snapToGrid w:val="0"/>
              <w:jc w:val="center"/>
              <w:rPr>
                <w:rFonts w:hint="default" w:ascii="Times New Roman" w:hAnsi="Times New Roman" w:cs="Times New Roman"/>
                <w:sz w:val="24"/>
                <w:szCs w:val="24"/>
              </w:rPr>
            </w:pPr>
          </w:p>
        </w:tc>
        <w:tc>
          <w:tcPr>
            <w:tcW w:w="2450" w:type="dxa"/>
            <w:vMerge w:val="continue"/>
            <w:tcBorders>
              <w:tl2br w:val="nil"/>
              <w:tr2bl w:val="nil"/>
            </w:tcBorders>
            <w:noWrap w:val="0"/>
            <w:vAlign w:val="center"/>
          </w:tcPr>
          <w:p w14:paraId="0410E226">
            <w:pPr>
              <w:adjustRightInd w:val="0"/>
              <w:snapToGrid w:val="0"/>
              <w:jc w:val="center"/>
              <w:rPr>
                <w:rFonts w:hint="default" w:ascii="Times New Roman" w:hAnsi="Times New Roman" w:cs="Times New Roman"/>
                <w:sz w:val="24"/>
                <w:szCs w:val="24"/>
              </w:rPr>
            </w:pPr>
          </w:p>
        </w:tc>
      </w:tr>
      <w:tr w14:paraId="4BFEE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1" w:type="dxa"/>
            <w:vMerge w:val="continue"/>
            <w:tcBorders>
              <w:tl2br w:val="nil"/>
              <w:tr2bl w:val="nil"/>
            </w:tcBorders>
            <w:noWrap w:val="0"/>
            <w:vAlign w:val="center"/>
          </w:tcPr>
          <w:p w14:paraId="57D7C481">
            <w:pPr>
              <w:adjustRightInd w:val="0"/>
              <w:snapToGrid w:val="0"/>
              <w:jc w:val="center"/>
              <w:rPr>
                <w:rFonts w:hint="eastAsia" w:ascii="宋体" w:hAnsi="宋体" w:cs="宋体"/>
                <w:b/>
                <w:bCs/>
                <w:sz w:val="24"/>
                <w:szCs w:val="24"/>
              </w:rPr>
            </w:pPr>
          </w:p>
        </w:tc>
        <w:tc>
          <w:tcPr>
            <w:tcW w:w="1642" w:type="dxa"/>
            <w:vMerge w:val="continue"/>
            <w:tcBorders>
              <w:tl2br w:val="nil"/>
              <w:tr2bl w:val="nil"/>
            </w:tcBorders>
            <w:noWrap w:val="0"/>
            <w:vAlign w:val="center"/>
          </w:tcPr>
          <w:p w14:paraId="7B3C31C3">
            <w:pPr>
              <w:adjustRightInd w:val="0"/>
              <w:snapToGrid w:val="0"/>
              <w:jc w:val="center"/>
              <w:rPr>
                <w:rFonts w:hint="default" w:ascii="Times New Roman" w:hAnsi="Times New Roman" w:cs="Times New Roman"/>
                <w:sz w:val="24"/>
                <w:szCs w:val="24"/>
              </w:rPr>
            </w:pPr>
          </w:p>
        </w:tc>
        <w:tc>
          <w:tcPr>
            <w:tcW w:w="1258" w:type="dxa"/>
            <w:tcBorders>
              <w:tl2br w:val="nil"/>
              <w:tr2bl w:val="nil"/>
            </w:tcBorders>
            <w:noWrap w:val="0"/>
            <w:vAlign w:val="center"/>
          </w:tcPr>
          <w:p w14:paraId="01507963">
            <w:pPr>
              <w:adjustRightInd w:val="0"/>
              <w:snapToGrid w:val="0"/>
              <w:jc w:val="center"/>
              <w:rPr>
                <w:rFonts w:hint="default"/>
                <w:lang w:val="en-US" w:eastAsia="zh-CN"/>
              </w:rPr>
            </w:pPr>
            <w:r>
              <w:rPr>
                <w:rFonts w:hint="eastAsia"/>
                <w:lang w:val="en-US" w:eastAsia="zh-CN"/>
              </w:rPr>
              <w:t>BOD</w:t>
            </w:r>
            <w:r>
              <w:rPr>
                <w:rFonts w:hint="eastAsia"/>
                <w:vertAlign w:val="subscript"/>
                <w:lang w:val="en-US" w:eastAsia="zh-CN"/>
              </w:rPr>
              <w:t>5</w:t>
            </w:r>
          </w:p>
        </w:tc>
        <w:tc>
          <w:tcPr>
            <w:tcW w:w="1684" w:type="dxa"/>
            <w:vMerge w:val="continue"/>
            <w:tcBorders>
              <w:tl2br w:val="nil"/>
              <w:tr2bl w:val="nil"/>
            </w:tcBorders>
            <w:noWrap w:val="0"/>
            <w:vAlign w:val="center"/>
          </w:tcPr>
          <w:p w14:paraId="0BCD33CF">
            <w:pPr>
              <w:adjustRightInd w:val="0"/>
              <w:snapToGrid w:val="0"/>
              <w:jc w:val="center"/>
              <w:rPr>
                <w:rFonts w:hint="default" w:ascii="Times New Roman" w:hAnsi="Times New Roman" w:cs="Times New Roman"/>
                <w:sz w:val="24"/>
                <w:szCs w:val="24"/>
              </w:rPr>
            </w:pPr>
          </w:p>
        </w:tc>
        <w:tc>
          <w:tcPr>
            <w:tcW w:w="2450" w:type="dxa"/>
            <w:vMerge w:val="continue"/>
            <w:tcBorders>
              <w:tl2br w:val="nil"/>
              <w:tr2bl w:val="nil"/>
            </w:tcBorders>
            <w:noWrap w:val="0"/>
            <w:vAlign w:val="center"/>
          </w:tcPr>
          <w:p w14:paraId="7E96599E">
            <w:pPr>
              <w:adjustRightInd w:val="0"/>
              <w:snapToGrid w:val="0"/>
              <w:jc w:val="center"/>
              <w:rPr>
                <w:rFonts w:hint="default" w:ascii="Times New Roman" w:hAnsi="Times New Roman" w:cs="Times New Roman"/>
                <w:sz w:val="24"/>
                <w:szCs w:val="24"/>
              </w:rPr>
            </w:pPr>
          </w:p>
        </w:tc>
      </w:tr>
      <w:tr w14:paraId="382BD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1" w:type="dxa"/>
            <w:vMerge w:val="continue"/>
            <w:tcBorders>
              <w:tl2br w:val="nil"/>
              <w:tr2bl w:val="nil"/>
            </w:tcBorders>
            <w:noWrap w:val="0"/>
            <w:vAlign w:val="center"/>
          </w:tcPr>
          <w:p w14:paraId="4DC9F7AC">
            <w:pPr>
              <w:adjustRightInd w:val="0"/>
              <w:snapToGrid w:val="0"/>
              <w:jc w:val="center"/>
              <w:rPr>
                <w:rFonts w:hint="eastAsia" w:ascii="宋体" w:hAnsi="宋体" w:cs="宋体"/>
                <w:b/>
                <w:bCs/>
                <w:sz w:val="24"/>
                <w:szCs w:val="24"/>
              </w:rPr>
            </w:pPr>
          </w:p>
        </w:tc>
        <w:tc>
          <w:tcPr>
            <w:tcW w:w="1642" w:type="dxa"/>
            <w:vMerge w:val="continue"/>
            <w:tcBorders>
              <w:tl2br w:val="nil"/>
              <w:tr2bl w:val="nil"/>
            </w:tcBorders>
            <w:noWrap w:val="0"/>
            <w:vAlign w:val="center"/>
          </w:tcPr>
          <w:p w14:paraId="70CCAC1B">
            <w:pPr>
              <w:adjustRightInd w:val="0"/>
              <w:snapToGrid w:val="0"/>
              <w:jc w:val="center"/>
              <w:rPr>
                <w:rFonts w:hint="default" w:ascii="Times New Roman" w:hAnsi="Times New Roman" w:cs="Times New Roman"/>
                <w:sz w:val="24"/>
                <w:szCs w:val="24"/>
              </w:rPr>
            </w:pPr>
          </w:p>
        </w:tc>
        <w:tc>
          <w:tcPr>
            <w:tcW w:w="1258" w:type="dxa"/>
            <w:tcBorders>
              <w:tl2br w:val="nil"/>
              <w:tr2bl w:val="nil"/>
            </w:tcBorders>
            <w:noWrap w:val="0"/>
            <w:vAlign w:val="center"/>
          </w:tcPr>
          <w:p w14:paraId="3758559B">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动植物油</w:t>
            </w:r>
          </w:p>
        </w:tc>
        <w:tc>
          <w:tcPr>
            <w:tcW w:w="1684" w:type="dxa"/>
            <w:vMerge w:val="continue"/>
            <w:tcBorders>
              <w:tl2br w:val="nil"/>
              <w:tr2bl w:val="nil"/>
            </w:tcBorders>
            <w:noWrap w:val="0"/>
            <w:vAlign w:val="center"/>
          </w:tcPr>
          <w:p w14:paraId="1773FB27">
            <w:pPr>
              <w:adjustRightInd w:val="0"/>
              <w:snapToGrid w:val="0"/>
              <w:jc w:val="center"/>
              <w:rPr>
                <w:rFonts w:hint="default" w:ascii="Times New Roman" w:hAnsi="Times New Roman" w:cs="Times New Roman"/>
                <w:sz w:val="24"/>
                <w:szCs w:val="24"/>
              </w:rPr>
            </w:pPr>
          </w:p>
        </w:tc>
        <w:tc>
          <w:tcPr>
            <w:tcW w:w="2450" w:type="dxa"/>
            <w:vMerge w:val="continue"/>
            <w:tcBorders>
              <w:tl2br w:val="nil"/>
              <w:tr2bl w:val="nil"/>
            </w:tcBorders>
            <w:noWrap w:val="0"/>
            <w:vAlign w:val="center"/>
          </w:tcPr>
          <w:p w14:paraId="7ED5712E">
            <w:pPr>
              <w:adjustRightInd w:val="0"/>
              <w:snapToGrid w:val="0"/>
              <w:jc w:val="center"/>
              <w:rPr>
                <w:rFonts w:hint="default" w:ascii="Times New Roman" w:hAnsi="Times New Roman" w:cs="Times New Roman"/>
                <w:sz w:val="24"/>
                <w:szCs w:val="24"/>
              </w:rPr>
            </w:pPr>
          </w:p>
        </w:tc>
      </w:tr>
      <w:tr w14:paraId="1F99D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591" w:type="dxa"/>
            <w:tcBorders>
              <w:tl2br w:val="nil"/>
              <w:tr2bl w:val="nil"/>
            </w:tcBorders>
            <w:noWrap w:val="0"/>
            <w:vAlign w:val="center"/>
          </w:tcPr>
          <w:p w14:paraId="7CBBD685">
            <w:pPr>
              <w:adjustRightInd w:val="0"/>
              <w:snapToGrid w:val="0"/>
              <w:jc w:val="center"/>
              <w:rPr>
                <w:rFonts w:hint="eastAsia" w:ascii="宋体" w:hAnsi="宋体" w:cs="宋体"/>
                <w:b/>
                <w:bCs/>
                <w:sz w:val="24"/>
                <w:szCs w:val="24"/>
              </w:rPr>
            </w:pPr>
            <w:r>
              <w:rPr>
                <w:rFonts w:hint="eastAsia" w:ascii="宋体" w:hAnsi="宋体" w:cs="宋体"/>
                <w:b/>
                <w:bCs/>
                <w:sz w:val="24"/>
                <w:szCs w:val="24"/>
              </w:rPr>
              <w:t>声环境</w:t>
            </w:r>
          </w:p>
        </w:tc>
        <w:tc>
          <w:tcPr>
            <w:tcW w:w="1642" w:type="dxa"/>
            <w:tcBorders>
              <w:tl2br w:val="nil"/>
              <w:tr2bl w:val="nil"/>
            </w:tcBorders>
            <w:noWrap w:val="0"/>
            <w:vAlign w:val="center"/>
          </w:tcPr>
          <w:p w14:paraId="6B0BA5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kern w:val="2"/>
                <w:sz w:val="21"/>
                <w:szCs w:val="21"/>
                <w:lang w:val="en-US" w:eastAsia="zh-CN" w:bidi="ar-SA"/>
              </w:rPr>
            </w:pPr>
            <w:r>
              <w:rPr>
                <w:sz w:val="24"/>
                <w:szCs w:val="24"/>
              </w:rPr>
              <w:t>生产设备</w:t>
            </w:r>
          </w:p>
        </w:tc>
        <w:tc>
          <w:tcPr>
            <w:tcW w:w="1258" w:type="dxa"/>
            <w:tcBorders>
              <w:tl2br w:val="nil"/>
              <w:tr2bl w:val="nil"/>
            </w:tcBorders>
            <w:noWrap w:val="0"/>
            <w:vAlign w:val="center"/>
          </w:tcPr>
          <w:p w14:paraId="6D56A3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szCs w:val="24"/>
              </w:rPr>
              <w:t>等效A声级</w:t>
            </w:r>
          </w:p>
        </w:tc>
        <w:tc>
          <w:tcPr>
            <w:tcW w:w="1684" w:type="dxa"/>
            <w:tcBorders>
              <w:tl2br w:val="nil"/>
              <w:tr2bl w:val="nil"/>
            </w:tcBorders>
            <w:noWrap w:val="0"/>
            <w:vAlign w:val="center"/>
          </w:tcPr>
          <w:p w14:paraId="473376C4">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kern w:val="2"/>
                <w:sz w:val="24"/>
                <w:szCs w:val="24"/>
                <w:lang w:val="en-US" w:eastAsia="zh-CN" w:bidi="ar-SA"/>
              </w:rPr>
            </w:pPr>
            <w:r>
              <w:rPr>
                <w:sz w:val="24"/>
                <w:szCs w:val="24"/>
              </w:rPr>
              <w:t>基础减振</w:t>
            </w:r>
            <w:r>
              <w:rPr>
                <w:rFonts w:hint="eastAsia"/>
                <w:sz w:val="24"/>
                <w:szCs w:val="24"/>
                <w:lang w:eastAsia="zh-CN"/>
              </w:rPr>
              <w:t>、</w:t>
            </w:r>
            <w:r>
              <w:rPr>
                <w:sz w:val="24"/>
                <w:szCs w:val="24"/>
              </w:rPr>
              <w:t>厂房隔声</w:t>
            </w:r>
          </w:p>
        </w:tc>
        <w:tc>
          <w:tcPr>
            <w:tcW w:w="2450" w:type="dxa"/>
            <w:tcBorders>
              <w:tl2br w:val="nil"/>
              <w:tr2bl w:val="nil"/>
            </w:tcBorders>
            <w:noWrap w:val="0"/>
            <w:vAlign w:val="center"/>
          </w:tcPr>
          <w:p w14:paraId="55FBB6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szCs w:val="24"/>
              </w:rPr>
              <w:t>《工业企业厂界环境噪声排放标准》（GB12348-2008）</w:t>
            </w:r>
            <w:r>
              <w:rPr>
                <w:rFonts w:hint="eastAsia"/>
                <w:sz w:val="24"/>
                <w:szCs w:val="24"/>
                <w:lang w:val="en-US" w:eastAsia="zh-CN"/>
              </w:rPr>
              <w:t>2</w:t>
            </w:r>
            <w:r>
              <w:rPr>
                <w:sz w:val="24"/>
                <w:szCs w:val="24"/>
              </w:rPr>
              <w:t>类功能区标准</w:t>
            </w:r>
          </w:p>
        </w:tc>
      </w:tr>
      <w:tr w14:paraId="73E4C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91" w:type="dxa"/>
            <w:tcBorders>
              <w:tl2br w:val="nil"/>
              <w:tr2bl w:val="nil"/>
            </w:tcBorders>
            <w:noWrap w:val="0"/>
            <w:vAlign w:val="center"/>
          </w:tcPr>
          <w:p w14:paraId="0DBA2219">
            <w:pPr>
              <w:adjustRightInd w:val="0"/>
              <w:snapToGrid w:val="0"/>
              <w:jc w:val="center"/>
              <w:rPr>
                <w:rFonts w:hint="eastAsia" w:ascii="宋体" w:hAnsi="宋体" w:cs="宋体"/>
                <w:b/>
                <w:bCs/>
                <w:sz w:val="24"/>
                <w:szCs w:val="24"/>
              </w:rPr>
            </w:pPr>
            <w:r>
              <w:rPr>
                <w:rFonts w:hint="eastAsia" w:ascii="宋体" w:hAnsi="宋体" w:cs="宋体"/>
                <w:b/>
                <w:bCs/>
                <w:sz w:val="24"/>
                <w:szCs w:val="24"/>
              </w:rPr>
              <w:t>电磁辐射</w:t>
            </w:r>
          </w:p>
        </w:tc>
        <w:tc>
          <w:tcPr>
            <w:tcW w:w="7034" w:type="dxa"/>
            <w:gridSpan w:val="4"/>
            <w:tcBorders>
              <w:tl2br w:val="nil"/>
              <w:tr2bl w:val="nil"/>
            </w:tcBorders>
            <w:noWrap w:val="0"/>
            <w:vAlign w:val="center"/>
          </w:tcPr>
          <w:p w14:paraId="2874DD37">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r>
      <w:tr w14:paraId="6D68E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91" w:type="dxa"/>
            <w:tcBorders>
              <w:tl2br w:val="nil"/>
              <w:tr2bl w:val="nil"/>
            </w:tcBorders>
            <w:noWrap w:val="0"/>
            <w:vAlign w:val="center"/>
          </w:tcPr>
          <w:p w14:paraId="62235C66">
            <w:pPr>
              <w:adjustRightInd w:val="0"/>
              <w:snapToGrid w:val="0"/>
              <w:jc w:val="center"/>
              <w:rPr>
                <w:rFonts w:hint="eastAsia" w:ascii="宋体" w:hAnsi="宋体" w:cs="宋体"/>
                <w:b/>
                <w:bCs/>
                <w:sz w:val="24"/>
                <w:szCs w:val="24"/>
              </w:rPr>
            </w:pPr>
            <w:r>
              <w:rPr>
                <w:rFonts w:hint="eastAsia" w:ascii="宋体" w:hAnsi="宋体" w:cs="宋体"/>
                <w:b/>
                <w:bCs/>
                <w:sz w:val="24"/>
                <w:szCs w:val="24"/>
              </w:rPr>
              <w:t>固体废物</w:t>
            </w:r>
          </w:p>
        </w:tc>
        <w:tc>
          <w:tcPr>
            <w:tcW w:w="7034" w:type="dxa"/>
            <w:gridSpan w:val="4"/>
            <w:tcBorders>
              <w:tl2br w:val="nil"/>
              <w:tr2bl w:val="nil"/>
            </w:tcBorders>
            <w:noWrap w:val="0"/>
            <w:vAlign w:val="center"/>
          </w:tcPr>
          <w:p w14:paraId="4A424C66">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0" w:firstLineChars="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①</w:t>
            </w:r>
            <w:r>
              <w:rPr>
                <w:rFonts w:hint="default" w:ascii="Times New Roman" w:hAnsi="Times New Roman" w:eastAsia="宋体" w:cs="Times New Roman"/>
                <w:color w:val="000000"/>
                <w:sz w:val="24"/>
                <w:szCs w:val="24"/>
                <w:lang w:val="en-US" w:eastAsia="zh-CN"/>
              </w:rPr>
              <w:t>生活垃圾：</w:t>
            </w:r>
            <w:r>
              <w:rPr>
                <w:rFonts w:hint="default" w:ascii="Times New Roman" w:hAnsi="Times New Roman" w:eastAsia="宋体" w:cs="Times New Roman"/>
                <w:color w:val="000000"/>
                <w:sz w:val="24"/>
                <w:szCs w:val="24"/>
              </w:rPr>
              <w:t>经厂区内</w:t>
            </w:r>
            <w:r>
              <w:rPr>
                <w:rFonts w:hint="eastAsia" w:ascii="Times New Roman" w:hAnsi="Times New Roman" w:eastAsia="宋体" w:cs="Times New Roman"/>
                <w:color w:val="000000"/>
                <w:sz w:val="24"/>
                <w:szCs w:val="24"/>
                <w:lang w:val="en-US" w:eastAsia="zh-CN"/>
              </w:rPr>
              <w:t>垃圾桶</w:t>
            </w:r>
            <w:r>
              <w:rPr>
                <w:rFonts w:hint="default" w:ascii="Times New Roman" w:hAnsi="Times New Roman" w:eastAsia="宋体" w:cs="Times New Roman"/>
                <w:color w:val="000000"/>
                <w:sz w:val="24"/>
                <w:szCs w:val="24"/>
              </w:rPr>
              <w:t>收集后，</w:t>
            </w:r>
            <w:r>
              <w:rPr>
                <w:rFonts w:hint="default" w:ascii="Times New Roman" w:hAnsi="Times New Roman" w:eastAsia="宋体" w:cs="Times New Roman"/>
                <w:color w:val="000000"/>
                <w:sz w:val="24"/>
                <w:szCs w:val="24"/>
                <w:lang w:val="en-US" w:eastAsia="zh-CN"/>
              </w:rPr>
              <w:t>由环卫部门统一收集后拉运至</w:t>
            </w:r>
            <w:r>
              <w:rPr>
                <w:rFonts w:hint="eastAsia" w:cs="Times New Roman"/>
                <w:color w:val="000000"/>
                <w:sz w:val="24"/>
                <w:szCs w:val="24"/>
                <w:lang w:val="en-US" w:eastAsia="zh-CN"/>
              </w:rPr>
              <w:t>轮台县</w:t>
            </w:r>
            <w:r>
              <w:rPr>
                <w:rFonts w:hint="default" w:ascii="Times New Roman" w:hAnsi="Times New Roman" w:eastAsia="宋体" w:cs="Times New Roman"/>
                <w:color w:val="000000"/>
                <w:sz w:val="24"/>
                <w:szCs w:val="24"/>
                <w:lang w:val="en-US" w:eastAsia="zh-CN"/>
              </w:rPr>
              <w:t>生活垃圾填埋场处理</w:t>
            </w:r>
            <w:r>
              <w:rPr>
                <w:rFonts w:hint="eastAsia" w:ascii="Times New Roman" w:hAnsi="Times New Roman" w:eastAsia="宋体" w:cs="Times New Roman"/>
                <w:color w:val="000000"/>
                <w:sz w:val="24"/>
                <w:szCs w:val="24"/>
                <w:lang w:val="en-US" w:eastAsia="zh-CN"/>
              </w:rPr>
              <w:t>。</w:t>
            </w:r>
          </w:p>
          <w:p w14:paraId="343B4719">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0" w:firstLineChars="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②</w:t>
            </w:r>
            <w:r>
              <w:rPr>
                <w:rFonts w:hint="default" w:ascii="Times New Roman" w:hAnsi="Times New Roman" w:eastAsia="宋体" w:cs="Times New Roman"/>
                <w:color w:val="auto"/>
                <w:kern w:val="0"/>
                <w:sz w:val="24"/>
                <w:szCs w:val="24"/>
                <w:lang w:val="en-US" w:eastAsia="zh-CN" w:bidi="ar"/>
              </w:rPr>
              <w:t>除尘器</w:t>
            </w:r>
            <w:r>
              <w:rPr>
                <w:rFonts w:hint="eastAsia" w:ascii="Times New Roman" w:hAnsi="Times New Roman" w:eastAsia="宋体" w:cs="Times New Roman"/>
                <w:color w:val="auto"/>
                <w:kern w:val="0"/>
                <w:sz w:val="24"/>
                <w:szCs w:val="24"/>
                <w:lang w:val="en-US" w:eastAsia="zh-CN" w:bidi="ar"/>
              </w:rPr>
              <w:t>集</w:t>
            </w:r>
            <w:r>
              <w:rPr>
                <w:rFonts w:hint="default" w:ascii="Times New Roman" w:hAnsi="Times New Roman" w:eastAsia="宋体" w:cs="Times New Roman"/>
                <w:color w:val="auto"/>
                <w:kern w:val="0"/>
                <w:sz w:val="24"/>
                <w:szCs w:val="24"/>
                <w:lang w:val="en-US" w:eastAsia="zh-CN" w:bidi="ar"/>
              </w:rPr>
              <w:t>灰：</w:t>
            </w:r>
            <w:r>
              <w:rPr>
                <w:rFonts w:hint="eastAsia" w:ascii="Times New Roman" w:hAnsi="Times New Roman" w:eastAsia="宋体" w:cs="Times New Roman"/>
                <w:color w:val="auto"/>
                <w:kern w:val="0"/>
                <w:sz w:val="24"/>
                <w:szCs w:val="24"/>
                <w:lang w:val="en-US" w:eastAsia="zh-CN" w:bidi="ar"/>
              </w:rPr>
              <w:t>除尘器产生的粉尘作为一般固废</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spacing w:val="0"/>
                <w:kern w:val="2"/>
                <w:sz w:val="24"/>
                <w:szCs w:val="24"/>
                <w:lang w:val="en-US" w:eastAsia="zh-CN"/>
              </w:rPr>
              <w:t>拉运至</w:t>
            </w:r>
            <w:r>
              <w:rPr>
                <w:rFonts w:hint="eastAsia" w:cs="Times New Roman"/>
                <w:color w:val="auto"/>
                <w:spacing w:val="0"/>
                <w:kern w:val="2"/>
                <w:sz w:val="24"/>
                <w:szCs w:val="24"/>
                <w:lang w:val="en-US" w:eastAsia="zh-CN"/>
              </w:rPr>
              <w:t>轮台县</w:t>
            </w:r>
            <w:r>
              <w:rPr>
                <w:rFonts w:hint="eastAsia" w:ascii="Times New Roman" w:hAnsi="Times New Roman" w:eastAsia="宋体" w:cs="Times New Roman"/>
                <w:color w:val="auto"/>
                <w:spacing w:val="0"/>
                <w:kern w:val="2"/>
                <w:sz w:val="24"/>
                <w:szCs w:val="24"/>
                <w:lang w:val="en-US" w:eastAsia="zh-CN"/>
              </w:rPr>
              <w:t>生活垃圾填埋场处理。</w:t>
            </w:r>
          </w:p>
          <w:p w14:paraId="379309F9">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0" w:firstLineChars="0"/>
              <w:textAlignment w:val="auto"/>
              <w:rPr>
                <w:rFonts w:hint="eastAsia" w:ascii="Times New Roman" w:hAnsi="Times New Roman" w:eastAsia="宋体" w:cs="Times New Roman"/>
                <w:color w:val="auto"/>
                <w:spacing w:val="0"/>
                <w:kern w:val="2"/>
                <w:sz w:val="24"/>
                <w:szCs w:val="24"/>
                <w:lang w:val="en-US" w:eastAsia="zh-CN"/>
              </w:rPr>
            </w:pPr>
            <w:r>
              <w:rPr>
                <w:rFonts w:hint="eastAsia" w:ascii="Times New Roman" w:hAnsi="Times New Roman" w:eastAsia="宋体" w:cs="Times New Roman"/>
                <w:color w:val="000000"/>
                <w:kern w:val="0"/>
                <w:sz w:val="24"/>
                <w:szCs w:val="24"/>
                <w:lang w:val="en-US" w:eastAsia="zh-CN" w:bidi="ar"/>
              </w:rPr>
              <w:t>③</w:t>
            </w:r>
            <w:r>
              <w:rPr>
                <w:rFonts w:hint="eastAsia" w:ascii="Times New Roman" w:hAnsi="Times New Roman" w:eastAsia="宋体" w:cs="Times New Roman"/>
                <w:b w:val="0"/>
                <w:bCs/>
                <w:color w:val="000000"/>
                <w:sz w:val="24"/>
                <w:szCs w:val="24"/>
                <w:highlight w:val="none"/>
                <w:lang w:val="en-US" w:eastAsia="zh-CN"/>
              </w:rPr>
              <w:t>铁质石块：集中收集，收集后定期清</w:t>
            </w:r>
            <w:r>
              <w:rPr>
                <w:rFonts w:hint="eastAsia" w:cs="Times New Roman"/>
                <w:b w:val="0"/>
                <w:bCs/>
                <w:color w:val="000000"/>
                <w:sz w:val="24"/>
                <w:szCs w:val="24"/>
                <w:highlight w:val="none"/>
                <w:lang w:val="en-US" w:eastAsia="zh-CN"/>
              </w:rPr>
              <w:t>轮台县</w:t>
            </w:r>
            <w:r>
              <w:rPr>
                <w:rFonts w:hint="eastAsia" w:ascii="Times New Roman" w:hAnsi="Times New Roman" w:eastAsia="宋体" w:cs="Times New Roman"/>
                <w:b w:val="0"/>
                <w:bCs/>
                <w:color w:val="000000"/>
                <w:sz w:val="24"/>
                <w:szCs w:val="24"/>
                <w:highlight w:val="none"/>
                <w:lang w:val="en-US" w:eastAsia="zh-CN"/>
              </w:rPr>
              <w:t>生活垃圾填埋场处理</w:t>
            </w:r>
            <w:r>
              <w:rPr>
                <w:rFonts w:hint="eastAsia" w:ascii="Times New Roman" w:hAnsi="Times New Roman" w:eastAsia="宋体" w:cs="Times New Roman"/>
                <w:sz w:val="24"/>
                <w:szCs w:val="24"/>
                <w:highlight w:val="none"/>
                <w:lang w:val="en-US" w:eastAsia="zh-CN"/>
              </w:rPr>
              <w:t>。</w:t>
            </w:r>
          </w:p>
          <w:p w14:paraId="5A38CF55">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0" w:firstLineChars="0"/>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spacing w:val="0"/>
                <w:kern w:val="2"/>
                <w:sz w:val="24"/>
                <w:szCs w:val="24"/>
                <w:lang w:val="en-US" w:eastAsia="zh-CN"/>
              </w:rPr>
              <w:t>④污水处理站污泥：脱</w:t>
            </w:r>
            <w:r>
              <w:rPr>
                <w:rFonts w:hint="default" w:ascii="Times New Roman" w:hAnsi="Times New Roman" w:eastAsia="宋体" w:cs="Times New Roman"/>
                <w:color w:val="auto"/>
                <w:spacing w:val="0"/>
                <w:kern w:val="2"/>
                <w:sz w:val="24"/>
                <w:szCs w:val="24"/>
                <w:lang w:val="en-US" w:eastAsia="zh-CN"/>
              </w:rPr>
              <w:t>水处理后由环卫部门定期拉运至</w:t>
            </w:r>
            <w:r>
              <w:rPr>
                <w:rFonts w:hint="eastAsia" w:cs="Times New Roman"/>
                <w:color w:val="auto"/>
                <w:spacing w:val="0"/>
                <w:kern w:val="2"/>
                <w:sz w:val="24"/>
                <w:szCs w:val="24"/>
                <w:lang w:val="en-US" w:eastAsia="zh-CN"/>
              </w:rPr>
              <w:t>轮台县</w:t>
            </w:r>
            <w:r>
              <w:rPr>
                <w:rFonts w:hint="default" w:ascii="Times New Roman" w:hAnsi="Times New Roman" w:eastAsia="宋体" w:cs="Times New Roman"/>
                <w:color w:val="auto"/>
                <w:spacing w:val="0"/>
                <w:kern w:val="2"/>
                <w:sz w:val="24"/>
                <w:szCs w:val="24"/>
                <w:lang w:val="en-US" w:eastAsia="zh-CN"/>
              </w:rPr>
              <w:t>生活垃圾填埋场处理。</w:t>
            </w:r>
          </w:p>
          <w:p w14:paraId="1BDEE8CD">
            <w:pPr>
              <w:keepNext w:val="0"/>
              <w:keepLines w:val="0"/>
              <w:pageBreakBefore w:val="0"/>
              <w:widowControl/>
              <w:suppressLineNumbers w:val="0"/>
              <w:kinsoku/>
              <w:wordWrap/>
              <w:overflowPunct/>
              <w:topLinePunct w:val="0"/>
              <w:autoSpaceDE/>
              <w:autoSpaceDN/>
              <w:bidi w:val="0"/>
              <w:adjustRightInd/>
              <w:snapToGrid/>
              <w:spacing w:line="348" w:lineRule="auto"/>
              <w:ind w:firstLine="0" w:firstLineChars="0"/>
              <w:jc w:val="left"/>
              <w:textAlignment w:val="auto"/>
              <w:rPr>
                <w:rFonts w:hint="default" w:ascii="宋体" w:hAnsi="宋体" w:eastAsia="宋体" w:cs="宋体"/>
                <w:sz w:val="24"/>
                <w:szCs w:val="24"/>
                <w:lang w:val="en-US" w:eastAsia="zh-CN"/>
              </w:rPr>
            </w:pPr>
            <w:r>
              <w:rPr>
                <w:rFonts w:hint="eastAsia" w:ascii="Times New Roman" w:hAnsi="Times New Roman" w:eastAsia="宋体" w:cs="Times New Roman"/>
                <w:color w:val="000000"/>
                <w:kern w:val="0"/>
                <w:sz w:val="24"/>
                <w:szCs w:val="24"/>
                <w:lang w:val="en-US" w:eastAsia="zh-CN" w:bidi="ar"/>
              </w:rPr>
              <w:t>⑤危险废物：</w:t>
            </w:r>
            <w:r>
              <w:rPr>
                <w:rFonts w:hint="eastAsia" w:ascii="宋体" w:hAnsi="宋体" w:cs="宋体"/>
                <w:sz w:val="24"/>
              </w:rPr>
              <w:t>经</w:t>
            </w:r>
            <w:r>
              <w:rPr>
                <w:rFonts w:hint="eastAsia" w:ascii="宋体" w:hAnsi="宋体" w:cs="宋体"/>
                <w:sz w:val="24"/>
                <w:lang w:eastAsia="zh-CN"/>
              </w:rPr>
              <w:t>危险废物贮存库</w:t>
            </w:r>
            <w:r>
              <w:rPr>
                <w:rFonts w:hint="eastAsia" w:ascii="宋体" w:hAnsi="宋体" w:cs="宋体"/>
                <w:sz w:val="24"/>
              </w:rPr>
              <w:t>暂存后，定期交由有资质的单位处置。</w:t>
            </w:r>
          </w:p>
        </w:tc>
      </w:tr>
      <w:tr w14:paraId="628A0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91" w:type="dxa"/>
            <w:tcBorders>
              <w:tl2br w:val="nil"/>
              <w:tr2bl w:val="nil"/>
            </w:tcBorders>
            <w:noWrap w:val="0"/>
            <w:vAlign w:val="center"/>
          </w:tcPr>
          <w:p w14:paraId="49207EB2">
            <w:pPr>
              <w:adjustRightInd w:val="0"/>
              <w:snapToGrid w:val="0"/>
              <w:jc w:val="center"/>
              <w:rPr>
                <w:rFonts w:hint="eastAsia" w:ascii="宋体" w:hAnsi="宋体" w:cs="宋体"/>
                <w:b/>
                <w:bCs/>
                <w:sz w:val="24"/>
                <w:szCs w:val="24"/>
              </w:rPr>
            </w:pPr>
            <w:r>
              <w:rPr>
                <w:rFonts w:hint="eastAsia" w:ascii="宋体" w:hAnsi="宋体" w:cs="宋体"/>
                <w:b/>
                <w:bCs/>
                <w:sz w:val="24"/>
                <w:szCs w:val="24"/>
              </w:rPr>
              <w:t>土壤及地下水污染防治措施</w:t>
            </w:r>
          </w:p>
        </w:tc>
        <w:tc>
          <w:tcPr>
            <w:tcW w:w="7034" w:type="dxa"/>
            <w:gridSpan w:val="4"/>
            <w:tcBorders>
              <w:tl2br w:val="nil"/>
              <w:tr2bl w:val="nil"/>
            </w:tcBorders>
            <w:noWrap w:val="0"/>
            <w:vAlign w:val="center"/>
          </w:tcPr>
          <w:p w14:paraId="3046DDB1">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ascii="宋体" w:hAnsi="宋体" w:cs="宋体"/>
                <w:sz w:val="24"/>
                <w:szCs w:val="24"/>
              </w:rPr>
            </w:pPr>
            <w:r>
              <w:rPr>
                <w:rFonts w:hint="eastAsia" w:cs="Times New Roman"/>
                <w:color w:val="000000"/>
                <w:kern w:val="2"/>
                <w:sz w:val="24"/>
                <w:szCs w:val="20"/>
                <w:lang w:val="en-US" w:eastAsia="zh-CN" w:bidi="ar-SA"/>
              </w:rPr>
              <w:t>项目厂区危险废物贮存库、溶剂库、成品油储罐</w:t>
            </w:r>
            <w:r>
              <w:rPr>
                <w:rFonts w:hint="eastAsia" w:ascii="Times New Roman" w:hAnsi="Times New Roman" w:eastAsia="宋体" w:cs="Times New Roman"/>
                <w:color w:val="000000"/>
                <w:kern w:val="2"/>
                <w:sz w:val="24"/>
                <w:szCs w:val="20"/>
                <w:lang w:val="zh-CN" w:eastAsia="zh-CN" w:bidi="ar-SA"/>
              </w:rPr>
              <w:t>必须</w:t>
            </w:r>
            <w:r>
              <w:rPr>
                <w:rFonts w:hint="eastAsia" w:cs="Times New Roman"/>
                <w:color w:val="000000"/>
                <w:kern w:val="2"/>
                <w:sz w:val="24"/>
                <w:szCs w:val="20"/>
                <w:lang w:val="en-US" w:eastAsia="zh-CN" w:bidi="ar-SA"/>
              </w:rPr>
              <w:t>严格</w:t>
            </w:r>
            <w:r>
              <w:rPr>
                <w:rFonts w:hint="eastAsia" w:ascii="Times New Roman" w:hAnsi="Times New Roman" w:eastAsia="宋体" w:cs="Times New Roman"/>
                <w:color w:val="000000"/>
                <w:kern w:val="2"/>
                <w:sz w:val="24"/>
                <w:szCs w:val="20"/>
                <w:lang w:val="zh-CN" w:eastAsia="zh-CN" w:bidi="ar-SA"/>
              </w:rPr>
              <w:t>防渗，防渗层为至少1m厚</w:t>
            </w:r>
            <w:r>
              <w:rPr>
                <w:rFonts w:hint="eastAsia" w:cs="Times New Roman"/>
                <w:color w:val="000000"/>
                <w:kern w:val="2"/>
                <w:sz w:val="24"/>
                <w:szCs w:val="20"/>
                <w:lang w:val="zh-CN" w:eastAsia="zh-CN" w:bidi="ar-SA"/>
              </w:rPr>
              <w:t>黏土</w:t>
            </w:r>
            <w:r>
              <w:rPr>
                <w:rFonts w:hint="eastAsia" w:ascii="Times New Roman" w:hAnsi="Times New Roman" w:eastAsia="宋体" w:cs="Times New Roman"/>
                <w:color w:val="000000"/>
                <w:kern w:val="2"/>
                <w:sz w:val="24"/>
                <w:szCs w:val="20"/>
                <w:lang w:val="zh-CN" w:eastAsia="zh-CN" w:bidi="ar-SA"/>
              </w:rPr>
              <w:t>层（渗透系数≤10</w:t>
            </w:r>
            <w:r>
              <w:rPr>
                <w:rFonts w:hint="eastAsia" w:ascii="Times New Roman" w:hAnsi="Times New Roman" w:eastAsia="宋体" w:cs="Times New Roman"/>
                <w:color w:val="000000"/>
                <w:kern w:val="2"/>
                <w:sz w:val="24"/>
                <w:szCs w:val="20"/>
                <w:vertAlign w:val="superscript"/>
                <w:lang w:val="zh-CN" w:eastAsia="zh-CN" w:bidi="ar-SA"/>
              </w:rPr>
              <w:t>-7</w:t>
            </w:r>
            <w:r>
              <w:rPr>
                <w:rFonts w:hint="eastAsia" w:ascii="Times New Roman" w:hAnsi="Times New Roman" w:eastAsia="宋体" w:cs="Times New Roman"/>
                <w:color w:val="000000"/>
                <w:kern w:val="2"/>
                <w:sz w:val="24"/>
                <w:szCs w:val="20"/>
                <w:lang w:val="zh-CN" w:eastAsia="zh-CN" w:bidi="ar-SA"/>
              </w:rPr>
              <w:t>cm/s），或2mm厚高密度聚乙烯，或至少2mm厚的</w:t>
            </w:r>
            <w:r>
              <w:rPr>
                <w:rFonts w:hint="eastAsia" w:cs="Times New Roman"/>
                <w:color w:val="000000"/>
                <w:kern w:val="2"/>
                <w:sz w:val="24"/>
                <w:szCs w:val="20"/>
                <w:lang w:val="zh-CN" w:eastAsia="zh-CN" w:bidi="ar-SA"/>
              </w:rPr>
              <w:t>其他人工</w:t>
            </w:r>
            <w:r>
              <w:rPr>
                <w:rFonts w:hint="eastAsia" w:ascii="Times New Roman" w:hAnsi="Times New Roman" w:eastAsia="宋体" w:cs="Times New Roman"/>
                <w:color w:val="000000"/>
                <w:kern w:val="2"/>
                <w:sz w:val="24"/>
                <w:szCs w:val="20"/>
                <w:lang w:val="zh-CN" w:eastAsia="zh-CN" w:bidi="ar-SA"/>
              </w:rPr>
              <w:t>材料，渗透系数≤10</w:t>
            </w:r>
            <w:r>
              <w:rPr>
                <w:rFonts w:hint="eastAsia" w:ascii="Times New Roman" w:hAnsi="Times New Roman" w:eastAsia="宋体" w:cs="Times New Roman"/>
                <w:color w:val="000000"/>
                <w:kern w:val="2"/>
                <w:sz w:val="24"/>
                <w:szCs w:val="20"/>
                <w:vertAlign w:val="superscript"/>
                <w:lang w:val="zh-CN" w:eastAsia="zh-CN" w:bidi="ar-SA"/>
              </w:rPr>
              <w:t>-10</w:t>
            </w:r>
            <w:r>
              <w:rPr>
                <w:rFonts w:hint="eastAsia" w:ascii="Times New Roman" w:hAnsi="Times New Roman" w:eastAsia="宋体" w:cs="Times New Roman"/>
                <w:color w:val="000000"/>
                <w:kern w:val="2"/>
                <w:sz w:val="24"/>
                <w:szCs w:val="20"/>
                <w:lang w:val="zh-CN" w:eastAsia="zh-CN" w:bidi="ar-SA"/>
              </w:rPr>
              <w:t>cm/s。</w:t>
            </w:r>
          </w:p>
        </w:tc>
      </w:tr>
      <w:tr w14:paraId="4F1E7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91" w:type="dxa"/>
            <w:tcBorders>
              <w:tl2br w:val="nil"/>
              <w:tr2bl w:val="nil"/>
            </w:tcBorders>
            <w:noWrap w:val="0"/>
            <w:vAlign w:val="center"/>
          </w:tcPr>
          <w:p w14:paraId="794741AD">
            <w:pPr>
              <w:adjustRightInd w:val="0"/>
              <w:snapToGrid w:val="0"/>
              <w:jc w:val="center"/>
              <w:rPr>
                <w:rFonts w:hint="eastAsia" w:ascii="宋体" w:hAnsi="宋体" w:cs="宋体"/>
                <w:b/>
                <w:bCs/>
                <w:sz w:val="24"/>
                <w:szCs w:val="24"/>
              </w:rPr>
            </w:pPr>
            <w:r>
              <w:rPr>
                <w:rFonts w:hint="eastAsia" w:ascii="宋体" w:hAnsi="宋体" w:cs="宋体"/>
                <w:b/>
                <w:bCs/>
                <w:sz w:val="24"/>
                <w:szCs w:val="24"/>
              </w:rPr>
              <w:t>生态保护措施</w:t>
            </w:r>
          </w:p>
        </w:tc>
        <w:tc>
          <w:tcPr>
            <w:tcW w:w="7034" w:type="dxa"/>
            <w:gridSpan w:val="4"/>
            <w:tcBorders>
              <w:tl2br w:val="nil"/>
              <w:tr2bl w:val="nil"/>
            </w:tcBorders>
            <w:noWrap w:val="0"/>
            <w:vAlign w:val="center"/>
          </w:tcPr>
          <w:p w14:paraId="390F2E2A">
            <w:pPr>
              <w:keepNext w:val="0"/>
              <w:keepLines w:val="0"/>
              <w:pageBreakBefore w:val="0"/>
              <w:kinsoku/>
              <w:wordWrap/>
              <w:overflowPunct/>
              <w:topLinePunct w:val="0"/>
              <w:autoSpaceDE/>
              <w:autoSpaceDN/>
              <w:bidi w:val="0"/>
              <w:adjustRightInd w:val="0"/>
              <w:snapToGrid w:val="0"/>
              <w:spacing w:line="348" w:lineRule="auto"/>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无</w:t>
            </w:r>
          </w:p>
        </w:tc>
      </w:tr>
      <w:tr w14:paraId="5A1E5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591" w:type="dxa"/>
            <w:tcBorders>
              <w:tl2br w:val="nil"/>
              <w:tr2bl w:val="nil"/>
            </w:tcBorders>
            <w:noWrap w:val="0"/>
            <w:vAlign w:val="center"/>
          </w:tcPr>
          <w:p w14:paraId="636D91FE">
            <w:pPr>
              <w:adjustRightInd w:val="0"/>
              <w:snapToGrid w:val="0"/>
              <w:jc w:val="center"/>
              <w:rPr>
                <w:rFonts w:ascii="宋体" w:hAnsi="宋体" w:cs="宋体"/>
                <w:b/>
                <w:bCs/>
                <w:spacing w:val="-8"/>
                <w:sz w:val="24"/>
                <w:szCs w:val="24"/>
              </w:rPr>
            </w:pPr>
            <w:r>
              <w:rPr>
                <w:rFonts w:hint="eastAsia" w:ascii="宋体" w:hAnsi="宋体" w:cs="宋体"/>
                <w:b/>
                <w:bCs/>
                <w:spacing w:val="-8"/>
                <w:sz w:val="24"/>
                <w:szCs w:val="24"/>
              </w:rPr>
              <w:t>环境风险</w:t>
            </w:r>
          </w:p>
          <w:p w14:paraId="70CD1611">
            <w:pPr>
              <w:adjustRightInd w:val="0"/>
              <w:snapToGrid w:val="0"/>
              <w:jc w:val="center"/>
              <w:rPr>
                <w:rFonts w:hint="eastAsia" w:ascii="宋体" w:hAnsi="宋体" w:cs="宋体"/>
                <w:b/>
                <w:bCs/>
                <w:spacing w:val="-8"/>
                <w:sz w:val="24"/>
                <w:szCs w:val="24"/>
              </w:rPr>
            </w:pPr>
            <w:r>
              <w:rPr>
                <w:rFonts w:hint="eastAsia" w:ascii="宋体" w:hAnsi="宋体" w:cs="宋体"/>
                <w:b/>
                <w:bCs/>
                <w:spacing w:val="-8"/>
                <w:sz w:val="24"/>
                <w:szCs w:val="24"/>
              </w:rPr>
              <w:t>防范措施</w:t>
            </w:r>
          </w:p>
        </w:tc>
        <w:tc>
          <w:tcPr>
            <w:tcW w:w="7034" w:type="dxa"/>
            <w:gridSpan w:val="4"/>
            <w:tcBorders>
              <w:tl2br w:val="nil"/>
              <w:tr2bl w:val="nil"/>
            </w:tcBorders>
            <w:noWrap w:val="0"/>
            <w:vAlign w:val="center"/>
          </w:tcPr>
          <w:p w14:paraId="0897F88C">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eastAsia" w:ascii="宋体" w:hAnsi="宋体" w:cs="宋体"/>
                <w:sz w:val="24"/>
                <w:szCs w:val="24"/>
              </w:rPr>
            </w:pPr>
            <w:r>
              <w:rPr>
                <w:sz w:val="24"/>
                <w:szCs w:val="24"/>
              </w:rPr>
              <w:t>建设单位应加强管理，完善消防设施，制定风险应急预案：废机油需放置</w:t>
            </w:r>
            <w:r>
              <w:rPr>
                <w:rFonts w:hint="eastAsia"/>
                <w:sz w:val="24"/>
                <w:szCs w:val="24"/>
                <w:lang w:val="en-US" w:eastAsia="zh-CN"/>
              </w:rPr>
              <w:t>危险废物贮存库</w:t>
            </w:r>
            <w:r>
              <w:rPr>
                <w:sz w:val="24"/>
                <w:szCs w:val="24"/>
              </w:rPr>
              <w:t>，发生火灾时，设置临时围堰，不得将消防废水随便排放，定期巡查废气处理装置运行情况，定期维护设备。</w:t>
            </w:r>
          </w:p>
        </w:tc>
      </w:tr>
      <w:tr w14:paraId="66A53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78" w:hRule="atLeast"/>
          <w:jc w:val="center"/>
        </w:trPr>
        <w:tc>
          <w:tcPr>
            <w:tcW w:w="1591" w:type="dxa"/>
            <w:tcBorders>
              <w:tl2br w:val="nil"/>
              <w:tr2bl w:val="nil"/>
            </w:tcBorders>
            <w:noWrap w:val="0"/>
            <w:vAlign w:val="center"/>
          </w:tcPr>
          <w:p w14:paraId="58A14DF0">
            <w:pPr>
              <w:adjustRightInd w:val="0"/>
              <w:snapToGrid w:val="0"/>
              <w:jc w:val="center"/>
              <w:rPr>
                <w:rFonts w:ascii="宋体" w:hAnsi="宋体" w:cs="宋体"/>
                <w:b/>
                <w:bCs/>
                <w:spacing w:val="-8"/>
                <w:sz w:val="24"/>
                <w:szCs w:val="24"/>
              </w:rPr>
            </w:pPr>
            <w:r>
              <w:rPr>
                <w:rFonts w:hint="eastAsia" w:ascii="宋体" w:hAnsi="宋体" w:cs="宋体"/>
                <w:b/>
                <w:bCs/>
                <w:spacing w:val="-8"/>
                <w:sz w:val="24"/>
                <w:szCs w:val="24"/>
              </w:rPr>
              <w:t>其他环境</w:t>
            </w:r>
          </w:p>
          <w:p w14:paraId="1C0BA510">
            <w:pPr>
              <w:adjustRightInd w:val="0"/>
              <w:snapToGrid w:val="0"/>
              <w:jc w:val="center"/>
              <w:rPr>
                <w:rFonts w:hint="eastAsia" w:ascii="宋体" w:hAnsi="宋体" w:cs="宋体"/>
                <w:b/>
                <w:bCs/>
                <w:spacing w:val="-8"/>
                <w:sz w:val="24"/>
                <w:szCs w:val="24"/>
              </w:rPr>
            </w:pPr>
            <w:r>
              <w:rPr>
                <w:rFonts w:hint="eastAsia" w:ascii="宋体" w:hAnsi="宋体" w:cs="宋体"/>
                <w:b/>
                <w:bCs/>
                <w:spacing w:val="-8"/>
                <w:sz w:val="24"/>
                <w:szCs w:val="24"/>
              </w:rPr>
              <w:t>管理要求</w:t>
            </w:r>
          </w:p>
        </w:tc>
        <w:tc>
          <w:tcPr>
            <w:tcW w:w="7034" w:type="dxa"/>
            <w:gridSpan w:val="4"/>
            <w:tcBorders>
              <w:tl2br w:val="nil"/>
              <w:tr2bl w:val="nil"/>
            </w:tcBorders>
            <w:noWrap w:val="0"/>
            <w:vAlign w:val="center"/>
          </w:tcPr>
          <w:p w14:paraId="6153780E">
            <w:pPr>
              <w:keepNext w:val="0"/>
              <w:keepLines w:val="0"/>
              <w:pageBreakBefore w:val="0"/>
              <w:widowControl w:val="0"/>
              <w:kinsoku/>
              <w:wordWrap/>
              <w:overflowPunct/>
              <w:topLinePunct w:val="0"/>
              <w:autoSpaceDE/>
              <w:autoSpaceDN/>
              <w:bidi w:val="0"/>
              <w:adjustRightInd w:val="0"/>
              <w:snapToGrid w:val="0"/>
              <w:spacing w:line="348" w:lineRule="auto"/>
              <w:textAlignment w:val="auto"/>
              <w:rPr>
                <w:b/>
                <w:bCs/>
                <w:sz w:val="24"/>
                <w:szCs w:val="24"/>
              </w:rPr>
            </w:pPr>
            <w:r>
              <w:rPr>
                <w:b/>
                <w:bCs/>
                <w:sz w:val="24"/>
                <w:szCs w:val="24"/>
              </w:rPr>
              <w:t>项目投资及环保投资概况</w:t>
            </w:r>
          </w:p>
          <w:p w14:paraId="4C98A87F">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b/>
                <w:bCs/>
                <w:color w:val="auto"/>
                <w:sz w:val="24"/>
                <w:szCs w:val="24"/>
                <w:highlight w:val="none"/>
                <w:shd w:val="clear" w:color="auto" w:fill="auto"/>
              </w:rPr>
            </w:pPr>
            <w:r>
              <w:rPr>
                <w:sz w:val="24"/>
                <w:szCs w:val="24"/>
              </w:rPr>
              <w:t>本项目总投资</w:t>
            </w:r>
            <w:r>
              <w:rPr>
                <w:rFonts w:hint="eastAsia"/>
                <w:sz w:val="24"/>
                <w:szCs w:val="24"/>
                <w:lang w:val="en-US" w:eastAsia="zh-CN"/>
              </w:rPr>
              <w:t>3000</w:t>
            </w:r>
            <w:r>
              <w:rPr>
                <w:sz w:val="24"/>
                <w:szCs w:val="24"/>
              </w:rPr>
              <w:t>万元</w:t>
            </w:r>
            <w:r>
              <w:rPr>
                <w:rFonts w:hint="eastAsia"/>
                <w:sz w:val="24"/>
                <w:szCs w:val="24"/>
              </w:rPr>
              <w:t>，</w:t>
            </w:r>
            <w:r>
              <w:rPr>
                <w:sz w:val="24"/>
                <w:szCs w:val="24"/>
              </w:rPr>
              <w:t>其中环保投资</w:t>
            </w:r>
            <w:r>
              <w:rPr>
                <w:rFonts w:hint="eastAsia"/>
                <w:sz w:val="24"/>
                <w:szCs w:val="24"/>
                <w:lang w:val="en-US" w:eastAsia="zh-CN"/>
              </w:rPr>
              <w:t>156</w:t>
            </w:r>
            <w:r>
              <w:rPr>
                <w:sz w:val="24"/>
                <w:szCs w:val="24"/>
              </w:rPr>
              <w:t>万元，约占项目总投资的</w:t>
            </w:r>
            <w:r>
              <w:rPr>
                <w:rFonts w:hint="eastAsia"/>
                <w:sz w:val="24"/>
                <w:szCs w:val="24"/>
                <w:lang w:val="en-US" w:eastAsia="zh-CN"/>
              </w:rPr>
              <w:t>5.2</w:t>
            </w:r>
            <w:r>
              <w:rPr>
                <w:sz w:val="24"/>
                <w:szCs w:val="24"/>
              </w:rPr>
              <w:t>%，</w:t>
            </w:r>
            <w:r>
              <w:rPr>
                <w:rFonts w:hint="eastAsia"/>
                <w:sz w:val="24"/>
                <w:szCs w:val="24"/>
                <w:lang w:val="en-US" w:eastAsia="zh-CN"/>
              </w:rPr>
              <w:t>主要用于营运期</w:t>
            </w:r>
            <w:r>
              <w:rPr>
                <w:rFonts w:hint="default"/>
                <w:sz w:val="24"/>
                <w:szCs w:val="24"/>
              </w:rPr>
              <w:t>废气</w:t>
            </w:r>
            <w:r>
              <w:rPr>
                <w:rFonts w:hint="eastAsia"/>
                <w:sz w:val="24"/>
                <w:szCs w:val="24"/>
                <w:lang w:eastAsia="zh-CN"/>
              </w:rPr>
              <w:t>、</w:t>
            </w:r>
            <w:r>
              <w:rPr>
                <w:sz w:val="24"/>
                <w:szCs w:val="24"/>
              </w:rPr>
              <w:t>废水</w:t>
            </w:r>
            <w:r>
              <w:rPr>
                <w:rFonts w:hint="eastAsia"/>
                <w:sz w:val="24"/>
                <w:szCs w:val="24"/>
                <w:lang w:eastAsia="zh-CN"/>
              </w:rPr>
              <w:t>、</w:t>
            </w:r>
            <w:r>
              <w:rPr>
                <w:sz w:val="24"/>
                <w:szCs w:val="24"/>
              </w:rPr>
              <w:t>固废</w:t>
            </w:r>
            <w:r>
              <w:rPr>
                <w:rFonts w:hint="eastAsia"/>
                <w:sz w:val="24"/>
                <w:szCs w:val="24"/>
                <w:lang w:eastAsia="zh-CN"/>
              </w:rPr>
              <w:t>、</w:t>
            </w:r>
            <w:r>
              <w:rPr>
                <w:rFonts w:hint="eastAsia"/>
                <w:sz w:val="24"/>
                <w:szCs w:val="24"/>
                <w:lang w:val="en-US" w:eastAsia="zh-CN"/>
              </w:rPr>
              <w:t>噪声治理以及</w:t>
            </w:r>
            <w:r>
              <w:rPr>
                <w:rFonts w:hint="default"/>
                <w:sz w:val="24"/>
                <w:szCs w:val="24"/>
                <w:lang w:val="en-US" w:eastAsia="zh-CN"/>
              </w:rPr>
              <w:t>地下水污染防治</w:t>
            </w:r>
            <w:r>
              <w:rPr>
                <w:rFonts w:hint="eastAsia"/>
                <w:sz w:val="24"/>
                <w:szCs w:val="24"/>
                <w:lang w:val="en-US" w:eastAsia="zh-CN"/>
              </w:rPr>
              <w:t>、</w:t>
            </w:r>
            <w:r>
              <w:rPr>
                <w:rFonts w:hint="default"/>
                <w:sz w:val="24"/>
                <w:szCs w:val="24"/>
                <w:lang w:val="en-US" w:eastAsia="zh-CN"/>
              </w:rPr>
              <w:t>监测</w:t>
            </w:r>
            <w:r>
              <w:rPr>
                <w:rFonts w:hint="eastAsia"/>
                <w:sz w:val="24"/>
                <w:szCs w:val="24"/>
                <w:lang w:val="en-US" w:eastAsia="zh-CN"/>
              </w:rPr>
              <w:t>、</w:t>
            </w:r>
            <w:r>
              <w:rPr>
                <w:rFonts w:hint="default"/>
                <w:sz w:val="24"/>
                <w:szCs w:val="24"/>
              </w:rPr>
              <w:t>环境风险防范</w:t>
            </w:r>
            <w:r>
              <w:rPr>
                <w:sz w:val="24"/>
                <w:szCs w:val="24"/>
              </w:rPr>
              <w:t>等，项目具体环保投资见</w:t>
            </w:r>
            <w:r>
              <w:rPr>
                <w:rFonts w:hint="eastAsia"/>
                <w:sz w:val="24"/>
                <w:szCs w:val="24"/>
                <w:lang w:val="en-US" w:eastAsia="zh-CN"/>
              </w:rPr>
              <w:t>下</w:t>
            </w:r>
            <w:r>
              <w:rPr>
                <w:sz w:val="24"/>
                <w:szCs w:val="24"/>
              </w:rPr>
              <w:t>表</w:t>
            </w:r>
            <w:r>
              <w:rPr>
                <w:rFonts w:hint="eastAsia"/>
                <w:sz w:val="24"/>
                <w:szCs w:val="24"/>
                <w:lang w:val="en-US" w:eastAsia="zh-CN"/>
              </w:rPr>
              <w:t>5-1。</w:t>
            </w:r>
          </w:p>
          <w:p w14:paraId="1CF5994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黑体" w:hAnsi="黑体" w:eastAsia="黑体" w:cs="黑体"/>
                <w:b w:val="0"/>
                <w:bCs w:val="0"/>
                <w:color w:val="auto"/>
                <w:sz w:val="21"/>
                <w:szCs w:val="21"/>
                <w:highlight w:val="none"/>
                <w:shd w:val="clear" w:color="auto" w:fill="auto"/>
              </w:rPr>
            </w:pPr>
            <w:r>
              <w:rPr>
                <w:rFonts w:hint="eastAsia" w:ascii="黑体" w:hAnsi="黑体" w:eastAsia="黑体" w:cs="黑体"/>
                <w:b w:val="0"/>
                <w:bCs w:val="0"/>
                <w:color w:val="auto"/>
                <w:sz w:val="21"/>
                <w:szCs w:val="21"/>
                <w:highlight w:val="none"/>
                <w:shd w:val="clear" w:color="auto" w:fill="auto"/>
              </w:rPr>
              <w:t>表</w:t>
            </w:r>
            <w:r>
              <w:rPr>
                <w:rFonts w:hint="eastAsia" w:ascii="黑体" w:hAnsi="黑体" w:eastAsia="黑体" w:cs="黑体"/>
                <w:b w:val="0"/>
                <w:bCs w:val="0"/>
                <w:color w:val="auto"/>
                <w:sz w:val="21"/>
                <w:szCs w:val="21"/>
                <w:highlight w:val="none"/>
                <w:shd w:val="clear" w:color="auto" w:fill="auto"/>
                <w:lang w:val="en-US" w:eastAsia="zh-CN"/>
              </w:rPr>
              <w:t>5-1</w:t>
            </w:r>
            <w:r>
              <w:rPr>
                <w:rFonts w:hint="eastAsia" w:ascii="黑体" w:hAnsi="黑体" w:eastAsia="黑体" w:cs="黑体"/>
                <w:b w:val="0"/>
                <w:bCs w:val="0"/>
                <w:color w:val="auto"/>
                <w:sz w:val="21"/>
                <w:szCs w:val="21"/>
                <w:highlight w:val="none"/>
                <w:shd w:val="clear" w:color="auto" w:fill="auto"/>
              </w:rPr>
              <w:t xml:space="preserve">  项目环保投资一览表</w:t>
            </w:r>
          </w:p>
          <w:tbl>
            <w:tblPr>
              <w:tblStyle w:val="21"/>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57"/>
              <w:gridCol w:w="4510"/>
              <w:gridCol w:w="986"/>
            </w:tblGrid>
            <w:tr w14:paraId="7F21A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tcBorders>
                    <w:tl2br w:val="nil"/>
                    <w:tr2bl w:val="nil"/>
                  </w:tcBorders>
                  <w:noWrap w:val="0"/>
                  <w:vAlign w:val="center"/>
                </w:tcPr>
                <w:p w14:paraId="7AAAC4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时段</w:t>
                  </w:r>
                </w:p>
              </w:tc>
              <w:tc>
                <w:tcPr>
                  <w:tcW w:w="632" w:type="pct"/>
                  <w:tcBorders>
                    <w:tl2br w:val="nil"/>
                    <w:tr2bl w:val="nil"/>
                  </w:tcBorders>
                  <w:noWrap w:val="0"/>
                  <w:vAlign w:val="center"/>
                </w:tcPr>
                <w:p w14:paraId="2710D1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项目</w:t>
                  </w:r>
                </w:p>
              </w:tc>
              <w:tc>
                <w:tcPr>
                  <w:tcW w:w="3325" w:type="pct"/>
                  <w:tcBorders>
                    <w:tl2br w:val="nil"/>
                    <w:tr2bl w:val="nil"/>
                  </w:tcBorders>
                  <w:noWrap w:val="0"/>
                  <w:vAlign w:val="center"/>
                </w:tcPr>
                <w:p w14:paraId="0C0409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内容</w:t>
                  </w:r>
                </w:p>
              </w:tc>
              <w:tc>
                <w:tcPr>
                  <w:tcW w:w="727" w:type="pct"/>
                  <w:tcBorders>
                    <w:tl2br w:val="nil"/>
                    <w:tr2bl w:val="nil"/>
                  </w:tcBorders>
                  <w:noWrap w:val="0"/>
                  <w:vAlign w:val="center"/>
                </w:tcPr>
                <w:p w14:paraId="21A797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投资金额（万元）</w:t>
                  </w:r>
                </w:p>
              </w:tc>
            </w:tr>
            <w:tr w14:paraId="4B7EC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314" w:type="pct"/>
                  <w:vMerge w:val="restart"/>
                  <w:tcBorders>
                    <w:tl2br w:val="nil"/>
                    <w:tr2bl w:val="nil"/>
                  </w:tcBorders>
                  <w:noWrap w:val="0"/>
                  <w:vAlign w:val="center"/>
                </w:tcPr>
                <w:p w14:paraId="699DCE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运</w:t>
                  </w:r>
                </w:p>
                <w:p w14:paraId="7A3793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营</w:t>
                  </w:r>
                </w:p>
                <w:p w14:paraId="5FED88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期</w:t>
                  </w:r>
                </w:p>
              </w:tc>
              <w:tc>
                <w:tcPr>
                  <w:tcW w:w="632" w:type="pct"/>
                  <w:vMerge w:val="restart"/>
                  <w:tcBorders>
                    <w:tl2br w:val="nil"/>
                    <w:tr2bl w:val="nil"/>
                  </w:tcBorders>
                  <w:noWrap w:val="0"/>
                  <w:vAlign w:val="center"/>
                </w:tcPr>
                <w:p w14:paraId="22ABEC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废气治理</w:t>
                  </w:r>
                </w:p>
              </w:tc>
              <w:tc>
                <w:tcPr>
                  <w:tcW w:w="3325" w:type="pct"/>
                  <w:tcBorders>
                    <w:tl2br w:val="nil"/>
                    <w:tr2bl w:val="nil"/>
                  </w:tcBorders>
                  <w:noWrap w:val="0"/>
                  <w:vAlign w:val="center"/>
                </w:tcPr>
                <w:p w14:paraId="458CF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sz w:val="21"/>
                      <w:szCs w:val="21"/>
                      <w:highlight w:val="none"/>
                      <w:lang w:val="en-US" w:eastAsia="zh-CN"/>
                    </w:rPr>
                    <w:t>剥绒车间</w:t>
                  </w:r>
                  <w:r>
                    <w:rPr>
                      <w:rFonts w:hint="eastAsia" w:ascii="Times New Roman" w:hAnsi="Times New Roman" w:eastAsia="宋体" w:cs="Times New Roman"/>
                      <w:sz w:val="21"/>
                      <w:szCs w:val="21"/>
                      <w:highlight w:val="none"/>
                      <w:lang w:val="en-US" w:eastAsia="zh-CN"/>
                    </w:rPr>
                    <w:t>2套</w:t>
                  </w:r>
                  <w:r>
                    <w:rPr>
                      <w:rFonts w:hint="default" w:ascii="Times New Roman" w:hAnsi="Times New Roman" w:eastAsia="宋体" w:cs="Times New Roman"/>
                      <w:sz w:val="21"/>
                      <w:szCs w:val="21"/>
                      <w:highlight w:val="none"/>
                      <w:lang w:val="en-US" w:eastAsia="zh-CN"/>
                    </w:rPr>
                    <w:t>除尘机组（</w:t>
                  </w:r>
                  <w:r>
                    <w:rPr>
                      <w:rFonts w:hint="eastAsia" w:ascii="Times New Roman" w:hAnsi="Times New Roman" w:eastAsia="宋体" w:cs="Times New Roman"/>
                      <w:sz w:val="21"/>
                      <w:szCs w:val="21"/>
                      <w:highlight w:val="none"/>
                      <w:lang w:val="en-US" w:eastAsia="zh-CN"/>
                    </w:rPr>
                    <w:t>多管</w:t>
                  </w:r>
                  <w:r>
                    <w:rPr>
                      <w:rFonts w:hint="default" w:ascii="Times New Roman" w:hAnsi="Times New Roman" w:eastAsia="宋体" w:cs="Times New Roman"/>
                      <w:sz w:val="21"/>
                      <w:szCs w:val="21"/>
                      <w:highlight w:val="none"/>
                      <w:lang w:val="en-US" w:eastAsia="zh-CN"/>
                    </w:rPr>
                    <w:t>旋风除尘器+袋式</w:t>
                  </w:r>
                  <w:r>
                    <w:rPr>
                      <w:rFonts w:hint="eastAsia" w:ascii="Times New Roman" w:hAnsi="Times New Roman" w:eastAsia="宋体" w:cs="Times New Roman"/>
                      <w:sz w:val="21"/>
                      <w:szCs w:val="21"/>
                      <w:highlight w:val="none"/>
                      <w:lang w:val="en-US" w:eastAsia="zh-CN"/>
                    </w:rPr>
                    <w:t>滤筒</w:t>
                  </w:r>
                  <w:r>
                    <w:rPr>
                      <w:rFonts w:hint="default" w:ascii="Times New Roman" w:hAnsi="Times New Roman" w:eastAsia="宋体" w:cs="Times New Roman"/>
                      <w:sz w:val="21"/>
                      <w:szCs w:val="21"/>
                      <w:highlight w:val="none"/>
                      <w:lang w:val="en-US" w:eastAsia="zh-CN"/>
                    </w:rPr>
                    <w:t>除尘器）</w:t>
                  </w:r>
                  <w:r>
                    <w:rPr>
                      <w:rFonts w:hint="eastAsia" w:cs="Times New Roman"/>
                      <w:sz w:val="21"/>
                      <w:szCs w:val="21"/>
                      <w:highlight w:val="none"/>
                      <w:lang w:val="en-US" w:eastAsia="zh-CN"/>
                    </w:rPr>
                    <w:t>；粉碎包装车间</w:t>
                  </w:r>
                  <w:r>
                    <w:rPr>
                      <w:rFonts w:hint="eastAsia" w:ascii="Times New Roman" w:hAnsi="Times New Roman" w:eastAsia="宋体" w:cs="Times New Roman"/>
                      <w:sz w:val="21"/>
                      <w:szCs w:val="21"/>
                      <w:highlight w:val="none"/>
                      <w:lang w:val="en-US" w:eastAsia="zh-CN"/>
                    </w:rPr>
                    <w:t>脉冲除尘器</w:t>
                  </w:r>
                  <w:r>
                    <w:rPr>
                      <w:rFonts w:hint="eastAsia" w:cs="Times New Roman"/>
                      <w:sz w:val="21"/>
                      <w:szCs w:val="21"/>
                      <w:highlight w:val="none"/>
                      <w:lang w:val="en-US" w:eastAsia="zh-CN"/>
                    </w:rPr>
                    <w:t>、预处理车间</w:t>
                  </w:r>
                  <w:r>
                    <w:rPr>
                      <w:rFonts w:hint="eastAsia" w:ascii="Times New Roman" w:hAnsi="Times New Roman" w:eastAsia="宋体" w:cs="Times New Roman"/>
                      <w:sz w:val="21"/>
                      <w:szCs w:val="21"/>
                      <w:highlight w:val="none"/>
                      <w:lang w:val="en-US" w:eastAsia="zh-CN"/>
                    </w:rPr>
                    <w:t>多管</w:t>
                  </w:r>
                  <w:r>
                    <w:rPr>
                      <w:rFonts w:hint="default" w:ascii="Times New Roman" w:hAnsi="Times New Roman" w:eastAsia="宋体" w:cs="Times New Roman"/>
                      <w:sz w:val="21"/>
                      <w:szCs w:val="21"/>
                      <w:highlight w:val="none"/>
                      <w:lang w:val="en-US" w:eastAsia="zh-CN"/>
                    </w:rPr>
                    <w:t>旋风除尘器</w:t>
                  </w:r>
                </w:p>
              </w:tc>
              <w:tc>
                <w:tcPr>
                  <w:tcW w:w="727" w:type="pct"/>
                  <w:tcBorders>
                    <w:tl2br w:val="nil"/>
                    <w:tr2bl w:val="nil"/>
                  </w:tcBorders>
                  <w:noWrap w:val="0"/>
                  <w:vAlign w:val="center"/>
                </w:tcPr>
                <w:p w14:paraId="43E550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shd w:val="clear" w:color="auto" w:fill="auto"/>
                      <w:lang w:val="en-US" w:eastAsia="zh-CN"/>
                    </w:rPr>
                  </w:pPr>
                  <w:r>
                    <w:rPr>
                      <w:rFonts w:hint="eastAsia" w:cs="Times New Roman"/>
                      <w:color w:val="auto"/>
                      <w:sz w:val="21"/>
                      <w:szCs w:val="21"/>
                      <w:highlight w:val="none"/>
                      <w:shd w:val="clear" w:color="auto" w:fill="auto"/>
                      <w:lang w:val="en-US" w:eastAsia="zh-CN"/>
                    </w:rPr>
                    <w:t>45</w:t>
                  </w:r>
                </w:p>
              </w:tc>
            </w:tr>
            <w:tr w14:paraId="4CBC2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314" w:type="pct"/>
                  <w:vMerge w:val="continue"/>
                  <w:tcBorders>
                    <w:tl2br w:val="nil"/>
                    <w:tr2bl w:val="nil"/>
                  </w:tcBorders>
                  <w:noWrap w:val="0"/>
                  <w:vAlign w:val="center"/>
                </w:tcPr>
                <w:p w14:paraId="546ADD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continue"/>
                  <w:tcBorders>
                    <w:tl2br w:val="nil"/>
                    <w:tr2bl w:val="nil"/>
                  </w:tcBorders>
                  <w:noWrap w:val="0"/>
                  <w:vAlign w:val="center"/>
                </w:tcPr>
                <w:p w14:paraId="0AFEC3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3325" w:type="pct"/>
                  <w:tcBorders>
                    <w:tl2br w:val="nil"/>
                    <w:tr2bl w:val="nil"/>
                  </w:tcBorders>
                  <w:noWrap w:val="0"/>
                  <w:vAlign w:val="center"/>
                </w:tcPr>
                <w:p w14:paraId="0C23A5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污水处理站废气治理</w:t>
                  </w:r>
                  <w:r>
                    <w:rPr>
                      <w:rFonts w:hint="eastAsia" w:cs="Times New Roman"/>
                      <w:color w:val="auto"/>
                      <w:kern w:val="2"/>
                      <w:sz w:val="21"/>
                      <w:szCs w:val="21"/>
                      <w:highlight w:val="none"/>
                      <w:shd w:val="clear" w:color="auto" w:fill="auto"/>
                      <w:lang w:val="en-US" w:eastAsia="zh-CN" w:bidi="ar-SA"/>
                    </w:rPr>
                    <w:t>（喷洒除臭剂）</w:t>
                  </w:r>
                </w:p>
              </w:tc>
              <w:tc>
                <w:tcPr>
                  <w:tcW w:w="727" w:type="pct"/>
                  <w:tcBorders>
                    <w:tl2br w:val="nil"/>
                    <w:tr2bl w:val="nil"/>
                  </w:tcBorders>
                  <w:noWrap w:val="0"/>
                  <w:vAlign w:val="center"/>
                </w:tcPr>
                <w:p w14:paraId="6F7656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shd w:val="clear" w:color="auto" w:fill="auto"/>
                      <w:lang w:val="en-US" w:eastAsia="zh-CN"/>
                    </w:rPr>
                  </w:pPr>
                  <w:r>
                    <w:rPr>
                      <w:rFonts w:hint="eastAsia" w:cs="Times New Roman"/>
                      <w:color w:val="auto"/>
                      <w:sz w:val="21"/>
                      <w:szCs w:val="21"/>
                      <w:highlight w:val="none"/>
                      <w:shd w:val="clear" w:color="auto" w:fill="auto"/>
                      <w:lang w:val="en-US" w:eastAsia="zh-CN"/>
                    </w:rPr>
                    <w:t>0.4</w:t>
                  </w:r>
                </w:p>
              </w:tc>
            </w:tr>
            <w:tr w14:paraId="16EB4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vMerge w:val="continue"/>
                  <w:tcBorders>
                    <w:tl2br w:val="nil"/>
                    <w:tr2bl w:val="nil"/>
                  </w:tcBorders>
                  <w:noWrap w:val="0"/>
                  <w:vAlign w:val="center"/>
                </w:tcPr>
                <w:p w14:paraId="5A91A4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continue"/>
                  <w:tcBorders>
                    <w:tl2br w:val="nil"/>
                    <w:tr2bl w:val="nil"/>
                  </w:tcBorders>
                  <w:noWrap w:val="0"/>
                  <w:vAlign w:val="center"/>
                </w:tcPr>
                <w:p w14:paraId="4F7C64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3325" w:type="pct"/>
                  <w:tcBorders>
                    <w:tl2br w:val="nil"/>
                    <w:tr2bl w:val="nil"/>
                  </w:tcBorders>
                  <w:noWrap w:val="0"/>
                  <w:vAlign w:val="center"/>
                </w:tcPr>
                <w:p w14:paraId="1B62AD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冷冻装置</w:t>
                  </w:r>
                </w:p>
              </w:tc>
              <w:tc>
                <w:tcPr>
                  <w:tcW w:w="727" w:type="pct"/>
                  <w:tcBorders>
                    <w:tl2br w:val="nil"/>
                    <w:tr2bl w:val="nil"/>
                  </w:tcBorders>
                  <w:noWrap w:val="0"/>
                  <w:vAlign w:val="center"/>
                </w:tcPr>
                <w:p w14:paraId="4366C7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r>
            <w:tr w14:paraId="45A67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314" w:type="pct"/>
                  <w:vMerge w:val="continue"/>
                  <w:tcBorders>
                    <w:tl2br w:val="nil"/>
                    <w:tr2bl w:val="nil"/>
                  </w:tcBorders>
                  <w:noWrap w:val="0"/>
                  <w:vAlign w:val="center"/>
                </w:tcPr>
                <w:p w14:paraId="39D8A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continue"/>
                  <w:tcBorders>
                    <w:tl2br w:val="nil"/>
                    <w:tr2bl w:val="nil"/>
                  </w:tcBorders>
                  <w:noWrap w:val="0"/>
                  <w:vAlign w:val="center"/>
                </w:tcPr>
                <w:p w14:paraId="14CAE1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3325" w:type="pct"/>
                  <w:tcBorders>
                    <w:tl2br w:val="nil"/>
                    <w:tr2bl w:val="nil"/>
                  </w:tcBorders>
                  <w:noWrap w:val="0"/>
                  <w:vAlign w:val="center"/>
                </w:tcPr>
                <w:p w14:paraId="3AAF93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原料防火布苫盖</w:t>
                  </w:r>
                </w:p>
              </w:tc>
              <w:tc>
                <w:tcPr>
                  <w:tcW w:w="727" w:type="pct"/>
                  <w:tcBorders>
                    <w:tl2br w:val="nil"/>
                    <w:tr2bl w:val="nil"/>
                  </w:tcBorders>
                  <w:noWrap w:val="0"/>
                  <w:vAlign w:val="center"/>
                </w:tcPr>
                <w:p w14:paraId="56B071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r>
            <w:tr w14:paraId="0C3B2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vMerge w:val="continue"/>
                  <w:tcBorders>
                    <w:tl2br w:val="nil"/>
                    <w:tr2bl w:val="nil"/>
                  </w:tcBorders>
                  <w:noWrap w:val="0"/>
                  <w:vAlign w:val="center"/>
                </w:tcPr>
                <w:p w14:paraId="440479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tcBorders>
                    <w:tl2br w:val="nil"/>
                    <w:tr2bl w:val="nil"/>
                  </w:tcBorders>
                  <w:noWrap w:val="0"/>
                  <w:vAlign w:val="center"/>
                </w:tcPr>
                <w:p w14:paraId="0A98F8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废水治理</w:t>
                  </w:r>
                </w:p>
              </w:tc>
              <w:tc>
                <w:tcPr>
                  <w:tcW w:w="3325" w:type="pct"/>
                  <w:tcBorders>
                    <w:tl2br w:val="nil"/>
                    <w:tr2bl w:val="nil"/>
                  </w:tcBorders>
                  <w:noWrap w:val="0"/>
                  <w:vAlign w:val="center"/>
                </w:tcPr>
                <w:p w14:paraId="57E348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污水处理站，处理工艺为采用“</w:t>
                  </w:r>
                  <w:r>
                    <w:rPr>
                      <w:rFonts w:hint="eastAsia" w:cs="Times New Roman"/>
                      <w:color w:val="auto"/>
                      <w:sz w:val="21"/>
                      <w:szCs w:val="21"/>
                      <w:highlight w:val="none"/>
                      <w:shd w:val="clear" w:color="auto" w:fill="auto"/>
                      <w:lang w:val="en-US" w:eastAsia="zh-CN"/>
                    </w:rPr>
                    <w:t>隔油+二级气浮+SBR+厌氧工艺</w:t>
                  </w:r>
                  <w:r>
                    <w:rPr>
                      <w:rFonts w:hint="default" w:ascii="Times New Roman" w:hAnsi="Times New Roman" w:eastAsia="宋体" w:cs="Times New Roman"/>
                      <w:color w:val="auto"/>
                      <w:sz w:val="21"/>
                      <w:szCs w:val="21"/>
                      <w:highlight w:val="none"/>
                      <w:shd w:val="clear" w:color="auto" w:fill="auto"/>
                      <w:lang w:val="en-US" w:eastAsia="zh-CN"/>
                    </w:rPr>
                    <w:t>”</w:t>
                  </w:r>
                </w:p>
              </w:tc>
              <w:tc>
                <w:tcPr>
                  <w:tcW w:w="727" w:type="pct"/>
                  <w:tcBorders>
                    <w:tl2br w:val="nil"/>
                    <w:tr2bl w:val="nil"/>
                  </w:tcBorders>
                  <w:noWrap w:val="0"/>
                  <w:vAlign w:val="center"/>
                </w:tcPr>
                <w:p w14:paraId="515C75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43.8</w:t>
                  </w:r>
                </w:p>
              </w:tc>
            </w:tr>
            <w:tr w14:paraId="15FDE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314" w:type="pct"/>
                  <w:vMerge w:val="continue"/>
                  <w:tcBorders>
                    <w:tl2br w:val="nil"/>
                    <w:tr2bl w:val="nil"/>
                  </w:tcBorders>
                  <w:noWrap w:val="0"/>
                  <w:vAlign w:val="center"/>
                </w:tcPr>
                <w:p w14:paraId="691B49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tcBorders>
                    <w:tl2br w:val="nil"/>
                    <w:tr2bl w:val="nil"/>
                  </w:tcBorders>
                  <w:noWrap w:val="0"/>
                  <w:vAlign w:val="center"/>
                </w:tcPr>
                <w:p w14:paraId="2E1884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固废治理</w:t>
                  </w:r>
                </w:p>
              </w:tc>
              <w:tc>
                <w:tcPr>
                  <w:tcW w:w="3325" w:type="pct"/>
                  <w:tcBorders>
                    <w:tl2br w:val="nil"/>
                    <w:tr2bl w:val="nil"/>
                  </w:tcBorders>
                  <w:noWrap w:val="0"/>
                  <w:vAlign w:val="center"/>
                </w:tcPr>
                <w:p w14:paraId="20E17F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生活垃圾收集箱、</w:t>
                  </w:r>
                  <w:r>
                    <w:rPr>
                      <w:rFonts w:hint="eastAsia" w:cs="Times New Roman"/>
                      <w:color w:val="auto"/>
                      <w:sz w:val="21"/>
                      <w:szCs w:val="21"/>
                      <w:highlight w:val="none"/>
                      <w:shd w:val="clear" w:color="auto" w:fill="auto"/>
                      <w:lang w:val="en-US" w:eastAsia="zh-CN"/>
                    </w:rPr>
                    <w:t>危险废物贮存库</w:t>
                  </w:r>
                  <w:r>
                    <w:rPr>
                      <w:rFonts w:hint="eastAsia" w:ascii="Times New Roman" w:hAnsi="Times New Roman" w:eastAsia="宋体" w:cs="Times New Roman"/>
                      <w:color w:val="auto"/>
                      <w:sz w:val="21"/>
                      <w:szCs w:val="21"/>
                      <w:highlight w:val="none"/>
                      <w:shd w:val="clear" w:color="auto" w:fill="auto"/>
                      <w:lang w:val="en-US" w:eastAsia="zh-CN"/>
                    </w:rPr>
                    <w:t>废机油</w:t>
                  </w:r>
                  <w:r>
                    <w:rPr>
                      <w:rFonts w:hint="default" w:ascii="Times New Roman" w:hAnsi="Times New Roman" w:eastAsia="宋体" w:cs="Times New Roman"/>
                      <w:color w:val="auto"/>
                      <w:sz w:val="21"/>
                      <w:szCs w:val="21"/>
                      <w:highlight w:val="none"/>
                      <w:shd w:val="clear" w:color="auto" w:fill="auto"/>
                      <w:lang w:val="en-US" w:eastAsia="zh-CN"/>
                    </w:rPr>
                    <w:t>清理及危废处理委托费用等</w:t>
                  </w:r>
                </w:p>
              </w:tc>
              <w:tc>
                <w:tcPr>
                  <w:tcW w:w="727" w:type="pct"/>
                  <w:tcBorders>
                    <w:tl2br w:val="nil"/>
                    <w:tr2bl w:val="nil"/>
                  </w:tcBorders>
                  <w:noWrap w:val="0"/>
                  <w:vAlign w:val="center"/>
                </w:tcPr>
                <w:p w14:paraId="753B91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w:t>
                  </w:r>
                </w:p>
              </w:tc>
            </w:tr>
            <w:tr w14:paraId="7672A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vMerge w:val="continue"/>
                  <w:tcBorders>
                    <w:tl2br w:val="nil"/>
                    <w:tr2bl w:val="nil"/>
                  </w:tcBorders>
                  <w:noWrap w:val="0"/>
                  <w:vAlign w:val="center"/>
                </w:tcPr>
                <w:p w14:paraId="18D5D1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tcBorders>
                    <w:tl2br w:val="nil"/>
                    <w:tr2bl w:val="nil"/>
                  </w:tcBorders>
                  <w:noWrap w:val="0"/>
                  <w:vAlign w:val="center"/>
                </w:tcPr>
                <w:p w14:paraId="00BDEF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噪声治理</w:t>
                  </w:r>
                </w:p>
              </w:tc>
              <w:tc>
                <w:tcPr>
                  <w:tcW w:w="3325" w:type="pct"/>
                  <w:tcBorders>
                    <w:tl2br w:val="nil"/>
                    <w:tr2bl w:val="nil"/>
                  </w:tcBorders>
                  <w:noWrap w:val="0"/>
                  <w:vAlign w:val="center"/>
                </w:tcPr>
                <w:p w14:paraId="1B10AA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设备隔声减振设施、设置禁鸣标志、设置减速带</w:t>
                  </w:r>
                </w:p>
              </w:tc>
              <w:tc>
                <w:tcPr>
                  <w:tcW w:w="727" w:type="pct"/>
                  <w:tcBorders>
                    <w:tl2br w:val="nil"/>
                    <w:tr2bl w:val="nil"/>
                  </w:tcBorders>
                  <w:noWrap w:val="0"/>
                  <w:vAlign w:val="center"/>
                </w:tcPr>
                <w:p w14:paraId="1683CB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0.8</w:t>
                  </w:r>
                </w:p>
              </w:tc>
            </w:tr>
            <w:tr w14:paraId="37F2E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vMerge w:val="continue"/>
                  <w:tcBorders>
                    <w:tl2br w:val="nil"/>
                    <w:tr2bl w:val="nil"/>
                  </w:tcBorders>
                  <w:noWrap w:val="0"/>
                  <w:vAlign w:val="center"/>
                </w:tcPr>
                <w:p w14:paraId="0D0D99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tcBorders>
                    <w:tl2br w:val="nil"/>
                    <w:tr2bl w:val="nil"/>
                  </w:tcBorders>
                  <w:noWrap w:val="0"/>
                  <w:vAlign w:val="center"/>
                </w:tcPr>
                <w:p w14:paraId="3ABF4A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地下水污染防治</w:t>
                  </w:r>
                </w:p>
              </w:tc>
              <w:tc>
                <w:tcPr>
                  <w:tcW w:w="3325" w:type="pct"/>
                  <w:tcBorders>
                    <w:tl2br w:val="nil"/>
                    <w:tr2bl w:val="nil"/>
                  </w:tcBorders>
                  <w:noWrap w:val="0"/>
                  <w:vAlign w:val="center"/>
                </w:tcPr>
                <w:p w14:paraId="1B4AC6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重点防渗区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管道须进行防渗、防腐处理，</w:t>
                  </w:r>
                  <w:r>
                    <w:rPr>
                      <w:rFonts w:hint="eastAsia"/>
                      <w:color w:val="auto"/>
                      <w:sz w:val="21"/>
                      <w:szCs w:val="21"/>
                      <w:highlight w:val="none"/>
                      <w:lang w:eastAsia="zh-CN"/>
                    </w:rPr>
                    <w:t>应确保</w:t>
                  </w:r>
                  <w:r>
                    <w:rPr>
                      <w:rFonts w:hint="eastAsia"/>
                      <w:color w:val="auto"/>
                      <w:sz w:val="21"/>
                      <w:szCs w:val="21"/>
                      <w:highlight w:val="none"/>
                    </w:rPr>
                    <w:t>等效黏土防渗层</w:t>
                  </w:r>
                  <w:r>
                    <w:rPr>
                      <w:rFonts w:hint="eastAsia"/>
                      <w:color w:val="auto"/>
                      <w:sz w:val="21"/>
                      <w:szCs w:val="21"/>
                      <w:highlight w:val="none"/>
                      <w:lang w:eastAsia="zh-CN"/>
                    </w:rPr>
                    <w:t>不低于</w:t>
                  </w:r>
                  <w:r>
                    <w:rPr>
                      <w:rFonts w:hint="default" w:ascii="Times New Roman" w:hAnsi="Times New Roman" w:eastAsia="宋体" w:cs="Times New Roman"/>
                      <w:color w:val="auto"/>
                      <w:kern w:val="0"/>
                      <w:sz w:val="21"/>
                      <w:szCs w:val="21"/>
                      <w:highlight w:val="none"/>
                      <w:shd w:val="clear" w:color="auto" w:fill="auto"/>
                      <w:lang w:val="en-US" w:eastAsia="zh-CN" w:bidi="ar"/>
                    </w:rPr>
                    <w:t>6.0m厚</w:t>
                  </w:r>
                  <w:r>
                    <w:rPr>
                      <w:rFonts w:hint="default" w:ascii="Times New Roman" w:hAnsi="Times New Roman" w:eastAsia="宋体" w:cs="Times New Roman"/>
                      <w:b w:val="0"/>
                      <w:bCs w:val="0"/>
                      <w:color w:val="auto"/>
                      <w:sz w:val="21"/>
                      <w:szCs w:val="21"/>
                      <w:highlight w:val="none"/>
                      <w:lang w:val="en-US" w:eastAsia="zh-CN"/>
                    </w:rPr>
                    <w:t>，渗透系数小于1.0×10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en-US" w:eastAsia="zh-CN"/>
                    </w:rPr>
                    <w:t>cm/s</w:t>
                  </w:r>
                  <w:r>
                    <w:rPr>
                      <w:rFonts w:hint="eastAsia" w:ascii="Times New Roman" w:hAnsi="Times New Roman" w:eastAsia="宋体" w:cs="Times New Roman"/>
                      <w:b w:val="0"/>
                      <w:bCs w:val="0"/>
                      <w:color w:val="auto"/>
                      <w:sz w:val="21"/>
                      <w:szCs w:val="21"/>
                      <w:highlight w:val="none"/>
                      <w:lang w:val="en-US" w:eastAsia="zh-CN"/>
                    </w:rPr>
                    <w:t>；</w:t>
                  </w:r>
                </w:p>
                <w:p w14:paraId="71C7459B">
                  <w:pPr>
                    <w:pStyle w:val="20"/>
                    <w:keepNext w:val="0"/>
                    <w:keepLines w:val="0"/>
                    <w:pageBreakBefore w:val="0"/>
                    <w:widowControl w:val="0"/>
                    <w:tabs>
                      <w:tab w:val="right" w:leader="middleDot" w:pos="7938"/>
                    </w:tabs>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一般防渗区</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地面建议采取黏土铺底，再在上层铺10~15cm的水泥进行硬化，</w:t>
                  </w:r>
                  <w:r>
                    <w:rPr>
                      <w:rFonts w:hint="eastAsia" w:ascii="Times New Roman" w:hAnsi="Times New Roman" w:eastAsia="宋体" w:cs="Times New Roman"/>
                      <w:b w:val="0"/>
                      <w:bCs w:val="0"/>
                      <w:color w:val="auto"/>
                      <w:sz w:val="21"/>
                      <w:szCs w:val="21"/>
                      <w:highlight w:val="none"/>
                      <w:lang w:val="en-US" w:eastAsia="zh-CN"/>
                    </w:rPr>
                    <w:t>等效黏土防渗层</w:t>
                  </w:r>
                  <w:r>
                    <w:rPr>
                      <w:rFonts w:hint="default" w:ascii="Times New Roman" w:hAnsi="Times New Roman" w:eastAsia="宋体" w:cs="Times New Roman"/>
                      <w:b w:val="0"/>
                      <w:bCs w:val="0"/>
                      <w:color w:val="auto"/>
                      <w:sz w:val="21"/>
                      <w:szCs w:val="21"/>
                      <w:highlight w:val="none"/>
                      <w:lang w:val="en-US" w:eastAsia="zh-CN"/>
                    </w:rPr>
                    <w:t>不应低于1.5m厚，渗透系数为1×10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en-US" w:eastAsia="zh-CN"/>
                    </w:rPr>
                    <w:t>cm/s的黏土层的防渗性能；</w:t>
                  </w:r>
                </w:p>
                <w:p w14:paraId="308E13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简单防渗区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采用水泥进行地面硬化</w:t>
                  </w:r>
                </w:p>
              </w:tc>
              <w:tc>
                <w:tcPr>
                  <w:tcW w:w="727" w:type="pct"/>
                  <w:tcBorders>
                    <w:tl2br w:val="nil"/>
                    <w:tr2bl w:val="nil"/>
                  </w:tcBorders>
                  <w:noWrap w:val="0"/>
                  <w:vAlign w:val="center"/>
                </w:tcPr>
                <w:p w14:paraId="676D70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shd w:val="clear" w:color="auto" w:fill="auto"/>
                      <w:lang w:val="en-US"/>
                    </w:rPr>
                  </w:pPr>
                  <w:r>
                    <w:rPr>
                      <w:rFonts w:hint="eastAsia" w:cs="Times New Roman"/>
                      <w:color w:val="auto"/>
                      <w:sz w:val="21"/>
                      <w:szCs w:val="21"/>
                      <w:highlight w:val="none"/>
                      <w:shd w:val="clear" w:color="auto" w:fill="auto"/>
                      <w:lang w:val="en-US" w:eastAsia="zh-CN"/>
                    </w:rPr>
                    <w:t>25.0</w:t>
                  </w:r>
                </w:p>
              </w:tc>
            </w:tr>
            <w:tr w14:paraId="3CB66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8" w:hRule="atLeast"/>
                <w:jc w:val="center"/>
              </w:trPr>
              <w:tc>
                <w:tcPr>
                  <w:tcW w:w="314" w:type="pct"/>
                  <w:vMerge w:val="continue"/>
                  <w:tcBorders>
                    <w:tl2br w:val="nil"/>
                    <w:tr2bl w:val="nil"/>
                  </w:tcBorders>
                  <w:noWrap w:val="0"/>
                  <w:vAlign w:val="center"/>
                </w:tcPr>
                <w:p w14:paraId="14C9B9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restart"/>
                  <w:tcBorders>
                    <w:tl2br w:val="nil"/>
                    <w:tr2bl w:val="nil"/>
                  </w:tcBorders>
                  <w:noWrap w:val="0"/>
                  <w:vAlign w:val="center"/>
                </w:tcPr>
                <w:p w14:paraId="5974A9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环境风险防范措施</w:t>
                  </w:r>
                </w:p>
              </w:tc>
              <w:tc>
                <w:tcPr>
                  <w:tcW w:w="3325" w:type="pct"/>
                  <w:tcBorders>
                    <w:tl2br w:val="nil"/>
                    <w:tr2bl w:val="nil"/>
                  </w:tcBorders>
                  <w:noWrap w:val="0"/>
                  <w:vAlign w:val="center"/>
                </w:tcPr>
                <w:p w14:paraId="0454E5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在</w:t>
                  </w:r>
                  <w:r>
                    <w:rPr>
                      <w:rFonts w:hint="eastAsia" w:ascii="Times New Roman" w:hAnsi="Times New Roman" w:eastAsia="宋体" w:cs="Times New Roman"/>
                      <w:color w:val="auto"/>
                      <w:sz w:val="21"/>
                      <w:szCs w:val="21"/>
                      <w:highlight w:val="none"/>
                      <w:shd w:val="clear" w:color="auto" w:fill="auto"/>
                      <w:lang w:val="en-US" w:eastAsia="zh-CN"/>
                    </w:rPr>
                    <w:t>6#号溶剂油库</w:t>
                  </w:r>
                  <w:r>
                    <w:rPr>
                      <w:rFonts w:hint="default" w:ascii="Times New Roman" w:hAnsi="Times New Roman" w:eastAsia="宋体" w:cs="Times New Roman"/>
                      <w:color w:val="auto"/>
                      <w:sz w:val="21"/>
                      <w:szCs w:val="21"/>
                      <w:highlight w:val="none"/>
                      <w:shd w:val="clear" w:color="auto" w:fill="auto"/>
                      <w:lang w:val="en-US" w:eastAsia="zh-CN"/>
                    </w:rPr>
                    <w:t>设置火灾自动报警系统，泄漏检测报警装置，储油区须设有检查孔或检查通道；现场配备手推式、手提式泡沫灭火器、个体救护装备以及泄漏事故堵漏等措施</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6#号溶剂油库全密闭</w:t>
                  </w:r>
                </w:p>
              </w:tc>
              <w:tc>
                <w:tcPr>
                  <w:tcW w:w="727" w:type="pct"/>
                  <w:tcBorders>
                    <w:tl2br w:val="nil"/>
                    <w:tr2bl w:val="nil"/>
                  </w:tcBorders>
                  <w:noWrap w:val="0"/>
                  <w:vAlign w:val="center"/>
                </w:tcPr>
                <w:p w14:paraId="295F54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val="en-US" w:eastAsia="zh-CN"/>
                    </w:rPr>
                    <w:t>5.0</w:t>
                  </w:r>
                </w:p>
              </w:tc>
            </w:tr>
            <w:tr w14:paraId="5DFE0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14" w:type="pct"/>
                  <w:vMerge w:val="continue"/>
                  <w:tcBorders>
                    <w:tl2br w:val="nil"/>
                    <w:tr2bl w:val="nil"/>
                  </w:tcBorders>
                  <w:noWrap w:val="0"/>
                  <w:vAlign w:val="center"/>
                </w:tcPr>
                <w:p w14:paraId="2A2D03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restart"/>
                  <w:tcBorders>
                    <w:tl2br w:val="nil"/>
                    <w:tr2bl w:val="nil"/>
                  </w:tcBorders>
                  <w:noWrap w:val="0"/>
                  <w:vAlign w:val="center"/>
                </w:tcPr>
                <w:p w14:paraId="7D049C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其他环境管理要求</w:t>
                  </w:r>
                </w:p>
              </w:tc>
              <w:tc>
                <w:tcPr>
                  <w:tcW w:w="3325" w:type="pct"/>
                  <w:tcBorders>
                    <w:tl2br w:val="nil"/>
                    <w:tr2bl w:val="nil"/>
                  </w:tcBorders>
                  <w:noWrap w:val="0"/>
                  <w:vAlign w:val="center"/>
                </w:tcPr>
                <w:p w14:paraId="0EDCBB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在线设备安装及后续维护</w:t>
                  </w:r>
                </w:p>
              </w:tc>
              <w:tc>
                <w:tcPr>
                  <w:tcW w:w="727" w:type="pct"/>
                  <w:tcBorders>
                    <w:tl2br w:val="nil"/>
                    <w:tr2bl w:val="nil"/>
                  </w:tcBorders>
                  <w:noWrap w:val="0"/>
                  <w:vAlign w:val="center"/>
                </w:tcPr>
                <w:p w14:paraId="3D62CA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6</w:t>
                  </w:r>
                  <w:r>
                    <w:rPr>
                      <w:rFonts w:hint="eastAsia" w:ascii="Times New Roman" w:hAnsi="Times New Roman" w:eastAsia="宋体" w:cs="Times New Roman"/>
                      <w:b w:val="0"/>
                      <w:bCs w:val="0"/>
                      <w:color w:val="auto"/>
                      <w:sz w:val="21"/>
                      <w:szCs w:val="21"/>
                      <w:highlight w:val="none"/>
                      <w:shd w:val="clear" w:color="auto" w:fill="auto"/>
                      <w:lang w:val="en-US" w:eastAsia="zh-CN"/>
                    </w:rPr>
                    <w:t>.0</w:t>
                  </w:r>
                </w:p>
              </w:tc>
            </w:tr>
            <w:tr w14:paraId="00A2B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vMerge w:val="continue"/>
                  <w:tcBorders>
                    <w:tl2br w:val="nil"/>
                    <w:tr2bl w:val="nil"/>
                  </w:tcBorders>
                  <w:noWrap w:val="0"/>
                  <w:vAlign w:val="center"/>
                </w:tcPr>
                <w:p w14:paraId="69A6A7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continue"/>
                  <w:tcBorders>
                    <w:tl2br w:val="nil"/>
                    <w:tr2bl w:val="nil"/>
                  </w:tcBorders>
                  <w:noWrap w:val="0"/>
                  <w:vAlign w:val="center"/>
                </w:tcPr>
                <w:p w14:paraId="75B32B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3325" w:type="pct"/>
                  <w:tcBorders>
                    <w:tl2br w:val="nil"/>
                    <w:tr2bl w:val="nil"/>
                  </w:tcBorders>
                  <w:noWrap w:val="0"/>
                  <w:vAlign w:val="center"/>
                </w:tcPr>
                <w:p w14:paraId="5A9DD6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定期监测计划</w:t>
                  </w:r>
                </w:p>
              </w:tc>
              <w:tc>
                <w:tcPr>
                  <w:tcW w:w="727" w:type="pct"/>
                  <w:tcBorders>
                    <w:tl2br w:val="nil"/>
                    <w:tr2bl w:val="nil"/>
                  </w:tcBorders>
                  <w:noWrap w:val="0"/>
                  <w:vAlign w:val="center"/>
                </w:tcPr>
                <w:p w14:paraId="65EDEC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3</w:t>
                  </w:r>
                  <w:r>
                    <w:rPr>
                      <w:rFonts w:hint="eastAsia" w:ascii="Times New Roman" w:hAnsi="Times New Roman" w:eastAsia="宋体" w:cs="Times New Roman"/>
                      <w:b w:val="0"/>
                      <w:bCs w:val="0"/>
                      <w:color w:val="auto"/>
                      <w:sz w:val="21"/>
                      <w:szCs w:val="21"/>
                      <w:highlight w:val="none"/>
                      <w:shd w:val="clear" w:color="auto" w:fill="auto"/>
                      <w:lang w:val="en-US" w:eastAsia="zh-CN"/>
                    </w:rPr>
                    <w:t>.0</w:t>
                  </w:r>
                </w:p>
              </w:tc>
            </w:tr>
            <w:tr w14:paraId="11BCA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vMerge w:val="continue"/>
                  <w:tcBorders>
                    <w:tl2br w:val="nil"/>
                    <w:tr2bl w:val="nil"/>
                  </w:tcBorders>
                  <w:noWrap w:val="0"/>
                  <w:vAlign w:val="center"/>
                </w:tcPr>
                <w:p w14:paraId="7FFAE8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2" w:type="pct"/>
                  <w:vMerge w:val="continue"/>
                  <w:tcBorders>
                    <w:tl2br w:val="nil"/>
                    <w:tr2bl w:val="nil"/>
                  </w:tcBorders>
                  <w:noWrap w:val="0"/>
                  <w:vAlign w:val="center"/>
                </w:tcPr>
                <w:p w14:paraId="059461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3325" w:type="pct"/>
                  <w:tcBorders>
                    <w:tl2br w:val="nil"/>
                    <w:tr2bl w:val="nil"/>
                  </w:tcBorders>
                  <w:noWrap w:val="0"/>
                  <w:vAlign w:val="center"/>
                </w:tcPr>
                <w:p w14:paraId="44258F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员工环保培训</w:t>
                  </w:r>
                </w:p>
              </w:tc>
              <w:tc>
                <w:tcPr>
                  <w:tcW w:w="727" w:type="pct"/>
                  <w:tcBorders>
                    <w:tl2br w:val="nil"/>
                    <w:tr2bl w:val="nil"/>
                  </w:tcBorders>
                  <w:noWrap w:val="0"/>
                  <w:vAlign w:val="center"/>
                </w:tcPr>
                <w:p w14:paraId="307880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2</w:t>
                  </w:r>
                  <w:r>
                    <w:rPr>
                      <w:rFonts w:hint="eastAsia" w:ascii="Times New Roman" w:hAnsi="Times New Roman" w:eastAsia="宋体" w:cs="Times New Roman"/>
                      <w:b w:val="0"/>
                      <w:bCs w:val="0"/>
                      <w:color w:val="auto"/>
                      <w:sz w:val="21"/>
                      <w:szCs w:val="21"/>
                      <w:highlight w:val="none"/>
                      <w:shd w:val="clear" w:color="auto" w:fill="auto"/>
                      <w:lang w:val="en-US" w:eastAsia="zh-CN"/>
                    </w:rPr>
                    <w:t>.0</w:t>
                  </w:r>
                </w:p>
              </w:tc>
            </w:tr>
            <w:tr w14:paraId="73342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2" w:type="pct"/>
                  <w:gridSpan w:val="3"/>
                  <w:tcBorders>
                    <w:tl2br w:val="nil"/>
                    <w:tr2bl w:val="nil"/>
                  </w:tcBorders>
                  <w:noWrap w:val="0"/>
                  <w:vAlign w:val="center"/>
                </w:tcPr>
                <w:p w14:paraId="18E5AA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shd w:val="clear" w:color="auto" w:fill="auto"/>
                    </w:rPr>
                  </w:pPr>
                  <w:r>
                    <w:rPr>
                      <w:rFonts w:hint="default" w:ascii="Times New Roman" w:hAnsi="Times New Roman" w:eastAsia="宋体" w:cs="Times New Roman"/>
                      <w:color w:val="auto"/>
                      <w:sz w:val="21"/>
                      <w:szCs w:val="21"/>
                      <w:highlight w:val="none"/>
                      <w:shd w:val="clear" w:color="auto" w:fill="auto"/>
                    </w:rPr>
                    <w:t>合计</w:t>
                  </w:r>
                </w:p>
              </w:tc>
              <w:tc>
                <w:tcPr>
                  <w:tcW w:w="727" w:type="pct"/>
                  <w:tcBorders>
                    <w:tl2br w:val="nil"/>
                    <w:tr2bl w:val="nil"/>
                  </w:tcBorders>
                  <w:noWrap w:val="0"/>
                  <w:vAlign w:val="center"/>
                </w:tcPr>
                <w:p w14:paraId="386FC8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156</w:t>
                  </w:r>
                </w:p>
              </w:tc>
            </w:tr>
          </w:tbl>
          <w:p w14:paraId="07DC777F">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eastAsia" w:ascii="宋体" w:hAnsi="宋体" w:cs="宋体"/>
                <w:sz w:val="24"/>
                <w:szCs w:val="24"/>
              </w:rPr>
            </w:pPr>
          </w:p>
        </w:tc>
      </w:tr>
    </w:tbl>
    <w:p w14:paraId="37D477ED">
      <w:pPr>
        <w:bidi w:val="0"/>
        <w:rPr>
          <w:rFonts w:hint="eastAsia" w:eastAsia="宋体"/>
          <w:lang w:val="en-US" w:eastAsia="zh-CN"/>
        </w:rPr>
      </w:pPr>
      <w:r>
        <w:rPr>
          <w:rFonts w:hint="eastAsia"/>
          <w:lang w:val="en-US" w:eastAsia="zh-CN"/>
        </w:rPr>
        <w:t xml:space="preserve"> </w:t>
      </w:r>
    </w:p>
    <w:p w14:paraId="244CBD11">
      <w:pPr>
        <w:rPr>
          <w:rFonts w:hint="eastAsia" w:ascii="黑体" w:hAnsi="黑体" w:eastAsia="黑体"/>
          <w:snapToGrid w:val="0"/>
          <w:sz w:val="30"/>
          <w:szCs w:val="30"/>
        </w:rPr>
      </w:pPr>
      <w:r>
        <w:rPr>
          <w:rFonts w:hint="eastAsia" w:ascii="黑体" w:hAnsi="黑体" w:eastAsia="黑体"/>
          <w:snapToGrid w:val="0"/>
          <w:sz w:val="30"/>
          <w:szCs w:val="30"/>
        </w:rPr>
        <w:br w:type="page"/>
      </w:r>
    </w:p>
    <w:p w14:paraId="2CF0BF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BC33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center"/>
          </w:tcPr>
          <w:p w14:paraId="62F7FCD5">
            <w:pPr>
              <w:spacing w:line="360" w:lineRule="auto"/>
              <w:ind w:firstLine="480" w:firstLineChars="200"/>
              <w:rPr>
                <w:rFonts w:ascii="宋体" w:cs="宋体"/>
                <w:sz w:val="24"/>
              </w:rPr>
            </w:pPr>
            <w:r>
              <w:rPr>
                <w:rFonts w:hint="eastAsia" w:ascii="Times New Roman" w:hAnsi="Times New Roman" w:eastAsia="宋体" w:cs="Times New Roman"/>
                <w:color w:val="000000"/>
                <w:sz w:val="24"/>
                <w:szCs w:val="24"/>
                <w:lang w:val="en-US" w:eastAsia="zh-CN" w:bidi="ar-SA"/>
              </w:rPr>
              <w:t>本</w:t>
            </w:r>
            <w:r>
              <w:rPr>
                <w:rFonts w:hint="eastAsia" w:cs="Times New Roman"/>
                <w:color w:val="000000"/>
                <w:sz w:val="24"/>
                <w:szCs w:val="24"/>
                <w:lang w:val="en-US" w:eastAsia="zh-CN" w:bidi="ar-SA"/>
              </w:rPr>
              <w:t>项目</w:t>
            </w:r>
            <w:r>
              <w:rPr>
                <w:rFonts w:hint="eastAsia" w:ascii="Times New Roman" w:hAnsi="Times New Roman" w:eastAsia="宋体" w:cs="Times New Roman"/>
                <w:color w:val="000000"/>
                <w:sz w:val="24"/>
                <w:szCs w:val="24"/>
                <w:lang w:val="en-US" w:eastAsia="zh-CN" w:bidi="ar-SA"/>
              </w:rPr>
              <w:t>建设符合国家产业政策，并符合园区规划，在严格采取环评报告规定的环境保护对策后，各污染源所排放污染物可以达标排放，对环境影响较小。只要在企业的开发建设和日常运转管理中，切实落实好本评价提出的有关环境保护的对策和措施，那么从环境保护的角度而言，该项目是可行的。</w:t>
            </w:r>
          </w:p>
        </w:tc>
      </w:tr>
    </w:tbl>
    <w:p w14:paraId="1917E77A">
      <w:p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E2B27D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ascii="黑体" w:hAnsi="黑体" w:eastAsia="黑体"/>
          <w:snapToGrid w:val="0"/>
          <w:sz w:val="30"/>
          <w:szCs w:val="30"/>
        </w:rPr>
      </w:pPr>
      <w:r>
        <w:rPr>
          <w:rFonts w:hint="eastAsia" w:ascii="黑体" w:hAnsi="黑体" w:eastAsia="黑体"/>
          <w:snapToGrid w:val="0"/>
          <w:sz w:val="30"/>
          <w:szCs w:val="30"/>
        </w:rPr>
        <w:t>附表</w:t>
      </w:r>
    </w:p>
    <w:p w14:paraId="115F96B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26"/>
        <w:gridCol w:w="1392"/>
        <w:gridCol w:w="1276"/>
        <w:gridCol w:w="1701"/>
        <w:gridCol w:w="1559"/>
        <w:gridCol w:w="1761"/>
        <w:gridCol w:w="1457"/>
        <w:gridCol w:w="1328"/>
      </w:tblGrid>
      <w:tr w14:paraId="53B8C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A7FE47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14:paraId="66704FD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726" w:type="dxa"/>
            <w:noWrap w:val="0"/>
            <w:tcMar>
              <w:left w:w="28" w:type="dxa"/>
              <w:right w:w="28" w:type="dxa"/>
            </w:tcMar>
            <w:vAlign w:val="center"/>
          </w:tcPr>
          <w:p w14:paraId="5D085FF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392" w:type="dxa"/>
            <w:noWrap w:val="0"/>
            <w:tcMar>
              <w:left w:w="28" w:type="dxa"/>
              <w:right w:w="28" w:type="dxa"/>
            </w:tcMar>
            <w:vAlign w:val="center"/>
          </w:tcPr>
          <w:p w14:paraId="3F43DCD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46A1892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14:paraId="55A1DF1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79CD41B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14:paraId="4A10126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14:paraId="4404CA8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14:paraId="00218A9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14:paraId="1688A8B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14:paraId="61DD9B9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noWrap w:val="0"/>
            <w:tcMar>
              <w:left w:w="28" w:type="dxa"/>
              <w:right w:w="28" w:type="dxa"/>
            </w:tcMar>
            <w:vAlign w:val="center"/>
          </w:tcPr>
          <w:p w14:paraId="4F7FE02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14:paraId="55E8438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457" w:type="dxa"/>
            <w:noWrap w:val="0"/>
            <w:tcMar>
              <w:left w:w="28" w:type="dxa"/>
              <w:right w:w="28" w:type="dxa"/>
            </w:tcMar>
            <w:vAlign w:val="center"/>
          </w:tcPr>
          <w:p w14:paraId="201C68C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14:paraId="7E8B776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328" w:type="dxa"/>
            <w:noWrap w:val="0"/>
            <w:tcMar>
              <w:left w:w="28" w:type="dxa"/>
              <w:right w:w="28" w:type="dxa"/>
            </w:tcMar>
            <w:vAlign w:val="center"/>
          </w:tcPr>
          <w:p w14:paraId="4E1296D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14:paraId="023D9D0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14:paraId="7228A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588" w:type="dxa"/>
            <w:vMerge w:val="restart"/>
            <w:noWrap w:val="0"/>
            <w:vAlign w:val="center"/>
          </w:tcPr>
          <w:p w14:paraId="73D4297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1726" w:type="dxa"/>
            <w:noWrap w:val="0"/>
            <w:vAlign w:val="center"/>
          </w:tcPr>
          <w:p w14:paraId="1457E10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颗粒物</w:t>
            </w:r>
            <w:r>
              <w:rPr>
                <w:rFonts w:hint="eastAsia" w:ascii="Times New Roman" w:hAnsi="Times New Roman" w:cs="Times New Roman"/>
                <w:snapToGrid w:val="0"/>
                <w:color w:val="000000"/>
                <w:kern w:val="21"/>
                <w:szCs w:val="21"/>
                <w:highlight w:val="none"/>
                <w:lang w:val="en-US" w:eastAsia="zh-CN"/>
              </w:rPr>
              <w:t>（有组织）</w:t>
            </w:r>
          </w:p>
        </w:tc>
        <w:tc>
          <w:tcPr>
            <w:tcW w:w="1392" w:type="dxa"/>
            <w:noWrap w:val="0"/>
            <w:vAlign w:val="center"/>
          </w:tcPr>
          <w:p w14:paraId="44FC006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5431ADD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0925FBA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0887112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4.537</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66820B0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5A678BE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4.537</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6F7A94C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w:t>
            </w:r>
            <w:r>
              <w:rPr>
                <w:rFonts w:hint="eastAsia" w:ascii="Times New Roman" w:cs="Times New Roman"/>
                <w:snapToGrid w:val="0"/>
                <w:color w:val="000000"/>
                <w:kern w:val="21"/>
                <w:szCs w:val="21"/>
                <w:highlight w:val="none"/>
                <w:lang w:val="en-US" w:eastAsia="zh-CN"/>
              </w:rPr>
              <w:t>4.537</w:t>
            </w:r>
            <w:r>
              <w:rPr>
                <w:rFonts w:hint="eastAsia" w:ascii="Times New Roman" w:hAnsi="Times New Roman" w:cs="Times New Roman"/>
                <w:snapToGrid w:val="0"/>
                <w:color w:val="000000"/>
                <w:kern w:val="21"/>
                <w:szCs w:val="21"/>
                <w:highlight w:val="none"/>
                <w:lang w:val="en-US" w:eastAsia="zh-CN"/>
              </w:rPr>
              <w:t>t/a</w:t>
            </w:r>
          </w:p>
        </w:tc>
      </w:tr>
      <w:tr w14:paraId="3347F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88" w:type="dxa"/>
            <w:vMerge w:val="continue"/>
            <w:noWrap w:val="0"/>
            <w:vAlign w:val="center"/>
          </w:tcPr>
          <w:p w14:paraId="314080A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557094E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臭气浓度</w:t>
            </w:r>
          </w:p>
        </w:tc>
        <w:tc>
          <w:tcPr>
            <w:tcW w:w="1392" w:type="dxa"/>
            <w:noWrap w:val="0"/>
            <w:vAlign w:val="center"/>
          </w:tcPr>
          <w:p w14:paraId="5639210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000000"/>
                <w:kern w:val="21"/>
                <w:szCs w:val="21"/>
                <w:highlight w:val="none"/>
                <w:lang w:eastAsia="zh-CN"/>
              </w:rPr>
            </w:pPr>
          </w:p>
        </w:tc>
        <w:tc>
          <w:tcPr>
            <w:tcW w:w="1276" w:type="dxa"/>
            <w:noWrap w:val="0"/>
            <w:vAlign w:val="center"/>
          </w:tcPr>
          <w:p w14:paraId="36D5950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4D5A563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6DC5205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733（无量纲）</w:t>
            </w:r>
          </w:p>
        </w:tc>
        <w:tc>
          <w:tcPr>
            <w:tcW w:w="1761" w:type="dxa"/>
            <w:noWrap w:val="0"/>
            <w:vAlign w:val="center"/>
          </w:tcPr>
          <w:p w14:paraId="2960D75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4CC1487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733（无量纲）</w:t>
            </w:r>
          </w:p>
        </w:tc>
        <w:tc>
          <w:tcPr>
            <w:tcW w:w="1328" w:type="dxa"/>
            <w:noWrap w:val="0"/>
            <w:vAlign w:val="center"/>
          </w:tcPr>
          <w:p w14:paraId="365091D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w:t>
            </w:r>
            <w:r>
              <w:rPr>
                <w:rFonts w:hint="eastAsia" w:ascii="Times New Roman" w:cs="Times New Roman"/>
                <w:snapToGrid w:val="0"/>
                <w:color w:val="000000"/>
                <w:kern w:val="21"/>
                <w:szCs w:val="21"/>
                <w:highlight w:val="none"/>
                <w:lang w:val="en-US" w:eastAsia="zh-CN"/>
              </w:rPr>
              <w:t>733（无量纲）</w:t>
            </w:r>
          </w:p>
        </w:tc>
      </w:tr>
      <w:tr w14:paraId="15024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88" w:type="dxa"/>
            <w:vMerge w:val="continue"/>
            <w:noWrap w:val="0"/>
            <w:vAlign w:val="center"/>
          </w:tcPr>
          <w:p w14:paraId="1F99EA5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063E65B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颗粒物（无组织）</w:t>
            </w:r>
          </w:p>
        </w:tc>
        <w:tc>
          <w:tcPr>
            <w:tcW w:w="1392" w:type="dxa"/>
            <w:noWrap w:val="0"/>
            <w:vAlign w:val="center"/>
          </w:tcPr>
          <w:p w14:paraId="2BDF50F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000000"/>
                <w:kern w:val="21"/>
                <w:szCs w:val="21"/>
                <w:highlight w:val="none"/>
                <w:lang w:eastAsia="zh-CN"/>
              </w:rPr>
            </w:pPr>
          </w:p>
        </w:tc>
        <w:tc>
          <w:tcPr>
            <w:tcW w:w="1276" w:type="dxa"/>
            <w:noWrap w:val="0"/>
            <w:vAlign w:val="center"/>
          </w:tcPr>
          <w:p w14:paraId="3B6F92F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130D910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6E90780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0.96</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4541E9F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 xml:space="preserve"> </w:t>
            </w:r>
          </w:p>
        </w:tc>
        <w:tc>
          <w:tcPr>
            <w:tcW w:w="1457" w:type="dxa"/>
            <w:noWrap w:val="0"/>
            <w:vAlign w:val="center"/>
          </w:tcPr>
          <w:p w14:paraId="7AFCB58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0.96</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440169E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+0.96</w:t>
            </w:r>
            <w:r>
              <w:rPr>
                <w:rFonts w:hint="eastAsia" w:ascii="Times New Roman" w:hAnsi="Times New Roman" w:cs="Times New Roman"/>
                <w:snapToGrid w:val="0"/>
                <w:color w:val="000000"/>
                <w:kern w:val="21"/>
                <w:szCs w:val="21"/>
                <w:highlight w:val="none"/>
                <w:lang w:val="en-US" w:eastAsia="zh-CN"/>
              </w:rPr>
              <w:t>t/a</w:t>
            </w:r>
          </w:p>
        </w:tc>
      </w:tr>
      <w:tr w14:paraId="79FFE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88" w:type="dxa"/>
            <w:vMerge w:val="continue"/>
            <w:noWrap w:val="0"/>
            <w:vAlign w:val="center"/>
          </w:tcPr>
          <w:p w14:paraId="1605897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0BA4AC9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非甲烷总烃</w:t>
            </w:r>
          </w:p>
        </w:tc>
        <w:tc>
          <w:tcPr>
            <w:tcW w:w="1392" w:type="dxa"/>
            <w:noWrap w:val="0"/>
            <w:vAlign w:val="center"/>
          </w:tcPr>
          <w:p w14:paraId="487FA60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000000"/>
                <w:kern w:val="21"/>
                <w:szCs w:val="21"/>
                <w:highlight w:val="none"/>
                <w:lang w:eastAsia="zh-CN"/>
              </w:rPr>
            </w:pPr>
          </w:p>
        </w:tc>
        <w:tc>
          <w:tcPr>
            <w:tcW w:w="1276" w:type="dxa"/>
            <w:noWrap w:val="0"/>
            <w:vAlign w:val="center"/>
          </w:tcPr>
          <w:p w14:paraId="770AD74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361F708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6D33E24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0.867</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77E09E2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34260A7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0.867</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1A24099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+0.867</w:t>
            </w:r>
            <w:r>
              <w:rPr>
                <w:rFonts w:hint="eastAsia" w:ascii="Times New Roman" w:hAnsi="Times New Roman" w:cs="Times New Roman"/>
                <w:snapToGrid w:val="0"/>
                <w:color w:val="000000"/>
                <w:kern w:val="21"/>
                <w:szCs w:val="21"/>
                <w:highlight w:val="none"/>
                <w:lang w:val="en-US" w:eastAsia="zh-CN"/>
              </w:rPr>
              <w:t>t/a</w:t>
            </w:r>
          </w:p>
        </w:tc>
      </w:tr>
      <w:tr w14:paraId="1BD93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88" w:type="dxa"/>
            <w:vMerge w:val="continue"/>
            <w:noWrap w:val="0"/>
            <w:vAlign w:val="center"/>
          </w:tcPr>
          <w:p w14:paraId="2700C3B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135727B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氨</w:t>
            </w:r>
          </w:p>
        </w:tc>
        <w:tc>
          <w:tcPr>
            <w:tcW w:w="1392" w:type="dxa"/>
            <w:noWrap w:val="0"/>
            <w:vAlign w:val="center"/>
          </w:tcPr>
          <w:p w14:paraId="1FDE70B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7E20918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042EC88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4B9C3DD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0.316</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2B371ED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0D69C96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0.316</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6F7DCFD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w:t>
            </w:r>
            <w:r>
              <w:rPr>
                <w:rFonts w:hint="eastAsia" w:ascii="Times New Roman" w:cs="Times New Roman"/>
                <w:snapToGrid w:val="0"/>
                <w:color w:val="000000"/>
                <w:kern w:val="21"/>
                <w:szCs w:val="21"/>
                <w:highlight w:val="none"/>
                <w:lang w:val="en-US" w:eastAsia="zh-CN"/>
              </w:rPr>
              <w:t>0.316</w:t>
            </w:r>
            <w:r>
              <w:rPr>
                <w:rFonts w:hint="eastAsia" w:ascii="Times New Roman" w:hAnsi="Times New Roman" w:cs="Times New Roman"/>
                <w:snapToGrid w:val="0"/>
                <w:color w:val="000000"/>
                <w:kern w:val="21"/>
                <w:szCs w:val="21"/>
                <w:highlight w:val="none"/>
                <w:lang w:val="en-US" w:eastAsia="zh-CN"/>
              </w:rPr>
              <w:t>t/a</w:t>
            </w:r>
          </w:p>
        </w:tc>
      </w:tr>
      <w:tr w14:paraId="0E18C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88" w:type="dxa"/>
            <w:vMerge w:val="continue"/>
            <w:noWrap w:val="0"/>
            <w:vAlign w:val="center"/>
          </w:tcPr>
          <w:p w14:paraId="1210498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39DBD7B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硫化氢</w:t>
            </w:r>
          </w:p>
        </w:tc>
        <w:tc>
          <w:tcPr>
            <w:tcW w:w="1392" w:type="dxa"/>
            <w:noWrap w:val="0"/>
            <w:vAlign w:val="center"/>
          </w:tcPr>
          <w:p w14:paraId="5D0BACA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72BD679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5246267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087FDCB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0.0069</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4AF6C95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28819AD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0.0069</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7034C22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w:t>
            </w:r>
            <w:r>
              <w:rPr>
                <w:rFonts w:hint="eastAsia" w:ascii="Times New Roman" w:cs="Times New Roman"/>
                <w:snapToGrid w:val="0"/>
                <w:color w:val="000000"/>
                <w:kern w:val="21"/>
                <w:szCs w:val="21"/>
                <w:highlight w:val="none"/>
                <w:lang w:val="en-US" w:eastAsia="zh-CN"/>
              </w:rPr>
              <w:t>0.0069</w:t>
            </w:r>
            <w:r>
              <w:rPr>
                <w:rFonts w:hint="eastAsia" w:ascii="Times New Roman" w:hAnsi="Times New Roman" w:cs="Times New Roman"/>
                <w:snapToGrid w:val="0"/>
                <w:color w:val="000000"/>
                <w:kern w:val="21"/>
                <w:szCs w:val="21"/>
                <w:highlight w:val="none"/>
                <w:lang w:val="en-US" w:eastAsia="zh-CN"/>
              </w:rPr>
              <w:t>t/a</w:t>
            </w:r>
          </w:p>
        </w:tc>
      </w:tr>
      <w:tr w14:paraId="10596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88" w:type="dxa"/>
            <w:vMerge w:val="continue"/>
            <w:noWrap w:val="0"/>
            <w:vAlign w:val="center"/>
          </w:tcPr>
          <w:p w14:paraId="003145D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4C74B29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SO</w:t>
            </w:r>
            <w:r>
              <w:rPr>
                <w:rFonts w:hint="eastAsia" w:cs="Times New Roman"/>
                <w:highlight w:val="none"/>
                <w:vertAlign w:val="subscript"/>
                <w:lang w:val="en-US" w:eastAsia="zh-CN"/>
              </w:rPr>
              <w:t>2</w:t>
            </w:r>
          </w:p>
        </w:tc>
        <w:tc>
          <w:tcPr>
            <w:tcW w:w="1392" w:type="dxa"/>
            <w:noWrap w:val="0"/>
            <w:vAlign w:val="center"/>
          </w:tcPr>
          <w:p w14:paraId="5097D08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0D88D81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03FCF43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5FF64E2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0.21</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7BF78B0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shd w:val="clear" w:color="auto" w:fill="auto"/>
            <w:noWrap w:val="0"/>
            <w:vAlign w:val="center"/>
          </w:tcPr>
          <w:p w14:paraId="6A051F6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Calibri"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Cs w:val="21"/>
                <w:highlight w:val="none"/>
                <w:lang w:val="en-US" w:eastAsia="zh-CN"/>
              </w:rPr>
              <w:t>0.21</w:t>
            </w:r>
            <w:r>
              <w:rPr>
                <w:rFonts w:hint="eastAsia" w:ascii="Times New Roman" w:hAnsi="Times New Roman" w:cs="Times New Roman"/>
                <w:snapToGrid w:val="0"/>
                <w:color w:val="000000"/>
                <w:kern w:val="21"/>
                <w:szCs w:val="21"/>
                <w:highlight w:val="none"/>
                <w:lang w:val="en-US" w:eastAsia="zh-CN"/>
              </w:rPr>
              <w:t>t/a</w:t>
            </w:r>
          </w:p>
        </w:tc>
        <w:tc>
          <w:tcPr>
            <w:tcW w:w="1328" w:type="dxa"/>
            <w:shd w:val="clear" w:color="auto" w:fill="auto"/>
            <w:noWrap w:val="0"/>
            <w:vAlign w:val="center"/>
          </w:tcPr>
          <w:p w14:paraId="02C48C5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Calibri"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Cs w:val="21"/>
                <w:highlight w:val="none"/>
                <w:lang w:val="en-US" w:eastAsia="zh-CN"/>
              </w:rPr>
              <w:t>+0.21</w:t>
            </w:r>
            <w:r>
              <w:rPr>
                <w:rFonts w:hint="eastAsia" w:ascii="Times New Roman" w:hAnsi="Times New Roman" w:cs="Times New Roman"/>
                <w:snapToGrid w:val="0"/>
                <w:color w:val="000000"/>
                <w:kern w:val="21"/>
                <w:szCs w:val="21"/>
                <w:highlight w:val="none"/>
                <w:lang w:val="en-US" w:eastAsia="zh-CN"/>
              </w:rPr>
              <w:t>t/a</w:t>
            </w:r>
          </w:p>
        </w:tc>
      </w:tr>
      <w:tr w14:paraId="65345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88" w:type="dxa"/>
            <w:vMerge w:val="continue"/>
            <w:noWrap w:val="0"/>
            <w:vAlign w:val="center"/>
          </w:tcPr>
          <w:p w14:paraId="5B4C923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713C4B2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highlight w:val="none"/>
                <w:lang w:val="en-US" w:eastAsia="zh-CN"/>
              </w:rPr>
            </w:pPr>
            <w:r>
              <w:rPr>
                <w:rFonts w:hint="eastAsia" w:cs="Times New Roman"/>
                <w:highlight w:val="none"/>
                <w:lang w:val="en-US" w:eastAsia="zh-CN"/>
              </w:rPr>
              <w:t>NO</w:t>
            </w:r>
            <w:r>
              <w:rPr>
                <w:rFonts w:hint="eastAsia" w:cs="Times New Roman"/>
                <w:highlight w:val="none"/>
                <w:vertAlign w:val="subscript"/>
                <w:lang w:val="en-US" w:eastAsia="zh-CN"/>
              </w:rPr>
              <w:t>x</w:t>
            </w:r>
          </w:p>
        </w:tc>
        <w:tc>
          <w:tcPr>
            <w:tcW w:w="1392" w:type="dxa"/>
            <w:noWrap w:val="0"/>
            <w:vAlign w:val="center"/>
          </w:tcPr>
          <w:p w14:paraId="273587C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0F4F9B8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10D8C9A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1C6541D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5.42</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63A357E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shd w:val="clear" w:color="auto" w:fill="auto"/>
            <w:noWrap w:val="0"/>
            <w:vAlign w:val="center"/>
          </w:tcPr>
          <w:p w14:paraId="27C5B7D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Calibri"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Cs w:val="21"/>
                <w:highlight w:val="none"/>
                <w:lang w:val="en-US" w:eastAsia="zh-CN"/>
              </w:rPr>
              <w:t>5.42</w:t>
            </w:r>
            <w:r>
              <w:rPr>
                <w:rFonts w:hint="eastAsia" w:ascii="Times New Roman" w:hAnsi="Times New Roman" w:cs="Times New Roman"/>
                <w:snapToGrid w:val="0"/>
                <w:color w:val="000000"/>
                <w:kern w:val="21"/>
                <w:szCs w:val="21"/>
                <w:highlight w:val="none"/>
                <w:lang w:val="en-US" w:eastAsia="zh-CN"/>
              </w:rPr>
              <w:t>t/a</w:t>
            </w:r>
          </w:p>
        </w:tc>
        <w:tc>
          <w:tcPr>
            <w:tcW w:w="1328" w:type="dxa"/>
            <w:shd w:val="clear" w:color="auto" w:fill="auto"/>
            <w:noWrap w:val="0"/>
            <w:vAlign w:val="center"/>
          </w:tcPr>
          <w:p w14:paraId="4E3AB7A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Calibri" w:eastAsia="宋体" w:cs="Times New Roman"/>
                <w:snapToGrid w:val="0"/>
                <w:color w:val="000000"/>
                <w:kern w:val="21"/>
                <w:sz w:val="21"/>
                <w:szCs w:val="21"/>
                <w:highlight w:val="none"/>
                <w:lang w:val="en-US" w:eastAsia="zh-CN" w:bidi="ar-SA"/>
              </w:rPr>
            </w:pPr>
            <w:r>
              <w:rPr>
                <w:rFonts w:hint="eastAsia" w:ascii="Times New Roman" w:cs="Times New Roman"/>
                <w:snapToGrid w:val="0"/>
                <w:color w:val="000000"/>
                <w:kern w:val="21"/>
                <w:szCs w:val="21"/>
                <w:highlight w:val="none"/>
                <w:lang w:val="en-US" w:eastAsia="zh-CN"/>
              </w:rPr>
              <w:t>+5.42</w:t>
            </w:r>
            <w:r>
              <w:rPr>
                <w:rFonts w:hint="eastAsia" w:ascii="Times New Roman" w:hAnsi="Times New Roman" w:cs="Times New Roman"/>
                <w:snapToGrid w:val="0"/>
                <w:color w:val="000000"/>
                <w:kern w:val="21"/>
                <w:szCs w:val="21"/>
                <w:highlight w:val="none"/>
                <w:lang w:val="en-US" w:eastAsia="zh-CN"/>
              </w:rPr>
              <w:t>t/a</w:t>
            </w:r>
          </w:p>
        </w:tc>
      </w:tr>
      <w:tr w14:paraId="63E02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588" w:type="dxa"/>
            <w:vMerge w:val="restart"/>
            <w:noWrap w:val="0"/>
            <w:vAlign w:val="center"/>
          </w:tcPr>
          <w:p w14:paraId="3A4BCE4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1726" w:type="dxa"/>
            <w:noWrap w:val="0"/>
            <w:vAlign w:val="center"/>
          </w:tcPr>
          <w:p w14:paraId="1C0219F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COD</w:t>
            </w:r>
            <w:r>
              <w:rPr>
                <w:rFonts w:hint="default" w:ascii="Times New Roman" w:hAnsi="Times New Roman" w:cs="Times New Roman"/>
                <w:snapToGrid w:val="0"/>
                <w:color w:val="000000"/>
                <w:kern w:val="21"/>
                <w:szCs w:val="21"/>
                <w:highlight w:val="none"/>
                <w:vertAlign w:val="subscript"/>
                <w:lang w:val="en-US" w:eastAsia="zh-CN"/>
              </w:rPr>
              <w:t>cr</w:t>
            </w:r>
          </w:p>
        </w:tc>
        <w:tc>
          <w:tcPr>
            <w:tcW w:w="1392" w:type="dxa"/>
            <w:noWrap w:val="0"/>
            <w:vAlign w:val="center"/>
          </w:tcPr>
          <w:p w14:paraId="2E5ADDF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305756D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67A697A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4530229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14.418</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2F53CD5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6B7BC99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14.418</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5A0DCE4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+14.418</w:t>
            </w:r>
            <w:r>
              <w:rPr>
                <w:rFonts w:hint="eastAsia" w:ascii="Times New Roman" w:hAnsi="Times New Roman" w:cs="Times New Roman"/>
                <w:snapToGrid w:val="0"/>
                <w:color w:val="000000"/>
                <w:kern w:val="21"/>
                <w:szCs w:val="21"/>
                <w:highlight w:val="none"/>
                <w:lang w:val="en-US" w:eastAsia="zh-CN"/>
              </w:rPr>
              <w:t>t/a</w:t>
            </w:r>
          </w:p>
        </w:tc>
      </w:tr>
      <w:tr w14:paraId="630F9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588" w:type="dxa"/>
            <w:vMerge w:val="continue"/>
            <w:noWrap w:val="0"/>
            <w:vAlign w:val="center"/>
          </w:tcPr>
          <w:p w14:paraId="11D3713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132A1C7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总磷</w:t>
            </w:r>
          </w:p>
        </w:tc>
        <w:tc>
          <w:tcPr>
            <w:tcW w:w="1392" w:type="dxa"/>
            <w:noWrap w:val="0"/>
            <w:vAlign w:val="center"/>
          </w:tcPr>
          <w:p w14:paraId="383BA29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00DBDAD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0673451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2606998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0.33t/a</w:t>
            </w:r>
          </w:p>
        </w:tc>
        <w:tc>
          <w:tcPr>
            <w:tcW w:w="1761" w:type="dxa"/>
            <w:noWrap w:val="0"/>
            <w:vAlign w:val="center"/>
          </w:tcPr>
          <w:p w14:paraId="0F1F05D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0AA7D38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0.33tt/a</w:t>
            </w:r>
          </w:p>
        </w:tc>
        <w:tc>
          <w:tcPr>
            <w:tcW w:w="1328" w:type="dxa"/>
            <w:noWrap w:val="0"/>
            <w:vAlign w:val="center"/>
          </w:tcPr>
          <w:p w14:paraId="2741AF3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+0.33tt/a</w:t>
            </w:r>
          </w:p>
        </w:tc>
      </w:tr>
      <w:tr w14:paraId="42FAA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588" w:type="dxa"/>
            <w:vMerge w:val="continue"/>
            <w:noWrap w:val="0"/>
            <w:vAlign w:val="center"/>
          </w:tcPr>
          <w:p w14:paraId="52019AD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72F33A2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石油类</w:t>
            </w:r>
          </w:p>
        </w:tc>
        <w:tc>
          <w:tcPr>
            <w:tcW w:w="1392" w:type="dxa"/>
            <w:noWrap w:val="0"/>
            <w:vAlign w:val="center"/>
          </w:tcPr>
          <w:p w14:paraId="3A420BD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5B314B9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38C6838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6E4BB5D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0.3t/a</w:t>
            </w:r>
          </w:p>
        </w:tc>
        <w:tc>
          <w:tcPr>
            <w:tcW w:w="1761" w:type="dxa"/>
            <w:noWrap w:val="0"/>
            <w:vAlign w:val="center"/>
          </w:tcPr>
          <w:p w14:paraId="692D8FF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20F43A2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0.3t/a</w:t>
            </w:r>
          </w:p>
        </w:tc>
        <w:tc>
          <w:tcPr>
            <w:tcW w:w="1328" w:type="dxa"/>
            <w:noWrap w:val="0"/>
            <w:vAlign w:val="center"/>
          </w:tcPr>
          <w:p w14:paraId="422934D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0.3t/a</w:t>
            </w:r>
          </w:p>
        </w:tc>
      </w:tr>
      <w:tr w14:paraId="073E8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588" w:type="dxa"/>
            <w:vMerge w:val="restart"/>
            <w:noWrap w:val="0"/>
            <w:vAlign w:val="center"/>
          </w:tcPr>
          <w:p w14:paraId="7215387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w:t>
            </w:r>
          </w:p>
          <w:p w14:paraId="5F635C0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固体废物</w:t>
            </w:r>
          </w:p>
        </w:tc>
        <w:tc>
          <w:tcPr>
            <w:tcW w:w="1726" w:type="dxa"/>
            <w:noWrap w:val="0"/>
            <w:vAlign w:val="center"/>
          </w:tcPr>
          <w:p w14:paraId="5C88218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生活垃圾</w:t>
            </w:r>
          </w:p>
        </w:tc>
        <w:tc>
          <w:tcPr>
            <w:tcW w:w="1392" w:type="dxa"/>
            <w:noWrap w:val="0"/>
            <w:vAlign w:val="center"/>
          </w:tcPr>
          <w:p w14:paraId="536C682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421F97C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308EF5C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00C4D90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19.5</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7D6901D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3875B90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19.5</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2FE8218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+19.5</w:t>
            </w:r>
            <w:r>
              <w:rPr>
                <w:rFonts w:hint="eastAsia" w:ascii="Times New Roman" w:hAnsi="Times New Roman" w:cs="Times New Roman"/>
                <w:snapToGrid w:val="0"/>
                <w:color w:val="000000"/>
                <w:kern w:val="21"/>
                <w:szCs w:val="21"/>
                <w:highlight w:val="none"/>
                <w:lang w:val="en-US" w:eastAsia="zh-CN"/>
              </w:rPr>
              <w:t>t/a</w:t>
            </w:r>
          </w:p>
        </w:tc>
      </w:tr>
      <w:tr w14:paraId="77412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14:paraId="08FCC19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761A66C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除尘器集灰</w:t>
            </w:r>
          </w:p>
        </w:tc>
        <w:tc>
          <w:tcPr>
            <w:tcW w:w="1392" w:type="dxa"/>
            <w:noWrap w:val="0"/>
            <w:vAlign w:val="center"/>
          </w:tcPr>
          <w:p w14:paraId="23B4747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047484B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69576B2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54F60AF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000000"/>
                <w:kern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115.818</w:t>
            </w:r>
            <w:r>
              <w:rPr>
                <w:rFonts w:hint="eastAsia" w:ascii="Times New Roman" w:hAnsi="Times New Roman" w:cs="Times New Roman"/>
                <w:snapToGrid w:val="0"/>
                <w:color w:val="000000"/>
                <w:kern w:val="21"/>
                <w:szCs w:val="21"/>
                <w:highlight w:val="none"/>
                <w:lang w:val="en-US" w:eastAsia="zh-CN"/>
              </w:rPr>
              <w:t>/a</w:t>
            </w:r>
          </w:p>
        </w:tc>
        <w:tc>
          <w:tcPr>
            <w:tcW w:w="1761" w:type="dxa"/>
            <w:noWrap w:val="0"/>
            <w:vAlign w:val="center"/>
          </w:tcPr>
          <w:p w14:paraId="11FA8EB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3285834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eastAsia="宋体" w:cs="Times New Roman"/>
                <w:color w:val="auto"/>
                <w:spacing w:val="0"/>
                <w:kern w:val="2"/>
                <w:sz w:val="21"/>
                <w:szCs w:val="21"/>
                <w:highlight w:val="none"/>
                <w:lang w:val="en-US" w:eastAsia="zh-CN" w:bidi="ar-SA"/>
              </w:rPr>
              <w:t>115.818</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2F2C0A7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w:t>
            </w:r>
            <w:r>
              <w:rPr>
                <w:rFonts w:hint="eastAsia" w:ascii="Times New Roman" w:hAnsi="Times New Roman" w:eastAsia="宋体" w:cs="Times New Roman"/>
                <w:color w:val="auto"/>
                <w:spacing w:val="0"/>
                <w:kern w:val="2"/>
                <w:sz w:val="21"/>
                <w:szCs w:val="21"/>
                <w:highlight w:val="none"/>
                <w:lang w:val="en-US" w:eastAsia="zh-CN" w:bidi="ar-SA"/>
              </w:rPr>
              <w:t>115.818</w:t>
            </w:r>
            <w:r>
              <w:rPr>
                <w:rFonts w:hint="eastAsia" w:ascii="Times New Roman" w:hAnsi="Times New Roman" w:cs="Times New Roman"/>
                <w:color w:val="auto"/>
                <w:spacing w:val="0"/>
                <w:kern w:val="2"/>
                <w:sz w:val="21"/>
                <w:szCs w:val="21"/>
                <w:highlight w:val="none"/>
                <w:lang w:val="en-US" w:eastAsia="zh-CN" w:bidi="ar-SA"/>
              </w:rPr>
              <w:t>t</w:t>
            </w:r>
            <w:r>
              <w:rPr>
                <w:rFonts w:hint="eastAsia" w:ascii="Times New Roman" w:hAnsi="Times New Roman" w:cs="Times New Roman"/>
                <w:snapToGrid w:val="0"/>
                <w:color w:val="000000"/>
                <w:kern w:val="21"/>
                <w:szCs w:val="21"/>
                <w:highlight w:val="none"/>
                <w:lang w:val="en-US" w:eastAsia="zh-CN"/>
              </w:rPr>
              <w:t>/a</w:t>
            </w:r>
          </w:p>
        </w:tc>
      </w:tr>
      <w:tr w14:paraId="2C5F2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588" w:type="dxa"/>
            <w:vMerge w:val="continue"/>
            <w:noWrap w:val="0"/>
            <w:vAlign w:val="center"/>
          </w:tcPr>
          <w:p w14:paraId="4B34514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2C0699A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铁质石块</w:t>
            </w:r>
          </w:p>
        </w:tc>
        <w:tc>
          <w:tcPr>
            <w:tcW w:w="1392" w:type="dxa"/>
            <w:noWrap w:val="0"/>
            <w:vAlign w:val="center"/>
          </w:tcPr>
          <w:p w14:paraId="2636956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2D869B7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31F78C4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4EC521B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14</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27ECD0F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42EC81F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14</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7FDF228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+14</w:t>
            </w:r>
            <w:r>
              <w:rPr>
                <w:rFonts w:hint="eastAsia" w:ascii="Times New Roman" w:hAnsi="Times New Roman" w:cs="Times New Roman"/>
                <w:snapToGrid w:val="0"/>
                <w:color w:val="000000"/>
                <w:kern w:val="21"/>
                <w:szCs w:val="21"/>
                <w:highlight w:val="none"/>
                <w:lang w:val="en-US" w:eastAsia="zh-CN"/>
              </w:rPr>
              <w:t>t/a</w:t>
            </w:r>
          </w:p>
        </w:tc>
      </w:tr>
      <w:tr w14:paraId="3D1B5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88" w:type="dxa"/>
            <w:vMerge w:val="continue"/>
            <w:noWrap w:val="0"/>
            <w:vAlign w:val="center"/>
          </w:tcPr>
          <w:p w14:paraId="24F5A89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2A9BAB03">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污水处理站污泥</w:t>
            </w:r>
          </w:p>
        </w:tc>
        <w:tc>
          <w:tcPr>
            <w:tcW w:w="1392" w:type="dxa"/>
            <w:noWrap w:val="0"/>
            <w:vAlign w:val="center"/>
          </w:tcPr>
          <w:p w14:paraId="023E109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5274BD2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52F9CEE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05B6BB2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000000"/>
                <w:kern w:val="21"/>
                <w:szCs w:val="21"/>
                <w:highlight w:val="none"/>
                <w:lang w:val="en-US" w:eastAsia="zh-CN"/>
              </w:rPr>
            </w:pPr>
            <w:r>
              <w:rPr>
                <w:rFonts w:hint="eastAsia" w:ascii="Times New Roman" w:cs="Times New Roman"/>
                <w:snapToGrid w:val="0"/>
                <w:color w:val="000000"/>
                <w:kern w:val="21"/>
                <w:szCs w:val="21"/>
                <w:highlight w:val="none"/>
                <w:lang w:val="en-US" w:eastAsia="zh-CN"/>
              </w:rPr>
              <w:t>18</w:t>
            </w:r>
            <w:r>
              <w:rPr>
                <w:rFonts w:hint="eastAsia" w:ascii="Times New Roman" w:hAnsi="Times New Roman" w:cs="Times New Roman"/>
                <w:snapToGrid w:val="0"/>
                <w:color w:val="000000"/>
                <w:kern w:val="21"/>
                <w:szCs w:val="21"/>
                <w:highlight w:val="none"/>
                <w:lang w:val="en-US" w:eastAsia="zh-CN"/>
              </w:rPr>
              <w:t>t/a</w:t>
            </w:r>
          </w:p>
        </w:tc>
        <w:tc>
          <w:tcPr>
            <w:tcW w:w="1761" w:type="dxa"/>
            <w:noWrap w:val="0"/>
            <w:vAlign w:val="center"/>
          </w:tcPr>
          <w:p w14:paraId="0256B75F">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40126F7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18</w:t>
            </w:r>
            <w:r>
              <w:rPr>
                <w:rFonts w:hint="eastAsia" w:ascii="Times New Roman" w:hAnsi="Times New Roman" w:cs="Times New Roman"/>
                <w:snapToGrid w:val="0"/>
                <w:color w:val="000000"/>
                <w:kern w:val="21"/>
                <w:szCs w:val="21"/>
                <w:highlight w:val="none"/>
                <w:lang w:val="en-US" w:eastAsia="zh-CN"/>
              </w:rPr>
              <w:t>t/a</w:t>
            </w:r>
          </w:p>
        </w:tc>
        <w:tc>
          <w:tcPr>
            <w:tcW w:w="1328" w:type="dxa"/>
            <w:noWrap w:val="0"/>
            <w:vAlign w:val="center"/>
          </w:tcPr>
          <w:p w14:paraId="4C40FA5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+18</w:t>
            </w:r>
            <w:r>
              <w:rPr>
                <w:rFonts w:hint="eastAsia" w:ascii="Times New Roman" w:hAnsi="Times New Roman" w:cs="Times New Roman"/>
                <w:snapToGrid w:val="0"/>
                <w:color w:val="000000"/>
                <w:kern w:val="21"/>
                <w:szCs w:val="21"/>
                <w:highlight w:val="none"/>
                <w:lang w:val="en-US" w:eastAsia="zh-CN"/>
              </w:rPr>
              <w:t>t/a</w:t>
            </w:r>
          </w:p>
        </w:tc>
      </w:tr>
      <w:tr w14:paraId="2DC37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noWrap w:val="0"/>
            <w:vAlign w:val="center"/>
          </w:tcPr>
          <w:p w14:paraId="5BA6B6F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危险废物</w:t>
            </w:r>
          </w:p>
        </w:tc>
        <w:tc>
          <w:tcPr>
            <w:tcW w:w="1726" w:type="dxa"/>
            <w:noWrap w:val="0"/>
            <w:vAlign w:val="center"/>
          </w:tcPr>
          <w:p w14:paraId="5B76B28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废机油</w:t>
            </w:r>
          </w:p>
        </w:tc>
        <w:tc>
          <w:tcPr>
            <w:tcW w:w="1392" w:type="dxa"/>
            <w:noWrap w:val="0"/>
            <w:vAlign w:val="center"/>
          </w:tcPr>
          <w:p w14:paraId="34B9F0A9">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102E29C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1EB8658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1FE9D2A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0.2t/a</w:t>
            </w:r>
          </w:p>
        </w:tc>
        <w:tc>
          <w:tcPr>
            <w:tcW w:w="1761" w:type="dxa"/>
            <w:noWrap w:val="0"/>
            <w:vAlign w:val="center"/>
          </w:tcPr>
          <w:p w14:paraId="2C4F06F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02047B7A">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hAnsi="Times New Roman" w:cs="Times New Roman"/>
                <w:snapToGrid w:val="0"/>
                <w:color w:val="000000"/>
                <w:kern w:val="21"/>
                <w:szCs w:val="21"/>
                <w:highlight w:val="none"/>
                <w:lang w:val="en-US" w:eastAsia="zh-CN"/>
              </w:rPr>
              <w:t>0.2t/a</w:t>
            </w:r>
          </w:p>
        </w:tc>
        <w:tc>
          <w:tcPr>
            <w:tcW w:w="1328" w:type="dxa"/>
            <w:noWrap w:val="0"/>
            <w:vAlign w:val="center"/>
          </w:tcPr>
          <w:p w14:paraId="149846BC">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r>
              <w:rPr>
                <w:rFonts w:hint="eastAsia" w:ascii="Times New Roman" w:cs="Times New Roman"/>
                <w:snapToGrid w:val="0"/>
                <w:color w:val="000000"/>
                <w:kern w:val="21"/>
                <w:szCs w:val="21"/>
                <w:highlight w:val="none"/>
                <w:lang w:val="en-US" w:eastAsia="zh-CN"/>
              </w:rPr>
              <w:t>+</w:t>
            </w:r>
            <w:r>
              <w:rPr>
                <w:rFonts w:hint="eastAsia" w:ascii="Times New Roman" w:hAnsi="Times New Roman" w:cs="Times New Roman"/>
                <w:snapToGrid w:val="0"/>
                <w:color w:val="000000"/>
                <w:kern w:val="21"/>
                <w:szCs w:val="21"/>
                <w:highlight w:val="none"/>
                <w:lang w:val="en-US" w:eastAsia="zh-CN"/>
              </w:rPr>
              <w:t>0.2t/a</w:t>
            </w:r>
          </w:p>
        </w:tc>
      </w:tr>
      <w:tr w14:paraId="5EBDE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14:paraId="26E9A29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0D9DCA3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废机油桶</w:t>
            </w:r>
          </w:p>
        </w:tc>
        <w:tc>
          <w:tcPr>
            <w:tcW w:w="1392" w:type="dxa"/>
            <w:noWrap w:val="0"/>
            <w:vAlign w:val="center"/>
          </w:tcPr>
          <w:p w14:paraId="15BB399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266567A2">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4FED15A0">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27205CE1">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0.3t/a</w:t>
            </w:r>
          </w:p>
        </w:tc>
        <w:tc>
          <w:tcPr>
            <w:tcW w:w="1761" w:type="dxa"/>
            <w:noWrap w:val="0"/>
            <w:vAlign w:val="center"/>
          </w:tcPr>
          <w:p w14:paraId="456587F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0CC99A7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0.3t/a</w:t>
            </w:r>
          </w:p>
        </w:tc>
        <w:tc>
          <w:tcPr>
            <w:tcW w:w="1328" w:type="dxa"/>
            <w:noWrap w:val="0"/>
            <w:vAlign w:val="center"/>
          </w:tcPr>
          <w:p w14:paraId="5B3872AE">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+0.3t/a</w:t>
            </w:r>
          </w:p>
        </w:tc>
      </w:tr>
      <w:tr w14:paraId="7A5CD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14:paraId="4063B8F4">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rPr>
            </w:pPr>
          </w:p>
        </w:tc>
        <w:tc>
          <w:tcPr>
            <w:tcW w:w="1726" w:type="dxa"/>
            <w:noWrap w:val="0"/>
            <w:vAlign w:val="center"/>
          </w:tcPr>
          <w:p w14:paraId="2BCC0BA7">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废防渗膜</w:t>
            </w:r>
          </w:p>
        </w:tc>
        <w:tc>
          <w:tcPr>
            <w:tcW w:w="1392" w:type="dxa"/>
            <w:noWrap w:val="0"/>
            <w:vAlign w:val="center"/>
          </w:tcPr>
          <w:p w14:paraId="6C821A08">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276" w:type="dxa"/>
            <w:noWrap w:val="0"/>
            <w:vAlign w:val="center"/>
          </w:tcPr>
          <w:p w14:paraId="07D3FAF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701" w:type="dxa"/>
            <w:noWrap w:val="0"/>
            <w:vAlign w:val="center"/>
          </w:tcPr>
          <w:p w14:paraId="7A354A6D">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559" w:type="dxa"/>
            <w:noWrap w:val="0"/>
            <w:vAlign w:val="center"/>
          </w:tcPr>
          <w:p w14:paraId="2414E69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0.03t/a</w:t>
            </w:r>
          </w:p>
        </w:tc>
        <w:tc>
          <w:tcPr>
            <w:tcW w:w="1761" w:type="dxa"/>
            <w:noWrap w:val="0"/>
            <w:vAlign w:val="center"/>
          </w:tcPr>
          <w:p w14:paraId="1C43C655">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000000"/>
                <w:kern w:val="21"/>
                <w:szCs w:val="21"/>
                <w:highlight w:val="none"/>
              </w:rPr>
            </w:pPr>
          </w:p>
        </w:tc>
        <w:tc>
          <w:tcPr>
            <w:tcW w:w="1457" w:type="dxa"/>
            <w:noWrap w:val="0"/>
            <w:vAlign w:val="center"/>
          </w:tcPr>
          <w:p w14:paraId="45D2995B">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0.03t/a</w:t>
            </w:r>
          </w:p>
        </w:tc>
        <w:tc>
          <w:tcPr>
            <w:tcW w:w="1328" w:type="dxa"/>
            <w:noWrap w:val="0"/>
            <w:vAlign w:val="center"/>
          </w:tcPr>
          <w:p w14:paraId="663C4326">
            <w:pPr>
              <w:pStyle w:val="37"/>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cs="Times New Roman"/>
                <w:snapToGrid w:val="0"/>
                <w:color w:val="000000"/>
                <w:kern w:val="21"/>
                <w:szCs w:val="21"/>
                <w:highlight w:val="none"/>
                <w:lang w:val="en-US" w:eastAsia="zh-CN"/>
              </w:rPr>
            </w:pPr>
            <w:r>
              <w:rPr>
                <w:rFonts w:hint="eastAsia" w:ascii="Times New Roman" w:hAnsi="Times New Roman" w:cs="Times New Roman"/>
                <w:snapToGrid w:val="0"/>
                <w:color w:val="000000"/>
                <w:kern w:val="21"/>
                <w:szCs w:val="21"/>
                <w:highlight w:val="none"/>
                <w:lang w:val="en-US" w:eastAsia="zh-CN"/>
              </w:rPr>
              <w:t>+0.03t/a</w:t>
            </w:r>
          </w:p>
        </w:tc>
      </w:tr>
    </w:tbl>
    <w:p w14:paraId="3950E79F">
      <w:pPr>
        <w:pStyle w:val="19"/>
        <w:adjustRightInd w:val="0"/>
        <w:snapToGrid w:val="0"/>
        <w:spacing w:before="0" w:beforeAutospacing="0" w:after="0" w:afterAutospacing="0" w:line="648" w:lineRule="auto"/>
        <w:outlineLvl w:val="0"/>
        <w:rPr>
          <w:rFonts w:hint="default" w:ascii="黑体" w:hAnsi="黑体" w:eastAsia="黑体"/>
          <w:snapToGrid w:val="0"/>
          <w:sz w:val="32"/>
          <w:szCs w:val="32"/>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F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930C6">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CF666">
                          <w:pPr>
                            <w:pStyle w:val="1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CCF666">
                    <w:pPr>
                      <w:pStyle w:val="1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FBE6F"/>
    <w:multiLevelType w:val="singleLevel"/>
    <w:tmpl w:val="972FBE6F"/>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290FBF8A"/>
    <w:multiLevelType w:val="singleLevel"/>
    <w:tmpl w:val="290FBF8A"/>
    <w:lvl w:ilvl="0" w:tentative="0">
      <w:start w:val="1"/>
      <w:numFmt w:val="decimal"/>
      <w:suff w:val="nothing"/>
      <w:lvlText w:val="（%1）"/>
      <w:lvlJc w:val="left"/>
    </w:lvl>
  </w:abstractNum>
  <w:abstractNum w:abstractNumId="2">
    <w:nsid w:val="45603A0F"/>
    <w:multiLevelType w:val="singleLevel"/>
    <w:tmpl w:val="45603A0F"/>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xOTBkMGMxNDlmN2IyMWU5ZGMyOGIwOWQ5YWMwZjEifQ=="/>
  </w:docVars>
  <w:rsids>
    <w:rsidRoot w:val="00000000"/>
    <w:rsid w:val="01262501"/>
    <w:rsid w:val="021C42B5"/>
    <w:rsid w:val="02E34A86"/>
    <w:rsid w:val="02E828A9"/>
    <w:rsid w:val="03EE1B2C"/>
    <w:rsid w:val="04051239"/>
    <w:rsid w:val="04522798"/>
    <w:rsid w:val="047C61DC"/>
    <w:rsid w:val="052A01D2"/>
    <w:rsid w:val="069A65B0"/>
    <w:rsid w:val="06E37C67"/>
    <w:rsid w:val="0703404F"/>
    <w:rsid w:val="071C5FA3"/>
    <w:rsid w:val="074172E3"/>
    <w:rsid w:val="0761159F"/>
    <w:rsid w:val="07AC36BF"/>
    <w:rsid w:val="07DC47A0"/>
    <w:rsid w:val="07FC0BA5"/>
    <w:rsid w:val="082D556D"/>
    <w:rsid w:val="08A273BC"/>
    <w:rsid w:val="09C24080"/>
    <w:rsid w:val="0A4C6D5E"/>
    <w:rsid w:val="0AED3AC0"/>
    <w:rsid w:val="0AF9059D"/>
    <w:rsid w:val="0B542075"/>
    <w:rsid w:val="0C0C51C6"/>
    <w:rsid w:val="0C4D6F99"/>
    <w:rsid w:val="0C6F3266"/>
    <w:rsid w:val="0CA933AD"/>
    <w:rsid w:val="0D7B0357"/>
    <w:rsid w:val="0DF66352"/>
    <w:rsid w:val="0EAC3496"/>
    <w:rsid w:val="0EE530D6"/>
    <w:rsid w:val="0EF13522"/>
    <w:rsid w:val="0F492922"/>
    <w:rsid w:val="0F7023BB"/>
    <w:rsid w:val="0F851536"/>
    <w:rsid w:val="0F8C6ECB"/>
    <w:rsid w:val="10393785"/>
    <w:rsid w:val="10940030"/>
    <w:rsid w:val="10F70140"/>
    <w:rsid w:val="11BF336F"/>
    <w:rsid w:val="128C288C"/>
    <w:rsid w:val="13453473"/>
    <w:rsid w:val="13ED1FB8"/>
    <w:rsid w:val="15062BD4"/>
    <w:rsid w:val="154F67B8"/>
    <w:rsid w:val="15C63B13"/>
    <w:rsid w:val="167118EC"/>
    <w:rsid w:val="1683496B"/>
    <w:rsid w:val="16DF591A"/>
    <w:rsid w:val="17D445D4"/>
    <w:rsid w:val="185D157B"/>
    <w:rsid w:val="19745559"/>
    <w:rsid w:val="1A8E1B30"/>
    <w:rsid w:val="1AB772D9"/>
    <w:rsid w:val="1B7011A7"/>
    <w:rsid w:val="1B917B2A"/>
    <w:rsid w:val="1BD27401"/>
    <w:rsid w:val="1BDB2B53"/>
    <w:rsid w:val="1C584911"/>
    <w:rsid w:val="1CA90EA4"/>
    <w:rsid w:val="1D081FED"/>
    <w:rsid w:val="1D0B1043"/>
    <w:rsid w:val="1D186B71"/>
    <w:rsid w:val="1EF73651"/>
    <w:rsid w:val="1F044A3F"/>
    <w:rsid w:val="1F304E94"/>
    <w:rsid w:val="1FCD520B"/>
    <w:rsid w:val="20210D43"/>
    <w:rsid w:val="20813D17"/>
    <w:rsid w:val="211A411E"/>
    <w:rsid w:val="21254BE3"/>
    <w:rsid w:val="214B077B"/>
    <w:rsid w:val="22345973"/>
    <w:rsid w:val="234C0D9E"/>
    <w:rsid w:val="2389250D"/>
    <w:rsid w:val="23CB2E30"/>
    <w:rsid w:val="249E18D1"/>
    <w:rsid w:val="24FE78B3"/>
    <w:rsid w:val="25855E94"/>
    <w:rsid w:val="271D3400"/>
    <w:rsid w:val="277549C7"/>
    <w:rsid w:val="27BB0442"/>
    <w:rsid w:val="28151892"/>
    <w:rsid w:val="282C6DF4"/>
    <w:rsid w:val="2AB86B0E"/>
    <w:rsid w:val="2ABC4DE3"/>
    <w:rsid w:val="2B012AFC"/>
    <w:rsid w:val="2B485E57"/>
    <w:rsid w:val="2BA55819"/>
    <w:rsid w:val="2BB331A5"/>
    <w:rsid w:val="2C7B3026"/>
    <w:rsid w:val="2C982AC6"/>
    <w:rsid w:val="2CE312EC"/>
    <w:rsid w:val="2D8224D9"/>
    <w:rsid w:val="2D895755"/>
    <w:rsid w:val="2E7019D7"/>
    <w:rsid w:val="2ECE6548"/>
    <w:rsid w:val="2EFA3AFF"/>
    <w:rsid w:val="2F3957BB"/>
    <w:rsid w:val="2F5A1E8C"/>
    <w:rsid w:val="306B6376"/>
    <w:rsid w:val="31322DBE"/>
    <w:rsid w:val="313C1D9A"/>
    <w:rsid w:val="32385C4C"/>
    <w:rsid w:val="33A523E1"/>
    <w:rsid w:val="33B45108"/>
    <w:rsid w:val="342366DD"/>
    <w:rsid w:val="34251F97"/>
    <w:rsid w:val="34E80B7B"/>
    <w:rsid w:val="35151981"/>
    <w:rsid w:val="35365462"/>
    <w:rsid w:val="365405B2"/>
    <w:rsid w:val="36617CA1"/>
    <w:rsid w:val="36704EF4"/>
    <w:rsid w:val="36E0150E"/>
    <w:rsid w:val="37626600"/>
    <w:rsid w:val="377245CA"/>
    <w:rsid w:val="37C213DA"/>
    <w:rsid w:val="37C57C7F"/>
    <w:rsid w:val="38D9778B"/>
    <w:rsid w:val="39CA7C94"/>
    <w:rsid w:val="3A663AD8"/>
    <w:rsid w:val="3A912FBB"/>
    <w:rsid w:val="3A993EAE"/>
    <w:rsid w:val="3AA57785"/>
    <w:rsid w:val="3AA64AE4"/>
    <w:rsid w:val="3C354B77"/>
    <w:rsid w:val="3C6C4D00"/>
    <w:rsid w:val="3C6F556B"/>
    <w:rsid w:val="3CA36FEA"/>
    <w:rsid w:val="3CD92C5D"/>
    <w:rsid w:val="3D8D0883"/>
    <w:rsid w:val="3E0F4F29"/>
    <w:rsid w:val="3E5E3759"/>
    <w:rsid w:val="3F513573"/>
    <w:rsid w:val="3F6A18A0"/>
    <w:rsid w:val="3FB013E8"/>
    <w:rsid w:val="3FB452E6"/>
    <w:rsid w:val="3FE060DB"/>
    <w:rsid w:val="400C527A"/>
    <w:rsid w:val="406A73F7"/>
    <w:rsid w:val="4070745F"/>
    <w:rsid w:val="41E84222"/>
    <w:rsid w:val="42750D5C"/>
    <w:rsid w:val="42F078A0"/>
    <w:rsid w:val="430A0FFC"/>
    <w:rsid w:val="435B00C2"/>
    <w:rsid w:val="43BA06F7"/>
    <w:rsid w:val="43E93763"/>
    <w:rsid w:val="44017717"/>
    <w:rsid w:val="44A74B87"/>
    <w:rsid w:val="45EC7588"/>
    <w:rsid w:val="460A5C60"/>
    <w:rsid w:val="461C4D3D"/>
    <w:rsid w:val="4642261A"/>
    <w:rsid w:val="46456FFA"/>
    <w:rsid w:val="46A81102"/>
    <w:rsid w:val="470E0148"/>
    <w:rsid w:val="4718050F"/>
    <w:rsid w:val="478C74D4"/>
    <w:rsid w:val="480C5CBF"/>
    <w:rsid w:val="4839237C"/>
    <w:rsid w:val="48970E0E"/>
    <w:rsid w:val="48E52A53"/>
    <w:rsid w:val="49843A6A"/>
    <w:rsid w:val="49BF07A0"/>
    <w:rsid w:val="4A0719CB"/>
    <w:rsid w:val="4A774293"/>
    <w:rsid w:val="4AA82F86"/>
    <w:rsid w:val="4AFF49AD"/>
    <w:rsid w:val="4B3D41CB"/>
    <w:rsid w:val="4C3C0DC8"/>
    <w:rsid w:val="4CFA5F02"/>
    <w:rsid w:val="4D307B84"/>
    <w:rsid w:val="4FDB4F33"/>
    <w:rsid w:val="501871CB"/>
    <w:rsid w:val="5107130E"/>
    <w:rsid w:val="51F85506"/>
    <w:rsid w:val="520028EF"/>
    <w:rsid w:val="52E07A91"/>
    <w:rsid w:val="52ED0DE3"/>
    <w:rsid w:val="53545EB8"/>
    <w:rsid w:val="53E06252"/>
    <w:rsid w:val="547D4C34"/>
    <w:rsid w:val="54BE180A"/>
    <w:rsid w:val="54DA579A"/>
    <w:rsid w:val="5591749D"/>
    <w:rsid w:val="55D579D0"/>
    <w:rsid w:val="55F600D4"/>
    <w:rsid w:val="56472767"/>
    <w:rsid w:val="5676790B"/>
    <w:rsid w:val="574A02E3"/>
    <w:rsid w:val="57F4510A"/>
    <w:rsid w:val="587F14EB"/>
    <w:rsid w:val="58F733C1"/>
    <w:rsid w:val="5974298C"/>
    <w:rsid w:val="59CB1E4A"/>
    <w:rsid w:val="5AC16F45"/>
    <w:rsid w:val="5B35258E"/>
    <w:rsid w:val="5CBD6E04"/>
    <w:rsid w:val="5D1D4073"/>
    <w:rsid w:val="5D686F2B"/>
    <w:rsid w:val="5DDC2B7B"/>
    <w:rsid w:val="5EB859AA"/>
    <w:rsid w:val="5EDA11C2"/>
    <w:rsid w:val="5F141175"/>
    <w:rsid w:val="5F812FDF"/>
    <w:rsid w:val="5FD21087"/>
    <w:rsid w:val="60745A74"/>
    <w:rsid w:val="60765F74"/>
    <w:rsid w:val="60F05FE3"/>
    <w:rsid w:val="617C6266"/>
    <w:rsid w:val="618F16B3"/>
    <w:rsid w:val="61B353C5"/>
    <w:rsid w:val="61E91EFB"/>
    <w:rsid w:val="620233C9"/>
    <w:rsid w:val="63A61A51"/>
    <w:rsid w:val="643A7659"/>
    <w:rsid w:val="645A1A3D"/>
    <w:rsid w:val="64A63149"/>
    <w:rsid w:val="65BC1CD0"/>
    <w:rsid w:val="65EA1CBF"/>
    <w:rsid w:val="663234E8"/>
    <w:rsid w:val="66BA5B15"/>
    <w:rsid w:val="67207B2B"/>
    <w:rsid w:val="67382ADE"/>
    <w:rsid w:val="676C1E7F"/>
    <w:rsid w:val="690058FD"/>
    <w:rsid w:val="69332E93"/>
    <w:rsid w:val="698D63A6"/>
    <w:rsid w:val="69D41D97"/>
    <w:rsid w:val="69FA19C4"/>
    <w:rsid w:val="6A51632D"/>
    <w:rsid w:val="6B7C447C"/>
    <w:rsid w:val="6BE20961"/>
    <w:rsid w:val="6C282A6D"/>
    <w:rsid w:val="6C372354"/>
    <w:rsid w:val="6CEE2395"/>
    <w:rsid w:val="6D3873FB"/>
    <w:rsid w:val="6D9A2DB3"/>
    <w:rsid w:val="6E642BF2"/>
    <w:rsid w:val="6FE86762"/>
    <w:rsid w:val="70DD6A95"/>
    <w:rsid w:val="71290DE0"/>
    <w:rsid w:val="717F47F5"/>
    <w:rsid w:val="71D701A8"/>
    <w:rsid w:val="72842772"/>
    <w:rsid w:val="744E5315"/>
    <w:rsid w:val="75334EC3"/>
    <w:rsid w:val="75AC7A7E"/>
    <w:rsid w:val="766F5F6E"/>
    <w:rsid w:val="76820174"/>
    <w:rsid w:val="768F2550"/>
    <w:rsid w:val="76E41A31"/>
    <w:rsid w:val="78931BCD"/>
    <w:rsid w:val="790463BB"/>
    <w:rsid w:val="79586707"/>
    <w:rsid w:val="79A90FEB"/>
    <w:rsid w:val="7A0B684E"/>
    <w:rsid w:val="7A477C7F"/>
    <w:rsid w:val="7B0326A2"/>
    <w:rsid w:val="7B447436"/>
    <w:rsid w:val="7B46630A"/>
    <w:rsid w:val="7B6475E5"/>
    <w:rsid w:val="7C1D4ECA"/>
    <w:rsid w:val="7CB56729"/>
    <w:rsid w:val="7CC65D15"/>
    <w:rsid w:val="7CF0009E"/>
    <w:rsid w:val="7D3D2C19"/>
    <w:rsid w:val="7D59187B"/>
    <w:rsid w:val="7D61535D"/>
    <w:rsid w:val="7DBD3443"/>
    <w:rsid w:val="7DD409EF"/>
    <w:rsid w:val="7E81400A"/>
    <w:rsid w:val="7F313D15"/>
    <w:rsid w:val="7FED5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widowControl w:val="0"/>
      <w:adjustRightInd w:val="0"/>
      <w:snapToGrid w:val="0"/>
      <w:spacing w:line="420" w:lineRule="exact"/>
      <w:ind w:firstLine="602" w:firstLineChars="200"/>
      <w:jc w:val="both"/>
      <w:outlineLvl w:val="1"/>
    </w:pPr>
    <w:rPr>
      <w:rFonts w:ascii="仿宋_GB2312" w:hAnsi="宋体" w:eastAsia="仿宋_GB2312" w:cs="Times New Roman"/>
      <w:b/>
      <w:kern w:val="2"/>
      <w:sz w:val="30"/>
      <w:lang w:val="en-US" w:eastAsia="zh-CN" w:bidi="ar-SA"/>
    </w:rPr>
  </w:style>
  <w:style w:type="paragraph" w:styleId="4">
    <w:name w:val="heading 3"/>
    <w:basedOn w:val="1"/>
    <w:next w:val="1"/>
    <w:qFormat/>
    <w:uiPriority w:val="0"/>
    <w:pPr>
      <w:keepLines/>
      <w:widowControl w:val="0"/>
      <w:adjustRightInd w:val="0"/>
      <w:spacing w:before="120" w:after="120" w:line="416" w:lineRule="atLeast"/>
      <w:jc w:val="both"/>
      <w:textAlignment w:val="baseline"/>
      <w:outlineLvl w:val="2"/>
    </w:pPr>
    <w:rPr>
      <w:rFonts w:ascii="Times New Roman" w:hAnsi="Times New Roman" w:eastAsia="宋体" w:cs="Times New Roman"/>
      <w:b/>
      <w:kern w:val="0"/>
      <w:sz w:val="24"/>
      <w:szCs w:val="20"/>
      <w:lang w:val="en-US" w:eastAsia="zh-CN" w:bidi="ar-SA"/>
    </w:rPr>
  </w:style>
  <w:style w:type="paragraph" w:styleId="5">
    <w:name w:val="heading 4"/>
    <w:basedOn w:val="1"/>
    <w:next w:val="1"/>
    <w:qFormat/>
    <w:uiPriority w:val="1"/>
    <w:pPr>
      <w:ind w:left="1551"/>
      <w:outlineLvl w:val="4"/>
    </w:pPr>
    <w:rPr>
      <w:rFonts w:ascii="宋体" w:hAnsi="宋体" w:eastAsia="宋体" w:cs="宋体"/>
      <w:b/>
      <w:bCs/>
      <w:sz w:val="24"/>
      <w:szCs w:val="24"/>
      <w:lang w:val="zh-CN" w:eastAsia="zh-CN" w:bidi="zh-CN"/>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val="0"/>
      <w:ind w:firstLine="420" w:firstLineChars="200"/>
      <w:jc w:val="both"/>
    </w:pPr>
    <w:rPr>
      <w:rFonts w:ascii="Calibri" w:hAnsi="Calibri" w:eastAsia="宋体" w:cs="Times New Roman"/>
      <w:kern w:val="2"/>
      <w:sz w:val="21"/>
      <w:lang w:val="en-US" w:eastAsia="zh-CN" w:bidi="ar-SA"/>
    </w:rPr>
  </w:style>
  <w:style w:type="paragraph" w:styleId="7">
    <w:name w:val="caption"/>
    <w:basedOn w:val="1"/>
    <w:next w:val="1"/>
    <w:qFormat/>
    <w:uiPriority w:val="0"/>
    <w:pPr>
      <w:spacing w:before="152" w:after="160"/>
    </w:pPr>
    <w:rPr>
      <w:rFonts w:ascii="Arial" w:hAnsi="Arial" w:eastAsia="黑体"/>
      <w:sz w:val="20"/>
      <w:szCs w:val="20"/>
    </w:rPr>
  </w:style>
  <w:style w:type="paragraph" w:styleId="8">
    <w:name w:val="annotation text"/>
    <w:basedOn w:val="1"/>
    <w:semiHidden/>
    <w:qFormat/>
    <w:uiPriority w:val="0"/>
    <w:pPr>
      <w:jc w:val="left"/>
    </w:pPr>
    <w:rPr>
      <w:kern w:val="0"/>
      <w:sz w:val="24"/>
      <w:szCs w:val="20"/>
    </w:rPr>
  </w:style>
  <w:style w:type="paragraph" w:styleId="9">
    <w:name w:val="Body Text"/>
    <w:basedOn w:val="1"/>
    <w:next w:val="10"/>
    <w:qFormat/>
    <w:uiPriority w:val="0"/>
    <w:pPr>
      <w:widowControl/>
      <w:snapToGrid w:val="0"/>
      <w:spacing w:before="60" w:after="160" w:line="259" w:lineRule="auto"/>
      <w:ind w:right="113"/>
    </w:pPr>
    <w:rPr>
      <w:kern w:val="0"/>
      <w:sz w:val="18"/>
      <w:szCs w:val="20"/>
    </w:rPr>
  </w:style>
  <w:style w:type="paragraph" w:styleId="10">
    <w:name w:val="List Bullet 5"/>
    <w:basedOn w:val="1"/>
    <w:qFormat/>
    <w:uiPriority w:val="0"/>
    <w:pPr>
      <w:numPr>
        <w:ilvl w:val="0"/>
        <w:numId w:val="1"/>
      </w:numPr>
    </w:pPr>
  </w:style>
  <w:style w:type="paragraph" w:styleId="11">
    <w:name w:val="Body Text Indent"/>
    <w:basedOn w:val="1"/>
    <w:next w:val="1"/>
    <w:qFormat/>
    <w:uiPriority w:val="0"/>
    <w:pPr>
      <w:widowControl w:val="0"/>
      <w:spacing w:after="120" w:line="240" w:lineRule="auto"/>
      <w:ind w:left="420" w:leftChars="200"/>
      <w:textAlignment w:val="auto"/>
    </w:pPr>
    <w:rPr>
      <w:kern w:val="2"/>
      <w:szCs w:val="24"/>
    </w:rPr>
  </w:style>
  <w:style w:type="paragraph" w:styleId="12">
    <w:name w:val="Date"/>
    <w:next w:val="1"/>
    <w:qFormat/>
    <w:uiPriority w:val="0"/>
    <w:pPr>
      <w:widowControl w:val="0"/>
      <w:jc w:val="both"/>
    </w:pPr>
    <w:rPr>
      <w:rFonts w:ascii="Times New Roman" w:hAnsi="Times New Roman" w:eastAsia="宋体" w:cs="Times New Roman"/>
      <w:kern w:val="2"/>
      <w:sz w:val="28"/>
      <w:lang w:val="en-US" w:eastAsia="zh-CN" w:bidi="ar-SA"/>
    </w:rPr>
  </w:style>
  <w:style w:type="paragraph" w:styleId="13">
    <w:name w:val="Body Text Indent 2"/>
    <w:next w:val="1"/>
    <w:qFormat/>
    <w:uiPriority w:val="0"/>
    <w:pPr>
      <w:widowControl w:val="0"/>
      <w:ind w:firstLine="560" w:firstLineChars="200"/>
      <w:jc w:val="both"/>
    </w:pPr>
    <w:rPr>
      <w:rFonts w:ascii="宋体" w:hAnsi="宋体" w:eastAsia="宋体" w:cs="Times New Roman"/>
      <w:kern w:val="2"/>
      <w:sz w:val="28"/>
      <w:szCs w:val="20"/>
      <w:lang w:val="en-US" w:eastAsia="zh-CN" w:bidi="ar-SA"/>
    </w:r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List"/>
    <w:next w:val="1"/>
    <w:qFormat/>
    <w:uiPriority w:val="0"/>
    <w:pPr>
      <w:widowControl w:val="0"/>
      <w:ind w:left="200" w:hanging="200" w:hangingChars="200"/>
      <w:jc w:val="both"/>
    </w:pPr>
    <w:rPr>
      <w:rFonts w:ascii="Times New Roman" w:hAnsi="Times New Roman" w:eastAsia="宋体" w:cs="Times New Roman"/>
      <w:kern w:val="2"/>
      <w:sz w:val="21"/>
      <w:szCs w:val="24"/>
      <w:lang w:val="en-US" w:eastAsia="zh-CN" w:bidi="ar-SA"/>
    </w:rPr>
  </w:style>
  <w:style w:type="paragraph" w:styleId="17">
    <w:name w:val="table of figures"/>
    <w:next w:val="1"/>
    <w:unhideWhenUsed/>
    <w:qFormat/>
    <w:uiPriority w:val="99"/>
    <w:pPr>
      <w:widowControl w:val="0"/>
      <w:ind w:left="200" w:leftChars="200" w:hanging="200" w:hangingChars="200"/>
      <w:jc w:val="both"/>
    </w:pPr>
    <w:rPr>
      <w:rFonts w:ascii="Times New Roman" w:hAnsi="Times New Roman" w:eastAsia="宋体" w:cs="Times New Roman"/>
      <w:kern w:val="2"/>
      <w:sz w:val="21"/>
      <w:szCs w:val="24"/>
      <w:lang w:val="en-US" w:eastAsia="zh-CN" w:bidi="ar-SA"/>
    </w:rPr>
  </w:style>
  <w:style w:type="paragraph" w:styleId="18">
    <w:name w:val="Body Text 2"/>
    <w:basedOn w:val="1"/>
    <w:qFormat/>
    <w:uiPriority w:val="0"/>
    <w:pPr>
      <w:spacing w:after="120" w:line="480" w:lineRule="auto"/>
    </w:pPr>
    <w:rPr>
      <w:kern w:val="0"/>
      <w:sz w:val="20"/>
      <w:szCs w:val="20"/>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2"/>
    <w:basedOn w:val="11"/>
    <w:next w:val="1"/>
    <w:unhideWhenUsed/>
    <w:qFormat/>
    <w:uiPriority w:val="99"/>
    <w:pPr>
      <w:ind w:firstLine="420" w:firstLineChars="262"/>
    </w:pPr>
    <w:rPr>
      <w:rFonts w:ascii="Times New Roman"/>
      <w:b/>
      <w:bCs/>
      <w:sz w:val="32"/>
      <w:szCs w:val="21"/>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paragraph" w:customStyle="1" w:styleId="26">
    <w:name w:val="Default"/>
    <w:next w:val="1"/>
    <w:unhideWhenUsed/>
    <w:qFormat/>
    <w:uiPriority w:val="99"/>
    <w:pPr>
      <w:widowControl w:val="0"/>
      <w:autoSpaceDE w:val="0"/>
      <w:autoSpaceDN w:val="0"/>
      <w:adjustRightInd w:val="0"/>
      <w:spacing w:beforeLines="0" w:afterLines="0"/>
    </w:pPr>
    <w:rPr>
      <w:rFonts w:hint="eastAsia" w:ascii="黑体" w:hAnsi="黑体" w:eastAsia="黑体" w:cs="Times New Roman"/>
      <w:color w:val="000000"/>
      <w:sz w:val="24"/>
      <w:szCs w:val="22"/>
    </w:rPr>
  </w:style>
  <w:style w:type="paragraph" w:customStyle="1" w:styleId="27">
    <w:name w:val="Table Paragraph"/>
    <w:basedOn w:val="1"/>
    <w:qFormat/>
    <w:uiPriority w:val="1"/>
    <w:pPr>
      <w:spacing w:before="2"/>
      <w:jc w:val="right"/>
    </w:pPr>
    <w:rPr>
      <w:rFonts w:ascii="仿宋" w:hAnsi="仿宋" w:eastAsia="仿宋" w:cs="仿宋"/>
      <w:lang w:val="zh-CN" w:eastAsia="zh-CN" w:bidi="zh-CN"/>
    </w:rPr>
  </w:style>
  <w:style w:type="paragraph" w:customStyle="1" w:styleId="28">
    <w:name w:val="【正文】"/>
    <w:qFormat/>
    <w:uiPriority w:val="0"/>
    <w:pPr>
      <w:widowControl w:val="0"/>
      <w:spacing w:line="440" w:lineRule="exact"/>
      <w:ind w:firstLine="544" w:firstLineChars="200"/>
      <w:jc w:val="both"/>
    </w:pPr>
    <w:rPr>
      <w:rFonts w:ascii="Times New Roman" w:hAnsi="Times New Roman" w:eastAsia="宋体" w:cs="宋体"/>
      <w:sz w:val="24"/>
      <w:lang w:val="en-US" w:eastAsia="zh-CN" w:bidi="ar-SA"/>
    </w:rPr>
  </w:style>
  <w:style w:type="paragraph" w:customStyle="1" w:styleId="29">
    <w:name w:val="样式 正文缩进 + 宋体 行距: 固定值 22 磅"/>
    <w:qFormat/>
    <w:uiPriority w:val="0"/>
    <w:pPr>
      <w:widowControl w:val="0"/>
      <w:ind w:firstLine="0" w:firstLineChars="0"/>
      <w:jc w:val="both"/>
    </w:pPr>
    <w:rPr>
      <w:rFonts w:ascii="Arial Unicode MS" w:hAnsi="Arial Unicode MS" w:eastAsia="宋体" w:cs="宋体"/>
      <w:kern w:val="2"/>
      <w:sz w:val="21"/>
      <w:szCs w:val="20"/>
      <w:lang w:val="en-US" w:eastAsia="zh-CN" w:bidi="ar-SA"/>
    </w:rPr>
  </w:style>
  <w:style w:type="paragraph" w:customStyle="1" w:styleId="30">
    <w:name w:val="标题四A"/>
    <w:qFormat/>
    <w:uiPriority w:val="0"/>
    <w:pPr>
      <w:widowControl w:val="0"/>
      <w:spacing w:line="360" w:lineRule="auto"/>
      <w:jc w:val="both"/>
      <w:outlineLvl w:val="3"/>
    </w:pPr>
    <w:rPr>
      <w:rFonts w:ascii="Times New Roman" w:hAnsi="Times New Roman" w:eastAsia="宋体" w:cs="Times New Roman"/>
      <w:b/>
      <w:kern w:val="0"/>
      <w:sz w:val="24"/>
      <w:szCs w:val="24"/>
      <w:lang w:val="en-US" w:eastAsia="zh-CN" w:bidi="ar-SA"/>
    </w:rPr>
  </w:style>
  <w:style w:type="paragraph" w:customStyle="1" w:styleId="31">
    <w:name w:val="正文1"/>
    <w:qFormat/>
    <w:uiPriority w:val="0"/>
    <w:pPr>
      <w:widowControl w:val="0"/>
      <w:adjustRightInd w:val="0"/>
      <w:snapToGrid w:val="0"/>
      <w:spacing w:line="500" w:lineRule="atLeast"/>
      <w:ind w:firstLine="567"/>
      <w:jc w:val="both"/>
    </w:pPr>
    <w:rPr>
      <w:rFonts w:ascii="Times New Roman" w:hAnsi="Times New Roman" w:eastAsia="宋体" w:cs="Times New Roman"/>
      <w:kern w:val="2"/>
      <w:sz w:val="28"/>
      <w:szCs w:val="20"/>
      <w:lang w:val="en-US" w:eastAsia="zh-CN" w:bidi="ar-SA"/>
    </w:rPr>
  </w:style>
  <w:style w:type="paragraph" w:customStyle="1" w:styleId="32">
    <w:name w:val="0正文"/>
    <w:basedOn w:val="19"/>
    <w:qFormat/>
    <w:uiPriority w:val="0"/>
    <w:pPr>
      <w:adjustRightInd w:val="0"/>
      <w:snapToGrid w:val="0"/>
      <w:spacing w:before="0" w:beforeAutospacing="0" w:after="0" w:afterAutospacing="0" w:line="440" w:lineRule="exact"/>
      <w:ind w:firstLine="200" w:firstLineChars="200"/>
      <w:jc w:val="both"/>
    </w:pPr>
    <w:rPr>
      <w:rFonts w:ascii="Times New Roman" w:hAnsi="Times New Roman" w:cs="Times New Roman"/>
      <w:kern w:val="2"/>
    </w:rPr>
  </w:style>
  <w:style w:type="paragraph" w:customStyle="1" w:styleId="33">
    <w:name w:val="表头标题"/>
    <w:qFormat/>
    <w:uiPriority w:val="0"/>
    <w:pPr>
      <w:widowControl w:val="0"/>
      <w:jc w:val="center"/>
    </w:pPr>
    <w:rPr>
      <w:rFonts w:ascii="Times New Roman" w:hAnsi="Times New Roman" w:eastAsia="宋体" w:cs="Times New Roman"/>
      <w:b/>
      <w:color w:val="FF0000"/>
      <w:kern w:val="2"/>
      <w:sz w:val="21"/>
      <w:szCs w:val="24"/>
      <w:lang w:val="en-US" w:eastAsia="zh-CN" w:bidi="ar-SA"/>
    </w:rPr>
  </w:style>
  <w:style w:type="paragraph" w:customStyle="1" w:styleId="34">
    <w:name w:val="图名、表头"/>
    <w:next w:val="1"/>
    <w:qFormat/>
    <w:uiPriority w:val="0"/>
    <w:pPr>
      <w:widowControl w:val="0"/>
      <w:ind w:firstLine="602" w:firstLineChars="200"/>
      <w:jc w:val="center"/>
    </w:pPr>
    <w:rPr>
      <w:rFonts w:ascii="Times New Roman" w:hAnsi="Times New Roman" w:eastAsia="宋体" w:cs="Times New Roman"/>
      <w:b/>
      <w:kern w:val="2"/>
      <w:sz w:val="24"/>
      <w:szCs w:val="20"/>
      <w:lang w:val="en-US" w:eastAsia="zh-CN" w:bidi="ar-SA"/>
    </w:rPr>
  </w:style>
  <w:style w:type="paragraph" w:customStyle="1" w:styleId="35">
    <w:name w:val="李建军表格式"/>
    <w:qFormat/>
    <w:uiPriority w:val="0"/>
    <w:pPr>
      <w:widowControl w:val="0"/>
      <w:wordWrap w:val="0"/>
      <w:ind w:left="0" w:firstLine="0" w:firstLineChars="0"/>
      <w:contextualSpacing/>
      <w:jc w:val="center"/>
    </w:pPr>
    <w:rPr>
      <w:rFonts w:ascii="宋体" w:hAnsi="宋体" w:eastAsia="宋体" w:cs="Times New Roman"/>
      <w:kern w:val="2"/>
      <w:sz w:val="21"/>
      <w:szCs w:val="21"/>
      <w:lang w:val="en-US" w:eastAsia="zh-CN" w:bidi="ar-SA"/>
    </w:rPr>
  </w:style>
  <w:style w:type="paragraph" w:customStyle="1" w:styleId="36">
    <w:name w:val="正文01"/>
    <w:qFormat/>
    <w:uiPriority w:val="0"/>
    <w:pPr>
      <w:widowControl w:val="0"/>
      <w:wordWrap w:val="0"/>
      <w:spacing w:before="60" w:line="480" w:lineRule="exact"/>
      <w:ind w:firstLine="539" w:firstLineChars="200"/>
      <w:jc w:val="both"/>
    </w:pPr>
    <w:rPr>
      <w:rFonts w:ascii="Times New Roman" w:hAnsi="Times New Roman" w:eastAsia="宋体" w:cs="Times New Roman"/>
      <w:kern w:val="2"/>
      <w:sz w:val="27"/>
      <w:szCs w:val="20"/>
      <w:lang w:val="en-US" w:eastAsia="zh-CN" w:bidi="ar-SA"/>
    </w:rPr>
  </w:style>
  <w:style w:type="paragraph" w:customStyle="1" w:styleId="37">
    <w:name w:val="表格"/>
    <w:basedOn w:val="6"/>
    <w:next w:val="18"/>
    <w:qFormat/>
    <w:uiPriority w:val="0"/>
    <w:pPr>
      <w:adjustRightInd w:val="0"/>
      <w:snapToGrid w:val="0"/>
      <w:spacing w:beforeLines="10" w:afterLines="10" w:line="259" w:lineRule="auto"/>
      <w:jc w:val="center"/>
    </w:pPr>
    <w:rPr>
      <w:rFonts w:ascii="宋体"/>
      <w:kern w:val="0"/>
      <w:szCs w:val="20"/>
    </w:rPr>
  </w:style>
  <w:style w:type="paragraph" w:customStyle="1" w:styleId="38">
    <w:name w:val="正文（缩进）"/>
    <w:basedOn w:val="1"/>
    <w:qFormat/>
    <w:uiPriority w:val="99"/>
    <w:pPr>
      <w:spacing w:line="360" w:lineRule="auto"/>
      <w:ind w:firstLine="480" w:firstLineChars="200"/>
    </w:pPr>
    <w:rPr>
      <w:sz w:val="24"/>
    </w:rPr>
  </w:style>
  <w:style w:type="paragraph" w:customStyle="1" w:styleId="39">
    <w:name w:val="样式 样式 (中文) 楷体_GB2312 四号 行距: 固定值 26 磅 +"/>
    <w:qFormat/>
    <w:uiPriority w:val="0"/>
    <w:pPr>
      <w:widowControl w:val="0"/>
      <w:spacing w:line="360" w:lineRule="auto"/>
      <w:ind w:firstLine="480" w:firstLineChars="200"/>
      <w:jc w:val="both"/>
    </w:pPr>
    <w:rPr>
      <w:rFonts w:ascii="Times New Roman" w:hAnsi="Times New Roman" w:eastAsia="宋体" w:cs="Times New Roman"/>
      <w:kern w:val="0"/>
      <w:sz w:val="24"/>
      <w:szCs w:val="24"/>
      <w:lang w:val="en-US" w:eastAsia="zh-CN" w:bidi="ar-SA"/>
    </w:rPr>
  </w:style>
  <w:style w:type="paragraph" w:customStyle="1" w:styleId="40">
    <w:name w:val="Table Text"/>
    <w:basedOn w:val="1"/>
    <w:semiHidden/>
    <w:qFormat/>
    <w:uiPriority w:val="0"/>
    <w:rPr>
      <w:rFonts w:ascii="宋体" w:hAnsi="宋体" w:eastAsia="宋体" w:cs="宋体"/>
      <w:sz w:val="20"/>
      <w:szCs w:val="20"/>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样式 首行缩进:  2 字符1"/>
    <w:basedOn w:val="1"/>
    <w:qFormat/>
    <w:uiPriority w:val="0"/>
    <w:pPr>
      <w:adjustRightInd w:val="0"/>
      <w:snapToGrid w:val="0"/>
      <w:spacing w:line="360" w:lineRule="auto"/>
      <w:ind w:firstLine="480" w:firstLineChars="200"/>
    </w:pPr>
    <w:rPr>
      <w:rFonts w:cs="宋体"/>
      <w:sz w:val="24"/>
      <w:lang w:val="en-US" w:eastAsia="zh-CN"/>
    </w:rPr>
  </w:style>
  <w:style w:type="paragraph" w:customStyle="1" w:styleId="43">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44">
    <w:name w:val="Char"/>
    <w:qFormat/>
    <w:uiPriority w:val="0"/>
    <w:pPr>
      <w:keepNext/>
      <w:keepLines/>
      <w:widowControl w:val="0"/>
      <w:spacing w:line="360" w:lineRule="auto"/>
      <w:jc w:val="left"/>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wmf"/><Relationship Id="rId24" Type="http://schemas.openxmlformats.org/officeDocument/2006/relationships/image" Target="media/image18.png"/><Relationship Id="rId23" Type="http://schemas.openxmlformats.org/officeDocument/2006/relationships/image" Target="media/image17.wmf"/><Relationship Id="rId22" Type="http://schemas.openxmlformats.org/officeDocument/2006/relationships/oleObject" Target="embeddings/oleObject2.bin"/><Relationship Id="rId21" Type="http://schemas.openxmlformats.org/officeDocument/2006/relationships/image" Target="media/image1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NDc3MjkwNzMzODQyIiwKCSJHcm91cElkIiA6ICI4MzAyNTM0NTQiLAoJIkltYWdlIiA6ICJpVkJPUncwS0dnb0FBQUFOU1VoRVVnQUFCTVFBQUFNR0NBWUFBQUFkdDFqTEFBQUFBWE5TUjBJQXJzNGM2UUFBSUFCSlJFRlVlSnpzM1hsOFZkVzkvLy8zWjUrVENjSWtZVkR6VTFRUWpDYWNmZUo0RlpVNjlxdFdXNnRYVVN6aTJGdnJiQy9XeWkxV3JTTU90MVZSVkxRT3QwNUlyVGpVWWhXb0ErVHNrNkFvR3BWV0hDcklJRFBKMmV2M0IwbDZrcHdNUU9BUWVEMGZEeDQ1WjYzUFh1dXpEcWtsbjZ5OXRn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I0WS9qLzNZaWlhcjM3bFY4QUFBQUFTVVZPUks1Q1lJST0iLAoJIlRoZW1lIiA6ICIiLAoJIlR5cGUiIDogImZsb3ciLAoJIlVzZXJJZCIgOiAiNzU1NTc3ODU0IiwKCSJWZXJzaW9uIiA6ICIiCn0K"/>
    </extobj>
    <extobj name="ECB019B1-382A-4266-B25C-5B523AA43C14-2">
      <extobjdata type="ECB019B1-382A-4266-B25C-5B523AA43C14" data="ewoJIkZpbGVJZCIgOiAiNDc4NzUzNDM0MDc5IiwKCSJHcm91cElkIiA6ICI4MzAyNTM0NTQiLAoJIkltYWdlIiA6ICJpVkJPUncwS0dnb0FBQUFOU1VoRVVnQUFBa01BQUFHZ0NBWUFBQUNwQVdNcUFBQUFBWE5TUjBJQXJzNGM2UUFBSUFCSlJFRlVlSnpzM1hsNEZFWDZCL0J2ZGM4a0UwTENJWmNMQ0M1Uk1KSmt1bWRSUWRmN1FOWUQrYW5naFlyeGR2RkFkM1VSUlZSY0ZXOUVsRXM4UUZqa0VnV1BSVHdBUlRJOUNUSEFnb0FDeW4wbFFDYVo2ZmYzUjJiR3ljbGhrZ25NOS9NOGVaS3VycTZ1SHBydWQ2cXFxd0V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FJyK2YvVE9USVNpL2RvQmdBQUFBQkpSVTVFcmtKZ2dnPT0iLAoJIlRoZW1lIiA6ICIiLAoJIlR5cGUiIDogImZsb3ciLAoJIlVzZXJJZCIgOiAiNzU1NTc3ODU0IiwKCSJWZXJzaW9uIiA6ICIiCn0K"/>
    </extobj>
    <extobj name="ECB019B1-382A-4266-B25C-5B523AA43C14-3">
      <extobjdata type="ECB019B1-382A-4266-B25C-5B523AA43C14" data="ewoJIkZpbGVJZCIgOiAiNDc4NzUzNDM0MDc5IiwKCSJHcm91cElkIiA6ICI4MzAyNTM0NTQiLAoJIkltYWdlIiA6ICJpVkJPUncwS0dnb0FBQUFOU1VoRVVnQUFBMFlBQUFQRENBWUFBQUNYV1J0ekFBQUFBWE5TUjBJQXJzNGM2UUFBSUFCSlJFRlVlSnpzM1hsOFZOWDkvL0gzdVRNSncxb1dCVlRVdEM1QVdESjNVbTFkMGJiYVZxdDFSVzNyVjYzYVRldUtSVVZ0clQrWDR0SmFyTmFGcitLT1N3R3RWdnRGY2FrZ1ltWW1DVTFBVVVCUWRnaEx5REl6OS96K3lFeWNKQU1FUkNibXZwNlBoNDlINXR4ejcvM01nRHptbmJOY0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dm9CKy84NUNEVkdnUmpjcFFBQUFBQkpSVTVFcmtKZ2dnPT0iLAoJIlRoZW1lIiA6ICIiLAoJIlR5cGUiIDogImZsb3ciLAoJIlVzZXJJZCIgOiAiNzU1NTc3ODU0IiwKCSJWZXJzaW9uIiA6ICIiCn0K"/>
    </extobj>
    <extobj name="ECB019B1-382A-4266-B25C-5B523AA43C14-4">
      <extobjdata type="ECB019B1-382A-4266-B25C-5B523AA43C14" data="ewoJIkZpbGVJZCIgOiAiNDc4NzUzNDM0MDc5IiwKCSJHcm91cElkIiA6ICI4MzAyNTM0NTQiLAoJIkltYWdlIiA6ICJpVkJPUncwS0dnb0FBQUFOU1VoRVVnQUFCYWtBQUFKSENBWUFBQUNhVTlxMkFBQUFBWE5TUjBJQXJzNGM2UUFBSUFCSlJFRlVlSnpzM1h1WTFtV2RQL0RQL1gwZVlFQlFRQlJUTWpTUEJPTThnMWlaVm1UbVpxNldtdXZhMGJUY3lsTFUyamJ6VkduV1pxbmJWbVpGQjMrdDFTOXIrMmwyc0JaYk5RMlpHU2Jsa0ppWXVtYWlDUXB5bU9lNWYzOHdNenZNRENESGg0SFg2N3E0NXZuZXArL24rM1JkWGN5YjIvc2J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IdTUvdy9PcUFPb3llajZuQUFBQUFCSlJVNUVya0pnZ2c9PSIsCgkiVGhlbWUiIDogIiIsCgkiVHlwZSIgOiAiZmxvdyIsCgkiVXNlcklkIiA6ICI3NTU1Nzc4NTQiLAoJIlZlcnNpb24iIDogIiIKfQo="/>
    </extobj>
    <extobj name="ECB019B1-382A-4266-B25C-5B523AA43C14-5">
      <extobjdata type="ECB019B1-382A-4266-B25C-5B523AA43C14" data="ewoJIkZpbGVJZCIgOiAiNDc4NzUzNDM0MDc5IiwKCSJHcm91cElkIiA6ICI4MzAyNTM0NTQiLAoJIkltYWdlIiA6ICJpVkJPUncwS0dnb0FBQUFOU1VoRVVnQUFCUm9BQUFRTENBWUFBQURrMkJXaEFBQUFBWE5TUjBJQXJzNGM2UUFBSUFCSlJFRlVlSnpzM1hsMEZGWGV4dkhuVm5kMmxyQ0lLQWlCQ1Z2QUpOMnNFaEZIUjl4eDNFVlp4bEhaRkJWUVI5OFJBV1VjVkZSUUVNRUZFQWMzZEJTVlFjWGRZVnlnTzRSVkZFVkFsQkVEQXBJTzZkUjkveURKSkNTQlFBZWJ3UGR6VGc3VTNlcFhwWC9rUE55cWt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Z2FmOGZ1d0kwSzZXRHBjb0FBQUFBU1VWT1JLNUNZSUk9IiwKCSJUaGVtZSIgOiAiIiwKCSJUeXBlIiA6ICJmbG93IiwKCSJVc2VySWQiIDogIjc1NTU3Nzg1NCIsCgkiVmVyc2lvbiIgOiAiIgp9Cg=="/>
    </extobj>
    <extobj name="ECB019B1-382A-4266-B25C-5B523AA43C14-6">
      <extobjdata type="ECB019B1-382A-4266-B25C-5B523AA43C14" data="ewoJIkZpbGVJZCIgOiAiNDc4NzUzNDM0MDc5IiwKCSJHcm91cElkIiA6ICI4MzAyNTM0NTQiLAoJIkltYWdlIiA6ICJpVkJPUncwS0dnb0FBQUFOU1VoRVVnQUFCRmdBQUFNNUNBWUFBQUF6RElYVUFBQUFBWE5TUjBJQXJzNGM2UUFBSUFCSlJFRlVlSnpzM1hsY1ZPWCtCL0RQYzJaWVpWTlIwVkRKclNBRkJsTXlMYzE5K1dubW1scGVyY3hkTTcyV2V5NTVjeW0zWEhDcDNEQk5yMm51cGJrdktZc3JxYmlqUXFBZ0lERE16RG0vUDRTNURETXNMakFzbi9mcjhvTHpuT2VjOHgxZTNody84eXdB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"/>
    </extobj>
    <extobj name="ECB019B1-382A-4266-B25C-5B523AA43C14-7">
      <extobjdata type="ECB019B1-382A-4266-B25C-5B523AA43C14" data="ewoJIkZpbGVJZCIgOiAiNDc4NzUzNDM0MDc5IiwKCSJHcm91cElkIiA6ICI4MzAyNTM0NTQiLAoJIkltYWdlIiA6ICJpVkJPUncwS0dnb0FBQUFOU1VoRVVnQUFBc1lBQUFFY0NBWUFBQURFSlhKaEFBQUFBWE5TUjBJQXJzNGM2UUFBSUFCSlJFRlVlSnpzM1hsNEU5WDZCL0R2bWFRTHBTMXRXUzRnU3NWNlFZU1FHVlJBQVRkQUx5b0lzcWdzWGhTUnhVdFZRUEZLd1ovaWd1ejNDaGVLeUtaRlJDa2dJT0tDSWdpSVdTalFzaFNwV0JCWlMrbVNMcG56KzZOSlRFdUJBbTJUbHUvbmVYek1ySG1IdDVPOE9YUG1E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"/>
    </extobj>
    <extobj name="ECB019B1-382A-4266-B25C-5B523AA43C14-8">
      <extobjdata type="ECB019B1-382A-4266-B25C-5B523AA43C14" data="ewoJIkZpbGVJZCIgOiAiNDc4NzUzNDM0MDc5IiwKCSJHcm91cElkIiA6ICI4MzAyNTM0NTQiLAoJIkltYWdlIiA6ICJpVkJPUncwS0dnb0FBQUFOU1VoRVVnQUFCdFFBQUFGZkNBWUFBQURlYXlqMEFBQUFBWE5TUjBJQXJzNGM2UUFBSUFCSlJFRlVlSnpzM1htY0hIV2QvL0gzcDJxTzNPSDJJQ3JvdUFtVHBLZSsxU29lZ0tBaWVDRUtDS3VBc3VLdGlMRDYwMFZkYjJBOXdHdTlFVHhXd1Z0UkZPVndWMVRVcWVycHdFQTBxMEZaRDBBQ0NVbG1NdFAxK2YweE5kanA5RXdteVpBSjVQVjhQUExJekxlKzlhMVBWWGQxb0Q3OStYNG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Q2Qvai9qa3hRY2szZk1WQUFBQUFCSlJVNUVya0pnZ2c9PSIsCgkiVGhlbWUiIDogIiIsCgkiVHlwZSIgOiAiZmxvdyIsCgkiVXNlcklkIiA6ICI3NTU1Nzc4NTQiLAoJIlZlcnNpb24iIDogIiIKfQo="/>
    </extobj>
  </extobjs>
</s:customData>
</file>

<file path=customXml/item2.xml><?xml version="1.0" encoding="utf-8"?>
<contractReview xmlns="http://schemas.wps.cn/vas-ai-hub/contract-review">
  <reviewItems>
    <reviewItem>
      <errorID>207e7bf4-3fa1-4dfc-8141-9f90b5e1ef3b</errorID>
      <errorWord>73183.1319m2</errorWord>
      <group>L1_Other</group>
      <groupName>其他问题</groupName>
      <ability>L2_Consistency</ability>
      <abilityName>一致性检查</abilityName>
      <candidateList>
        <item>73183.13m2</item>
      </candidateList>
      <explain>数字一致性问题，在描述总占地面积时，前文提到‘总占地面积为73183.13m2’，为保持一致，应将‘73183.1319m2’改为‘73183.13m2’</explain>
      <paraID>108BDDB1</paraID>
      <start>5</start>
      <end>17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fb0f1f-38c7-4430-b379-747f717b629c}">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169</Words>
  <Characters>182</Characters>
  <Lines>0</Lines>
  <Paragraphs>0</Paragraphs>
  <TotalTime>8</TotalTime>
  <ScaleCrop>false</ScaleCrop>
  <LinksUpToDate>false</LinksUpToDate>
  <CharactersWithSpaces>182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2021-10-09T12:18:00Z</dcterms:created>
  <dc:creator>MyPC</dc:creator>
  <cp:lastModifiedBy>WPS_1562320662</cp:lastModifiedBy>
  <dcterms:modified xsi:type="dcterms:W3CDTF">2026-04-30T04:57:27Z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88306A65509E421DA4FAD80295B57D14</vt:lpwstr>
  </property>
  <property fmtid="{D5CDD505-2E9C-101B-9397-08002B2CF9AE}" pid="4" name="KSOTemplateDocerSaveRecord">
    <vt:lpwstr>eyJoZGlkIjoiNGRhODgyNjQ5YTE5ZjFmYjE2NDEwOTU4OTE2MjU0N2MiLCJ1c2VySWQiOiI2MDE2NTE5NzkifQ==</vt:lpwstr>
  </property>
</Properties>
</file>