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810E58">
      <w:pPr>
        <w:rPr>
          <w:rFonts w:ascii="仿宋_GB2312" w:hAnsi="仿宋_GB2312" w:eastAsia="仿宋_GB2312" w:cs="仿宋_GB2312"/>
          <w:sz w:val="36"/>
          <w:szCs w:val="36"/>
        </w:rPr>
      </w:pPr>
    </w:p>
    <w:p w14:paraId="674335F2">
      <w:pPr>
        <w:rPr>
          <w:rFonts w:ascii="仿宋_GB2312" w:hAnsi="仿宋_GB2312" w:eastAsia="仿宋_GB2312" w:cs="仿宋_GB2312"/>
          <w:sz w:val="36"/>
          <w:szCs w:val="36"/>
        </w:rPr>
      </w:pPr>
    </w:p>
    <w:p w14:paraId="52712820">
      <w:pPr>
        <w:rPr>
          <w:rFonts w:ascii="仿宋_GB2312" w:hAnsi="仿宋_GB2312" w:eastAsia="仿宋_GB2312" w:cs="仿宋_GB2312"/>
          <w:sz w:val="36"/>
          <w:szCs w:val="36"/>
        </w:rPr>
      </w:pPr>
    </w:p>
    <w:p w14:paraId="31229993">
      <w:pPr>
        <w:rPr>
          <w:rFonts w:ascii="仿宋_GB2312" w:hAnsi="仿宋_GB2312" w:eastAsia="仿宋_GB2312" w:cs="仿宋_GB2312"/>
          <w:sz w:val="36"/>
          <w:szCs w:val="36"/>
        </w:rPr>
      </w:pPr>
    </w:p>
    <w:p w14:paraId="3C1E4807">
      <w:pPr>
        <w:rPr>
          <w:rFonts w:hint="eastAsia" w:ascii="仿宋_GB2312" w:hAnsi="仿宋_GB2312" w:eastAsia="仿宋_GB2312" w:cs="仿宋_GB2312"/>
          <w:sz w:val="36"/>
          <w:szCs w:val="36"/>
        </w:rPr>
      </w:pPr>
    </w:p>
    <w:p w14:paraId="005AC557">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14:paraId="719E6969">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14:paraId="19839021">
      <w:pPr>
        <w:jc w:val="center"/>
        <w:rPr>
          <w:rFonts w:eastAsia="仿宋"/>
          <w:sz w:val="52"/>
          <w:szCs w:val="52"/>
        </w:rPr>
      </w:pPr>
    </w:p>
    <w:p w14:paraId="11D244C7">
      <w:pPr>
        <w:ind w:firstLine="1040"/>
        <w:rPr>
          <w:rFonts w:eastAsia="仿宋"/>
          <w:sz w:val="44"/>
          <w:szCs w:val="44"/>
        </w:rPr>
      </w:pPr>
    </w:p>
    <w:p w14:paraId="742BD8A0">
      <w:pPr>
        <w:ind w:firstLine="1040"/>
        <w:rPr>
          <w:rFonts w:eastAsia="仿宋"/>
          <w:sz w:val="44"/>
          <w:szCs w:val="44"/>
        </w:rPr>
      </w:pPr>
    </w:p>
    <w:p w14:paraId="35D26F71">
      <w:pPr>
        <w:pStyle w:val="11"/>
        <w:ind w:left="0" w:leftChars="0" w:firstLine="0" w:firstLineChars="0"/>
        <w:rPr>
          <w:rFonts w:eastAsia="仿宋"/>
          <w:sz w:val="44"/>
          <w:szCs w:val="44"/>
        </w:rPr>
      </w:pPr>
    </w:p>
    <w:p w14:paraId="5B58D864">
      <w:pPr>
        <w:pStyle w:val="11"/>
        <w:ind w:left="0" w:leftChars="0" w:firstLine="0" w:firstLineChars="0"/>
        <w:rPr>
          <w:rFonts w:eastAsia="仿宋"/>
          <w:sz w:val="44"/>
          <w:szCs w:val="44"/>
        </w:rPr>
      </w:pPr>
    </w:p>
    <w:p w14:paraId="1092BA5A">
      <w:pPr>
        <w:ind w:firstLine="1040"/>
        <w:rPr>
          <w:rFonts w:eastAsia="仿宋"/>
          <w:sz w:val="44"/>
          <w:szCs w:val="44"/>
        </w:rPr>
      </w:pPr>
    </w:p>
    <w:p w14:paraId="042BF1AC">
      <w:pPr>
        <w:adjustRightInd w:val="0"/>
        <w:snapToGrid w:val="0"/>
        <w:spacing w:line="288" w:lineRule="auto"/>
        <w:ind w:firstLine="720" w:firstLineChars="200"/>
        <w:rPr>
          <w:rFonts w:hint="eastAsia" w:ascii="仿宋_GB2312" w:eastAsia="仿宋_GB2312"/>
          <w:sz w:val="36"/>
          <w:szCs w:val="36"/>
          <w:u w:val="single"/>
          <w:lang w:val="en-US" w:eastAsia="zh-CN"/>
        </w:rPr>
      </w:pPr>
      <w:r>
        <w:rPr>
          <w:rFonts w:hint="eastAsia" w:ascii="仿宋_GB2312" w:eastAsia="仿宋_GB2312"/>
          <w:sz w:val="36"/>
          <w:szCs w:val="36"/>
        </w:rPr>
        <w:t>项目名称：</w:t>
      </w:r>
      <w:r>
        <w:rPr>
          <w:rFonts w:hint="eastAsia" w:ascii="仿宋_GB2312" w:eastAsia="仿宋_GB2312"/>
          <w:sz w:val="36"/>
          <w:szCs w:val="36"/>
          <w:u w:val="single"/>
          <w:lang w:val="en-US" w:eastAsia="zh-CN"/>
        </w:rPr>
        <w:t>新疆羌河新型建材科技有限公司节能</w:t>
      </w:r>
    </w:p>
    <w:p w14:paraId="2B147992">
      <w:pPr>
        <w:adjustRightInd w:val="0"/>
        <w:snapToGrid w:val="0"/>
        <w:spacing w:line="288" w:lineRule="auto"/>
        <w:ind w:firstLine="2520" w:firstLineChars="700"/>
        <w:rPr>
          <w:rFonts w:hint="default" w:ascii="仿宋_GB2312" w:eastAsia="仿宋_GB2312"/>
          <w:sz w:val="36"/>
          <w:szCs w:val="36"/>
          <w:u w:val="single"/>
          <w:lang w:val="en-US"/>
        </w:rPr>
      </w:pPr>
      <w:r>
        <w:rPr>
          <w:rFonts w:hint="eastAsia" w:ascii="仿宋_GB2312" w:eastAsia="仿宋_GB2312"/>
          <w:sz w:val="36"/>
          <w:szCs w:val="36"/>
          <w:u w:val="single"/>
          <w:lang w:val="en-US" w:eastAsia="zh-CN"/>
        </w:rPr>
        <w:t>装配式建筑及建筑新型材料生产项目</w:t>
      </w:r>
    </w:p>
    <w:p w14:paraId="653D454B">
      <w:pPr>
        <w:adjustRightInd w:val="0"/>
        <w:snapToGrid w:val="0"/>
        <w:spacing w:line="288" w:lineRule="auto"/>
        <w:ind w:firstLine="720" w:firstLineChars="200"/>
        <w:rPr>
          <w:rFonts w:hint="eastAsia" w:ascii="仿宋_GB2312" w:eastAsia="仿宋_GB2312"/>
          <w:sz w:val="36"/>
          <w:szCs w:val="36"/>
          <w:u w:val="single"/>
          <w:lang w:val="en-US" w:eastAsia="zh-CN"/>
        </w:rPr>
      </w:pPr>
      <w:r>
        <w:rPr>
          <w:rFonts w:hint="eastAsia" w:ascii="仿宋_GB2312" w:eastAsia="仿宋_GB2312"/>
          <w:sz w:val="36"/>
          <w:szCs w:val="36"/>
        </w:rPr>
        <w:t>建设单位（盖章）：</w:t>
      </w:r>
      <w:r>
        <w:rPr>
          <w:rFonts w:hint="eastAsia" w:ascii="仿宋_GB2312" w:eastAsia="仿宋_GB2312"/>
          <w:sz w:val="36"/>
          <w:szCs w:val="36"/>
          <w:u w:val="single"/>
          <w:lang w:val="en-US" w:eastAsia="zh-CN"/>
        </w:rPr>
        <w:t>新疆羌河新型建材科技有限</w:t>
      </w:r>
    </w:p>
    <w:p w14:paraId="50C45E73">
      <w:pPr>
        <w:adjustRightInd w:val="0"/>
        <w:snapToGrid w:val="0"/>
        <w:spacing w:line="288" w:lineRule="auto"/>
        <w:ind w:firstLine="3960" w:firstLineChars="1100"/>
        <w:rPr>
          <w:rFonts w:ascii="仿宋_GB2312" w:eastAsia="仿宋_GB2312"/>
          <w:sz w:val="36"/>
          <w:szCs w:val="36"/>
          <w:u w:val="single"/>
        </w:rPr>
      </w:pPr>
      <w:r>
        <w:rPr>
          <w:rFonts w:hint="eastAsia" w:ascii="仿宋_GB2312" w:eastAsia="仿宋_GB2312"/>
          <w:sz w:val="36"/>
          <w:szCs w:val="36"/>
          <w:u w:val="single"/>
          <w:lang w:val="en-US" w:eastAsia="zh-CN"/>
        </w:rPr>
        <w:t>公司</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rPr>
        <w:t xml:space="preserve"> </w:t>
      </w:r>
    </w:p>
    <w:p w14:paraId="60CE1BBD">
      <w:pPr>
        <w:adjustRightInd w:val="0"/>
        <w:snapToGrid w:val="0"/>
        <w:spacing w:line="288" w:lineRule="auto"/>
        <w:ind w:firstLine="720" w:firstLineChars="200"/>
        <w:rPr>
          <w:rFonts w:hint="eastAsia" w:ascii="仿宋_GB2312" w:eastAsia="仿宋_GB2312"/>
          <w:sz w:val="36"/>
          <w:szCs w:val="36"/>
          <w:u w:val="single"/>
        </w:rPr>
      </w:pPr>
      <w:r>
        <w:rPr>
          <w:rFonts w:hint="eastAsia" w:ascii="仿宋_GB2312" w:eastAsia="仿宋_GB2312"/>
          <w:sz w:val="36"/>
          <w:szCs w:val="36"/>
        </w:rPr>
        <w:t>编制日期：</w:t>
      </w:r>
      <w:r>
        <w:rPr>
          <w:rFonts w:hint="eastAsia" w:ascii="仿宋" w:hAnsi="仿宋" w:eastAsia="仿宋" w:cs="仿宋"/>
          <w:sz w:val="36"/>
          <w:szCs w:val="36"/>
          <w:u w:val="single"/>
          <w:lang w:val="en-US" w:eastAsia="zh-CN"/>
        </w:rPr>
        <w:t>2026年4月</w:t>
      </w:r>
      <w:r>
        <w:rPr>
          <w:rFonts w:hint="eastAsia" w:ascii="仿宋_GB2312" w:eastAsia="仿宋_GB2312"/>
          <w:sz w:val="36"/>
          <w:szCs w:val="36"/>
          <w:u w:val="single"/>
          <w:lang w:val="en-US" w:eastAsia="zh-CN"/>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ascii="仿宋_GB2312" w:eastAsia="仿宋_GB2312"/>
          <w:sz w:val="36"/>
          <w:szCs w:val="36"/>
          <w:u w:val="single"/>
        </w:rPr>
        <w:t xml:space="preserve"> </w:t>
      </w:r>
    </w:p>
    <w:p w14:paraId="42B268DB">
      <w:pPr>
        <w:adjustRightInd w:val="0"/>
        <w:snapToGrid w:val="0"/>
        <w:spacing w:line="288" w:lineRule="auto"/>
        <w:ind w:firstLine="1040"/>
        <w:rPr>
          <w:rFonts w:ascii="仿宋_GB2312" w:eastAsia="仿宋_GB2312"/>
          <w:sz w:val="36"/>
          <w:szCs w:val="36"/>
          <w:u w:val="single"/>
        </w:rPr>
      </w:pPr>
      <w:bookmarkStart w:id="0" w:name="_Hlk57884087"/>
    </w:p>
    <w:p w14:paraId="59B706A5">
      <w:pPr>
        <w:adjustRightInd w:val="0"/>
        <w:snapToGrid w:val="0"/>
        <w:spacing w:line="288" w:lineRule="auto"/>
        <w:ind w:firstLine="1040"/>
        <w:rPr>
          <w:rFonts w:ascii="仿宋_GB2312" w:eastAsia="仿宋_GB2312"/>
          <w:sz w:val="36"/>
          <w:szCs w:val="36"/>
        </w:rPr>
      </w:pPr>
    </w:p>
    <w:p w14:paraId="0C6D18DA">
      <w:pPr>
        <w:adjustRightInd w:val="0"/>
        <w:snapToGrid w:val="0"/>
        <w:spacing w:line="288" w:lineRule="auto"/>
        <w:ind w:firstLine="1040"/>
        <w:rPr>
          <w:rFonts w:ascii="仿宋_GB2312" w:eastAsia="仿宋_GB2312"/>
          <w:sz w:val="36"/>
          <w:szCs w:val="36"/>
        </w:rPr>
      </w:pPr>
    </w:p>
    <w:p w14:paraId="775F148C">
      <w:pPr>
        <w:pStyle w:val="19"/>
      </w:pPr>
    </w:p>
    <w:p w14:paraId="0852B6D0">
      <w:pPr>
        <w:adjustRightInd w:val="0"/>
        <w:snapToGrid w:val="0"/>
        <w:spacing w:line="288" w:lineRule="auto"/>
        <w:ind w:firstLine="1040"/>
        <w:rPr>
          <w:rFonts w:hint="eastAsia" w:ascii="仿宋_GB2312" w:eastAsia="仿宋_GB2312"/>
          <w:sz w:val="36"/>
          <w:szCs w:val="36"/>
        </w:rPr>
      </w:pPr>
    </w:p>
    <w:bookmarkEnd w:id="0"/>
    <w:p w14:paraId="37380FAD">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14:paraId="6B02082B">
      <w:pPr>
        <w:adjustRightInd w:val="0"/>
        <w:snapToGrid w:val="0"/>
        <w:spacing w:line="288" w:lineRule="auto"/>
        <w:ind w:firstLine="1040"/>
        <w:rPr>
          <w:rFonts w:ascii="仿宋_GB2312" w:eastAsia="仿宋_GB2312"/>
          <w:sz w:val="36"/>
          <w:szCs w:val="36"/>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1DB43AB1">
      <w:pPr>
        <w:pStyle w:val="18"/>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22"/>
        <w:tblW w:w="88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37"/>
        <w:gridCol w:w="2486"/>
        <w:gridCol w:w="2217"/>
        <w:gridCol w:w="2633"/>
      </w:tblGrid>
      <w:tr w14:paraId="30193D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8" w:type="dxa"/>
            <w:noWrap w:val="0"/>
            <w:tcMar>
              <w:top w:w="16" w:type="dxa"/>
              <w:left w:w="16" w:type="dxa"/>
              <w:right w:w="16" w:type="dxa"/>
            </w:tcMar>
            <w:vAlign w:val="center"/>
          </w:tcPr>
          <w:p w14:paraId="2921E393">
            <w:pPr>
              <w:pStyle w:val="40"/>
              <w:bidi w:val="0"/>
            </w:pPr>
            <w:r>
              <w:rPr>
                <w:rFonts w:hint="eastAsia"/>
              </w:rPr>
              <w:t>建设项目名称</w:t>
            </w:r>
          </w:p>
        </w:tc>
        <w:tc>
          <w:tcPr>
            <w:tcW w:w="7225" w:type="dxa"/>
            <w:gridSpan w:val="3"/>
            <w:noWrap w:val="0"/>
            <w:vAlign w:val="center"/>
          </w:tcPr>
          <w:p w14:paraId="23BB552C">
            <w:pPr>
              <w:pStyle w:val="40"/>
              <w:bidi w:val="0"/>
            </w:pPr>
            <w:r>
              <w:rPr>
                <w:rFonts w:hint="eastAsia"/>
                <w:lang w:val="en-US" w:eastAsia="zh-CN"/>
              </w:rPr>
              <w:t>新疆羌河新型建材科技有限公司节能装配式建筑及建筑新型材料生产项目</w:t>
            </w:r>
          </w:p>
        </w:tc>
      </w:tr>
      <w:tr w14:paraId="55AF2E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8" w:type="dxa"/>
            <w:noWrap w:val="0"/>
            <w:tcMar>
              <w:top w:w="16" w:type="dxa"/>
              <w:left w:w="16" w:type="dxa"/>
              <w:right w:w="16" w:type="dxa"/>
            </w:tcMar>
            <w:vAlign w:val="center"/>
          </w:tcPr>
          <w:p w14:paraId="64EC4E7A">
            <w:pPr>
              <w:pStyle w:val="40"/>
              <w:bidi w:val="0"/>
            </w:pPr>
            <w:r>
              <w:rPr>
                <w:rFonts w:hint="eastAsia"/>
                <w:highlight w:val="none"/>
              </w:rPr>
              <w:t>项目代码</w:t>
            </w:r>
          </w:p>
        </w:tc>
        <w:tc>
          <w:tcPr>
            <w:tcW w:w="7225" w:type="dxa"/>
            <w:gridSpan w:val="3"/>
            <w:noWrap w:val="0"/>
            <w:vAlign w:val="center"/>
          </w:tcPr>
          <w:p w14:paraId="677581E5">
            <w:pPr>
              <w:pStyle w:val="40"/>
              <w:bidi w:val="0"/>
              <w:rPr>
                <w:rFonts w:hint="default" w:eastAsia="宋体"/>
                <w:lang w:val="en-US" w:eastAsia="zh-CN"/>
              </w:rPr>
            </w:pPr>
          </w:p>
        </w:tc>
      </w:tr>
      <w:tr w14:paraId="0F7DAA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8" w:type="dxa"/>
            <w:noWrap w:val="0"/>
            <w:tcMar>
              <w:top w:w="16" w:type="dxa"/>
              <w:left w:w="16" w:type="dxa"/>
              <w:right w:w="16" w:type="dxa"/>
            </w:tcMar>
            <w:vAlign w:val="center"/>
          </w:tcPr>
          <w:p w14:paraId="607FD734">
            <w:pPr>
              <w:pStyle w:val="40"/>
              <w:bidi w:val="0"/>
              <w:rPr>
                <w:rFonts w:hint="eastAsia"/>
              </w:rPr>
            </w:pPr>
            <w:r>
              <w:rPr>
                <w:rFonts w:hint="eastAsia"/>
              </w:rPr>
              <w:t>建设单位联系人</w:t>
            </w:r>
          </w:p>
        </w:tc>
        <w:tc>
          <w:tcPr>
            <w:tcW w:w="2371" w:type="dxa"/>
            <w:noWrap w:val="0"/>
            <w:vAlign w:val="center"/>
          </w:tcPr>
          <w:p w14:paraId="4DCD34AD">
            <w:pPr>
              <w:pStyle w:val="40"/>
              <w:bidi w:val="0"/>
              <w:rPr>
                <w:rFonts w:hint="default" w:eastAsia="宋体"/>
                <w:lang w:val="en-US" w:eastAsia="zh-CN"/>
              </w:rPr>
            </w:pPr>
          </w:p>
        </w:tc>
        <w:tc>
          <w:tcPr>
            <w:tcW w:w="2212" w:type="dxa"/>
            <w:noWrap w:val="0"/>
            <w:vAlign w:val="center"/>
          </w:tcPr>
          <w:p w14:paraId="08BCF3A6">
            <w:pPr>
              <w:pStyle w:val="40"/>
              <w:bidi w:val="0"/>
            </w:pPr>
          </w:p>
        </w:tc>
        <w:tc>
          <w:tcPr>
            <w:tcW w:w="2642" w:type="dxa"/>
            <w:noWrap w:val="0"/>
            <w:vAlign w:val="center"/>
          </w:tcPr>
          <w:p w14:paraId="71F0083D">
            <w:pPr>
              <w:pStyle w:val="40"/>
              <w:bidi w:val="0"/>
              <w:rPr>
                <w:rFonts w:hint="default" w:eastAsia="宋体"/>
                <w:lang w:val="en-US" w:eastAsia="zh-CN"/>
              </w:rPr>
            </w:pPr>
          </w:p>
        </w:tc>
      </w:tr>
      <w:tr w14:paraId="3C4CF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8" w:type="dxa"/>
            <w:noWrap w:val="0"/>
            <w:tcMar>
              <w:top w:w="16" w:type="dxa"/>
              <w:left w:w="16" w:type="dxa"/>
              <w:right w:w="16" w:type="dxa"/>
            </w:tcMar>
            <w:vAlign w:val="center"/>
          </w:tcPr>
          <w:p w14:paraId="56E41376">
            <w:pPr>
              <w:pStyle w:val="40"/>
              <w:bidi w:val="0"/>
            </w:pPr>
            <w:r>
              <w:rPr>
                <w:rFonts w:hint="eastAsia"/>
              </w:rPr>
              <w:t>建设地点</w:t>
            </w:r>
          </w:p>
        </w:tc>
        <w:tc>
          <w:tcPr>
            <w:tcW w:w="7225" w:type="dxa"/>
            <w:gridSpan w:val="3"/>
            <w:noWrap w:val="0"/>
            <w:vAlign w:val="center"/>
          </w:tcPr>
          <w:p w14:paraId="3FF3B07D">
            <w:pPr>
              <w:pStyle w:val="40"/>
              <w:bidi w:val="0"/>
              <w:rPr>
                <w:rFonts w:hint="default" w:eastAsia="宋体"/>
                <w:lang w:val="en-US" w:eastAsia="zh-CN"/>
              </w:rPr>
            </w:pPr>
          </w:p>
        </w:tc>
      </w:tr>
      <w:tr w14:paraId="6D73A1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8" w:type="dxa"/>
            <w:noWrap w:val="0"/>
            <w:tcMar>
              <w:top w:w="16" w:type="dxa"/>
              <w:left w:w="16" w:type="dxa"/>
              <w:right w:w="16" w:type="dxa"/>
            </w:tcMar>
            <w:vAlign w:val="center"/>
          </w:tcPr>
          <w:p w14:paraId="0D1BA061">
            <w:pPr>
              <w:pStyle w:val="40"/>
              <w:bidi w:val="0"/>
            </w:pPr>
            <w:r>
              <w:rPr>
                <w:rFonts w:hint="eastAsia"/>
              </w:rPr>
              <w:t>地理坐标</w:t>
            </w:r>
          </w:p>
        </w:tc>
        <w:tc>
          <w:tcPr>
            <w:tcW w:w="7225" w:type="dxa"/>
            <w:gridSpan w:val="3"/>
            <w:noWrap w:val="0"/>
            <w:vAlign w:val="center"/>
          </w:tcPr>
          <w:p w14:paraId="08BB48E7">
            <w:pPr>
              <w:pStyle w:val="40"/>
              <w:bidi w:val="0"/>
              <w:rPr>
                <w:rFonts w:hint="default"/>
                <w:lang w:val="en-US" w:eastAsia="zh-CN"/>
              </w:rPr>
            </w:pPr>
          </w:p>
        </w:tc>
      </w:tr>
      <w:tr w14:paraId="16B011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48" w:type="dxa"/>
            <w:noWrap w:val="0"/>
            <w:tcMar>
              <w:top w:w="16" w:type="dxa"/>
              <w:left w:w="16" w:type="dxa"/>
              <w:right w:w="16" w:type="dxa"/>
            </w:tcMar>
            <w:vAlign w:val="center"/>
          </w:tcPr>
          <w:p w14:paraId="5352AFDA">
            <w:pPr>
              <w:pStyle w:val="40"/>
              <w:bidi w:val="0"/>
              <w:rPr>
                <w:rFonts w:hint="eastAsia"/>
              </w:rPr>
            </w:pPr>
            <w:r>
              <w:rPr>
                <w:rFonts w:hint="eastAsia"/>
              </w:rPr>
              <w:t>国民经济</w:t>
            </w:r>
          </w:p>
          <w:p w14:paraId="3401BACC">
            <w:pPr>
              <w:pStyle w:val="40"/>
              <w:bidi w:val="0"/>
            </w:pPr>
            <w:r>
              <w:rPr>
                <w:rFonts w:hint="eastAsia"/>
              </w:rPr>
              <w:t>行业类别</w:t>
            </w:r>
          </w:p>
        </w:tc>
        <w:tc>
          <w:tcPr>
            <w:tcW w:w="2371" w:type="dxa"/>
            <w:noWrap w:val="0"/>
            <w:vAlign w:val="center"/>
          </w:tcPr>
          <w:p w14:paraId="38A75E3A">
            <w:pPr>
              <w:pStyle w:val="40"/>
              <w:bidi w:val="0"/>
              <w:rPr>
                <w:rFonts w:hint="default" w:eastAsia="宋体"/>
                <w:lang w:val="en-US" w:eastAsia="zh-CN"/>
              </w:rPr>
            </w:pPr>
            <w:r>
              <w:rPr>
                <w:rFonts w:hint="default"/>
              </w:rPr>
              <w:t>C3</w:t>
            </w:r>
            <w:r>
              <w:rPr>
                <w:rFonts w:hint="default"/>
                <w:lang w:val="en-US" w:eastAsia="zh-CN"/>
              </w:rPr>
              <w:t>021水泥制品制造</w:t>
            </w:r>
            <w:r>
              <w:rPr>
                <w:rFonts w:hint="eastAsia"/>
                <w:lang w:val="en-US" w:eastAsia="zh-CN"/>
              </w:rPr>
              <w:t>、C3022砼结构构件制造、C3031粘土砖瓦及建筑砌块制造</w:t>
            </w:r>
          </w:p>
        </w:tc>
        <w:tc>
          <w:tcPr>
            <w:tcW w:w="2212" w:type="dxa"/>
            <w:noWrap w:val="0"/>
            <w:vAlign w:val="center"/>
          </w:tcPr>
          <w:p w14:paraId="08081276">
            <w:pPr>
              <w:pStyle w:val="40"/>
              <w:bidi w:val="0"/>
            </w:pPr>
            <w:bookmarkStart w:id="1" w:name="_Hlk49843745"/>
            <w:r>
              <w:rPr>
                <w:rFonts w:hint="eastAsia"/>
              </w:rPr>
              <w:t>建设项目</w:t>
            </w:r>
          </w:p>
          <w:p w14:paraId="1F818DB8">
            <w:pPr>
              <w:pStyle w:val="40"/>
              <w:bidi w:val="0"/>
            </w:pPr>
            <w:r>
              <w:rPr>
                <w:rFonts w:hint="eastAsia"/>
              </w:rPr>
              <w:t>行业类别</w:t>
            </w:r>
            <w:bookmarkEnd w:id="1"/>
            <w:bookmarkStart w:id="29" w:name="_GoBack"/>
            <w:bookmarkEnd w:id="29"/>
          </w:p>
        </w:tc>
        <w:tc>
          <w:tcPr>
            <w:tcW w:w="2642" w:type="dxa"/>
            <w:noWrap w:val="0"/>
            <w:vAlign w:val="center"/>
          </w:tcPr>
          <w:p w14:paraId="54D004EA">
            <w:pPr>
              <w:keepNext w:val="0"/>
              <w:keepLines w:val="0"/>
              <w:widowControl/>
              <w:suppressLineNumbers w:val="0"/>
              <w:jc w:val="left"/>
              <w:rPr>
                <w:rFonts w:hint="default"/>
                <w:lang w:val="en-US" w:eastAsia="zh-CN"/>
              </w:rPr>
            </w:pPr>
            <w:r>
              <w:rPr>
                <w:rFonts w:hint="eastAsia"/>
                <w:lang w:val="en-US" w:eastAsia="zh-CN"/>
              </w:rPr>
              <w:t>二十七、非金属矿物制品业 30-石膏、水泥制品及类似制品制造302-水泥制品制造；砖瓦、石材等建筑材料制造303-粘土砖瓦及建筑砌块制造</w:t>
            </w:r>
          </w:p>
        </w:tc>
      </w:tr>
      <w:tr w14:paraId="49158F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48" w:type="dxa"/>
            <w:noWrap w:val="0"/>
            <w:tcMar>
              <w:top w:w="16" w:type="dxa"/>
              <w:left w:w="16" w:type="dxa"/>
              <w:right w:w="16" w:type="dxa"/>
            </w:tcMar>
            <w:vAlign w:val="center"/>
          </w:tcPr>
          <w:p w14:paraId="7B3547C1">
            <w:pPr>
              <w:pStyle w:val="40"/>
              <w:bidi w:val="0"/>
            </w:pPr>
            <w:r>
              <w:rPr>
                <w:rFonts w:hint="eastAsia"/>
              </w:rPr>
              <w:t>建设性质</w:t>
            </w:r>
          </w:p>
        </w:tc>
        <w:tc>
          <w:tcPr>
            <w:tcW w:w="2371" w:type="dxa"/>
            <w:noWrap w:val="0"/>
            <w:vAlign w:val="center"/>
          </w:tcPr>
          <w:p w14:paraId="4AE43469">
            <w:pPr>
              <w:pStyle w:val="40"/>
              <w:bidi w:val="0"/>
              <w:jc w:val="both"/>
            </w:pPr>
            <w:r>
              <w:rPr>
                <w:rFonts w:hint="eastAsia"/>
                <w:lang w:eastAsia="zh-CN"/>
              </w:rPr>
              <w:t>☑</w:t>
            </w:r>
            <w:r>
              <w:rPr>
                <w:rFonts w:hint="eastAsia"/>
              </w:rPr>
              <w:t>新建（迁建）</w:t>
            </w:r>
          </w:p>
          <w:p w14:paraId="57A76318">
            <w:pPr>
              <w:pStyle w:val="40"/>
              <w:bidi w:val="0"/>
              <w:jc w:val="both"/>
              <w:rPr>
                <w:rFonts w:hint="eastAsia"/>
              </w:rPr>
            </w:pPr>
            <w:r>
              <w:rPr>
                <w:rFonts w:hint="eastAsia"/>
              </w:rPr>
              <w:t>□改建</w:t>
            </w:r>
          </w:p>
          <w:p w14:paraId="2FF0E249">
            <w:pPr>
              <w:pStyle w:val="40"/>
              <w:bidi w:val="0"/>
              <w:jc w:val="both"/>
              <w:rPr>
                <w:rFonts w:hint="eastAsia"/>
              </w:rPr>
            </w:pPr>
            <w:r>
              <w:rPr>
                <w:rFonts w:hint="eastAsia"/>
              </w:rPr>
              <w:t>□扩建</w:t>
            </w:r>
          </w:p>
          <w:p w14:paraId="69B05A5E">
            <w:pPr>
              <w:pStyle w:val="40"/>
              <w:bidi w:val="0"/>
              <w:jc w:val="both"/>
            </w:pPr>
            <w:r>
              <w:rPr>
                <w:rFonts w:hint="eastAsia"/>
              </w:rPr>
              <w:t>□技术改造</w:t>
            </w:r>
          </w:p>
        </w:tc>
        <w:tc>
          <w:tcPr>
            <w:tcW w:w="2212" w:type="dxa"/>
            <w:noWrap w:val="0"/>
            <w:vAlign w:val="center"/>
          </w:tcPr>
          <w:p w14:paraId="5F2B49F4">
            <w:pPr>
              <w:pStyle w:val="40"/>
              <w:bidi w:val="0"/>
              <w:rPr>
                <w:rFonts w:hint="eastAsia"/>
              </w:rPr>
            </w:pPr>
            <w:r>
              <w:rPr>
                <w:rFonts w:hint="eastAsia"/>
              </w:rPr>
              <w:t>建设项目</w:t>
            </w:r>
          </w:p>
          <w:p w14:paraId="2B9817F2">
            <w:pPr>
              <w:pStyle w:val="40"/>
              <w:bidi w:val="0"/>
            </w:pPr>
            <w:r>
              <w:rPr>
                <w:rFonts w:hint="eastAsia"/>
              </w:rPr>
              <w:t>申报情形</w:t>
            </w:r>
          </w:p>
        </w:tc>
        <w:tc>
          <w:tcPr>
            <w:tcW w:w="2642" w:type="dxa"/>
            <w:noWrap w:val="0"/>
            <w:vAlign w:val="center"/>
          </w:tcPr>
          <w:p w14:paraId="782C953C">
            <w:pPr>
              <w:pStyle w:val="40"/>
              <w:bidi w:val="0"/>
              <w:jc w:val="both"/>
            </w:pPr>
            <w:r>
              <w:rPr>
                <w:rFonts w:hint="eastAsia"/>
              </w:rPr>
              <w:sym w:font="Wingdings 2" w:char="0052"/>
            </w:r>
            <w:r>
              <w:rPr>
                <w:rFonts w:hint="eastAsia"/>
              </w:rPr>
              <w:t>首次申报项目</w:t>
            </w:r>
            <w:r>
              <w:t xml:space="preserve">          </w:t>
            </w:r>
          </w:p>
          <w:p w14:paraId="5FB068F6">
            <w:pPr>
              <w:pStyle w:val="40"/>
              <w:bidi w:val="0"/>
              <w:jc w:val="both"/>
            </w:pPr>
            <w:r>
              <w:rPr>
                <w:rFonts w:hint="eastAsia"/>
              </w:rPr>
              <w:t>□不予批准后再次申报项目</w:t>
            </w:r>
          </w:p>
          <w:p w14:paraId="2EB0C817">
            <w:pPr>
              <w:pStyle w:val="40"/>
              <w:bidi w:val="0"/>
              <w:jc w:val="both"/>
            </w:pPr>
            <w:r>
              <w:rPr>
                <w:rFonts w:hint="eastAsia"/>
              </w:rPr>
              <w:sym w:font="Wingdings 2" w:char="00A3"/>
            </w:r>
            <w:r>
              <w:rPr>
                <w:rFonts w:hint="eastAsia"/>
              </w:rPr>
              <w:t>超五年重新审核项目</w:t>
            </w:r>
            <w:r>
              <w:t xml:space="preserve">    </w:t>
            </w:r>
          </w:p>
          <w:p w14:paraId="3EAC5150">
            <w:pPr>
              <w:pStyle w:val="40"/>
              <w:bidi w:val="0"/>
              <w:jc w:val="both"/>
            </w:pPr>
            <w:r>
              <w:rPr>
                <w:rFonts w:hint="eastAsia"/>
              </w:rPr>
              <w:t>□重大变动重新报批项目</w:t>
            </w:r>
          </w:p>
        </w:tc>
      </w:tr>
      <w:tr w14:paraId="4F1301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48" w:type="dxa"/>
            <w:noWrap w:val="0"/>
            <w:tcMar>
              <w:top w:w="16" w:type="dxa"/>
              <w:left w:w="16" w:type="dxa"/>
              <w:right w:w="16" w:type="dxa"/>
            </w:tcMar>
            <w:vAlign w:val="center"/>
          </w:tcPr>
          <w:p w14:paraId="51B3FE01">
            <w:pPr>
              <w:pStyle w:val="40"/>
              <w:bidi w:val="0"/>
              <w:rPr>
                <w:rFonts w:hint="eastAsia"/>
                <w:highlight w:val="none"/>
              </w:rPr>
            </w:pPr>
            <w:r>
              <w:rPr>
                <w:rFonts w:hint="eastAsia"/>
                <w:highlight w:val="none"/>
              </w:rPr>
              <w:t>项目审批（核准</w:t>
            </w:r>
            <w:r>
              <w:rPr>
                <w:highlight w:val="none"/>
              </w:rPr>
              <w:t>/</w:t>
            </w:r>
          </w:p>
          <w:p w14:paraId="1375662E">
            <w:pPr>
              <w:pStyle w:val="40"/>
              <w:bidi w:val="0"/>
              <w:rPr>
                <w:highlight w:val="green"/>
              </w:rPr>
            </w:pPr>
            <w:r>
              <w:rPr>
                <w:rFonts w:hint="eastAsia"/>
                <w:highlight w:val="none"/>
              </w:rPr>
              <w:t>备案）部门（选填）</w:t>
            </w:r>
          </w:p>
        </w:tc>
        <w:tc>
          <w:tcPr>
            <w:tcW w:w="2371" w:type="dxa"/>
            <w:noWrap w:val="0"/>
            <w:vAlign w:val="center"/>
          </w:tcPr>
          <w:p w14:paraId="64978E6D">
            <w:pPr>
              <w:pStyle w:val="40"/>
              <w:bidi w:val="0"/>
              <w:rPr>
                <w:rFonts w:hint="default" w:eastAsia="宋体"/>
                <w:highlight w:val="green"/>
                <w:lang w:val="en-US" w:eastAsia="zh-CN"/>
              </w:rPr>
            </w:pPr>
            <w:r>
              <w:rPr>
                <w:rFonts w:hint="eastAsia"/>
                <w:highlight w:val="none"/>
                <w:lang w:val="en-US" w:eastAsia="zh-CN"/>
              </w:rPr>
              <w:t>若羌县发展和改革委员会</w:t>
            </w:r>
          </w:p>
        </w:tc>
        <w:tc>
          <w:tcPr>
            <w:tcW w:w="2212" w:type="dxa"/>
            <w:noWrap w:val="0"/>
            <w:vAlign w:val="center"/>
          </w:tcPr>
          <w:p w14:paraId="20E95325">
            <w:pPr>
              <w:pStyle w:val="40"/>
              <w:bidi w:val="0"/>
              <w:rPr>
                <w:rFonts w:hint="eastAsia"/>
                <w:highlight w:val="none"/>
              </w:rPr>
            </w:pPr>
            <w:r>
              <w:rPr>
                <w:rFonts w:hint="eastAsia"/>
                <w:highlight w:val="none"/>
              </w:rPr>
              <w:t>项目审批（核准</w:t>
            </w:r>
            <w:r>
              <w:rPr>
                <w:highlight w:val="none"/>
              </w:rPr>
              <w:t>/</w:t>
            </w:r>
          </w:p>
          <w:p w14:paraId="490D011A">
            <w:pPr>
              <w:pStyle w:val="40"/>
              <w:bidi w:val="0"/>
              <w:rPr>
                <w:rFonts w:hint="eastAsia"/>
                <w:highlight w:val="green"/>
              </w:rPr>
            </w:pPr>
            <w:r>
              <w:rPr>
                <w:rFonts w:hint="eastAsia"/>
                <w:highlight w:val="none"/>
              </w:rPr>
              <w:t>备案）文号（选填）</w:t>
            </w:r>
          </w:p>
        </w:tc>
        <w:tc>
          <w:tcPr>
            <w:tcW w:w="2642" w:type="dxa"/>
            <w:noWrap w:val="0"/>
            <w:vAlign w:val="center"/>
          </w:tcPr>
          <w:p w14:paraId="3241827E">
            <w:pPr>
              <w:pStyle w:val="40"/>
              <w:bidi w:val="0"/>
              <w:rPr>
                <w:rFonts w:hint="default" w:eastAsia="宋体"/>
                <w:lang w:val="en-US" w:eastAsia="zh-CN"/>
              </w:rPr>
            </w:pPr>
            <w:r>
              <w:rPr>
                <w:rFonts w:hint="eastAsia"/>
                <w:lang w:val="en-US" w:eastAsia="zh-CN"/>
              </w:rPr>
              <w:t>2512121171652824000162</w:t>
            </w:r>
          </w:p>
        </w:tc>
      </w:tr>
      <w:tr w14:paraId="161789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8" w:type="dxa"/>
            <w:noWrap w:val="0"/>
            <w:tcMar>
              <w:top w:w="16" w:type="dxa"/>
              <w:left w:w="16" w:type="dxa"/>
              <w:right w:w="16" w:type="dxa"/>
            </w:tcMar>
            <w:vAlign w:val="center"/>
          </w:tcPr>
          <w:p w14:paraId="58567ABE">
            <w:pPr>
              <w:pStyle w:val="40"/>
              <w:bidi w:val="0"/>
            </w:pPr>
            <w:r>
              <w:rPr>
                <w:rFonts w:hint="eastAsia"/>
              </w:rPr>
              <w:t>总投资（万元）</w:t>
            </w:r>
          </w:p>
        </w:tc>
        <w:tc>
          <w:tcPr>
            <w:tcW w:w="2371" w:type="dxa"/>
            <w:noWrap w:val="0"/>
            <w:vAlign w:val="center"/>
          </w:tcPr>
          <w:p w14:paraId="08BEA42E">
            <w:pPr>
              <w:pStyle w:val="40"/>
              <w:bidi w:val="0"/>
              <w:rPr>
                <w:rFonts w:hint="default" w:eastAsia="宋体"/>
                <w:highlight w:val="green"/>
                <w:lang w:val="en-US" w:eastAsia="zh-CN"/>
              </w:rPr>
            </w:pPr>
            <w:r>
              <w:rPr>
                <w:rFonts w:hint="eastAsia"/>
                <w:highlight w:val="none"/>
                <w:lang w:val="en-US" w:eastAsia="zh-CN"/>
              </w:rPr>
              <w:t>6500</w:t>
            </w:r>
          </w:p>
        </w:tc>
        <w:tc>
          <w:tcPr>
            <w:tcW w:w="2212" w:type="dxa"/>
            <w:noWrap w:val="0"/>
            <w:tcMar>
              <w:top w:w="16" w:type="dxa"/>
              <w:left w:w="16" w:type="dxa"/>
              <w:right w:w="16" w:type="dxa"/>
            </w:tcMar>
            <w:vAlign w:val="center"/>
          </w:tcPr>
          <w:p w14:paraId="2DFA04E1">
            <w:pPr>
              <w:pStyle w:val="40"/>
              <w:bidi w:val="0"/>
            </w:pPr>
            <w:r>
              <w:rPr>
                <w:rFonts w:hint="eastAsia"/>
              </w:rPr>
              <w:t>环保投资（万元）</w:t>
            </w:r>
          </w:p>
        </w:tc>
        <w:tc>
          <w:tcPr>
            <w:tcW w:w="2642" w:type="dxa"/>
            <w:noWrap w:val="0"/>
            <w:vAlign w:val="center"/>
          </w:tcPr>
          <w:p w14:paraId="65F87247">
            <w:pPr>
              <w:pStyle w:val="40"/>
              <w:bidi w:val="0"/>
              <w:rPr>
                <w:rFonts w:hint="default" w:eastAsia="宋体"/>
                <w:lang w:val="en-US" w:eastAsia="zh-CN"/>
              </w:rPr>
            </w:pPr>
            <w:r>
              <w:rPr>
                <w:rFonts w:hint="eastAsia"/>
                <w:lang w:val="en-US" w:eastAsia="zh-CN"/>
              </w:rPr>
              <w:t>117</w:t>
            </w:r>
          </w:p>
        </w:tc>
      </w:tr>
      <w:tr w14:paraId="5F589A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8" w:type="dxa"/>
            <w:noWrap w:val="0"/>
            <w:tcMar>
              <w:top w:w="16" w:type="dxa"/>
              <w:left w:w="16" w:type="dxa"/>
              <w:right w:w="16" w:type="dxa"/>
            </w:tcMar>
            <w:vAlign w:val="center"/>
          </w:tcPr>
          <w:p w14:paraId="01F499DE">
            <w:pPr>
              <w:pStyle w:val="40"/>
              <w:bidi w:val="0"/>
            </w:pPr>
            <w:r>
              <w:rPr>
                <w:rFonts w:hint="eastAsia"/>
              </w:rPr>
              <w:t>环保投资占比（</w:t>
            </w:r>
            <w:r>
              <w:t>%</w:t>
            </w:r>
            <w:r>
              <w:rPr>
                <w:rFonts w:hint="eastAsia"/>
              </w:rPr>
              <w:t>）</w:t>
            </w:r>
          </w:p>
        </w:tc>
        <w:tc>
          <w:tcPr>
            <w:tcW w:w="2371" w:type="dxa"/>
            <w:noWrap w:val="0"/>
            <w:vAlign w:val="center"/>
          </w:tcPr>
          <w:p w14:paraId="69625CD4">
            <w:pPr>
              <w:pStyle w:val="40"/>
              <w:bidi w:val="0"/>
              <w:rPr>
                <w:rFonts w:hint="default" w:eastAsia="宋体"/>
                <w:lang w:val="en-US" w:eastAsia="zh-CN"/>
              </w:rPr>
            </w:pPr>
            <w:r>
              <w:rPr>
                <w:rFonts w:hint="eastAsia"/>
                <w:lang w:val="en-US" w:eastAsia="zh-CN"/>
              </w:rPr>
              <w:t>1.8</w:t>
            </w:r>
          </w:p>
        </w:tc>
        <w:tc>
          <w:tcPr>
            <w:tcW w:w="2212" w:type="dxa"/>
            <w:noWrap w:val="0"/>
            <w:tcMar>
              <w:top w:w="16" w:type="dxa"/>
              <w:left w:w="16" w:type="dxa"/>
              <w:right w:w="16" w:type="dxa"/>
            </w:tcMar>
            <w:vAlign w:val="center"/>
          </w:tcPr>
          <w:p w14:paraId="649CDF8C">
            <w:pPr>
              <w:pStyle w:val="40"/>
              <w:bidi w:val="0"/>
            </w:pPr>
            <w:r>
              <w:rPr>
                <w:rFonts w:hint="eastAsia"/>
              </w:rPr>
              <w:t>施工工期</w:t>
            </w:r>
          </w:p>
        </w:tc>
        <w:tc>
          <w:tcPr>
            <w:tcW w:w="2642" w:type="dxa"/>
            <w:noWrap w:val="0"/>
            <w:vAlign w:val="center"/>
          </w:tcPr>
          <w:p w14:paraId="2AA1FC1D">
            <w:pPr>
              <w:pStyle w:val="40"/>
              <w:bidi w:val="0"/>
              <w:rPr>
                <w:rFonts w:hint="default" w:eastAsia="宋体"/>
                <w:lang w:val="en-US" w:eastAsia="zh-CN"/>
              </w:rPr>
            </w:pPr>
            <w:r>
              <w:rPr>
                <w:rFonts w:hint="eastAsia"/>
                <w:lang w:val="en-US" w:eastAsia="zh-CN"/>
              </w:rPr>
              <w:t>16个月</w:t>
            </w:r>
          </w:p>
        </w:tc>
      </w:tr>
      <w:tr w14:paraId="60A16B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8" w:type="dxa"/>
            <w:noWrap w:val="0"/>
            <w:tcMar>
              <w:top w:w="16" w:type="dxa"/>
              <w:left w:w="16" w:type="dxa"/>
              <w:right w:w="16" w:type="dxa"/>
            </w:tcMar>
            <w:vAlign w:val="center"/>
          </w:tcPr>
          <w:p w14:paraId="14D4EADB">
            <w:pPr>
              <w:pStyle w:val="40"/>
              <w:bidi w:val="0"/>
              <w:rPr>
                <w:rFonts w:hint="eastAsia"/>
              </w:rPr>
            </w:pPr>
            <w:r>
              <w:rPr>
                <w:rFonts w:hint="eastAsia"/>
              </w:rPr>
              <w:t>是否开工建设</w:t>
            </w:r>
          </w:p>
        </w:tc>
        <w:tc>
          <w:tcPr>
            <w:tcW w:w="2371" w:type="dxa"/>
            <w:noWrap w:val="0"/>
            <w:vAlign w:val="center"/>
          </w:tcPr>
          <w:p w14:paraId="4DB69187">
            <w:pPr>
              <w:pStyle w:val="40"/>
              <w:bidi w:val="0"/>
              <w:jc w:val="left"/>
            </w:pPr>
            <w:r>
              <w:rPr>
                <w:rFonts w:hint="eastAsia"/>
              </w:rPr>
              <w:sym w:font="Wingdings 2" w:char="0052"/>
            </w:r>
            <w:r>
              <w:rPr>
                <w:rFonts w:hint="eastAsia"/>
              </w:rPr>
              <w:t>否</w:t>
            </w:r>
          </w:p>
          <w:p w14:paraId="6E18250F">
            <w:pPr>
              <w:pStyle w:val="40"/>
              <w:bidi w:val="0"/>
              <w:jc w:val="left"/>
            </w:pPr>
            <w:r>
              <w:rPr>
                <w:rFonts w:hint="eastAsia"/>
              </w:rPr>
              <w:sym w:font="Wingdings 2" w:char="00A3"/>
            </w:r>
            <w:r>
              <w:rPr>
                <w:rFonts w:hint="eastAsia"/>
              </w:rPr>
              <w:t xml:space="preserve">是：             </w:t>
            </w:r>
          </w:p>
        </w:tc>
        <w:tc>
          <w:tcPr>
            <w:tcW w:w="2212" w:type="dxa"/>
            <w:noWrap w:val="0"/>
            <w:tcMar>
              <w:top w:w="16" w:type="dxa"/>
              <w:left w:w="16" w:type="dxa"/>
              <w:right w:w="16" w:type="dxa"/>
            </w:tcMar>
            <w:vAlign w:val="center"/>
          </w:tcPr>
          <w:p w14:paraId="6518AF7B">
            <w:pPr>
              <w:pStyle w:val="40"/>
              <w:bidi w:val="0"/>
            </w:pPr>
            <w:r>
              <w:rPr>
                <w:rFonts w:hint="eastAsia"/>
              </w:rPr>
              <w:t>用地（用海）</w:t>
            </w:r>
          </w:p>
          <w:p w14:paraId="44888682">
            <w:pPr>
              <w:pStyle w:val="40"/>
              <w:bidi w:val="0"/>
              <w:rPr>
                <w:rFonts w:hint="eastAsia"/>
              </w:rPr>
            </w:pPr>
            <w:r>
              <w:rPr>
                <w:rFonts w:hint="eastAsia"/>
              </w:rPr>
              <w:t>面积（</w:t>
            </w:r>
            <w:r>
              <w:t>m</w:t>
            </w:r>
            <w:r>
              <w:rPr>
                <w:vertAlign w:val="superscript"/>
              </w:rPr>
              <w:t>2</w:t>
            </w:r>
            <w:r>
              <w:rPr>
                <w:rFonts w:hint="eastAsia"/>
              </w:rPr>
              <w:t>）</w:t>
            </w:r>
          </w:p>
        </w:tc>
        <w:tc>
          <w:tcPr>
            <w:tcW w:w="2642" w:type="dxa"/>
            <w:noWrap w:val="0"/>
            <w:vAlign w:val="center"/>
          </w:tcPr>
          <w:p w14:paraId="4AFC8990">
            <w:pPr>
              <w:pStyle w:val="40"/>
              <w:bidi w:val="0"/>
              <w:rPr>
                <w:rFonts w:hint="default" w:eastAsia="宋体"/>
                <w:lang w:val="en-US" w:eastAsia="zh-CN"/>
              </w:rPr>
            </w:pPr>
            <w:r>
              <w:rPr>
                <w:rFonts w:hint="eastAsia"/>
                <w:lang w:val="en-US" w:eastAsia="zh-CN"/>
              </w:rPr>
              <w:t>36713</w:t>
            </w:r>
          </w:p>
        </w:tc>
      </w:tr>
      <w:tr w14:paraId="68FB54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1648" w:type="dxa"/>
            <w:noWrap w:val="0"/>
            <w:vAlign w:val="center"/>
          </w:tcPr>
          <w:p w14:paraId="57990684">
            <w:pPr>
              <w:pStyle w:val="40"/>
              <w:bidi w:val="0"/>
            </w:pPr>
            <w:r>
              <w:rPr>
                <w:rFonts w:hint="eastAsia"/>
              </w:rPr>
              <w:t>专项评价设置情况</w:t>
            </w:r>
          </w:p>
        </w:tc>
        <w:tc>
          <w:tcPr>
            <w:tcW w:w="7225" w:type="dxa"/>
            <w:gridSpan w:val="3"/>
            <w:noWrap w:val="0"/>
            <w:vAlign w:val="center"/>
          </w:tcPr>
          <w:p w14:paraId="32A3929F">
            <w:pPr>
              <w:pStyle w:val="40"/>
              <w:bidi w:val="0"/>
              <w:rPr>
                <w:rFonts w:hint="default"/>
                <w:lang w:val="en-US" w:eastAsia="zh-CN"/>
              </w:rPr>
            </w:pPr>
            <w:r>
              <w:rPr>
                <w:rFonts w:hint="eastAsia"/>
                <w:lang w:val="en-US" w:eastAsia="zh-CN"/>
              </w:rPr>
              <w:t>无</w:t>
            </w:r>
          </w:p>
        </w:tc>
      </w:tr>
      <w:tr w14:paraId="276FF9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648" w:type="dxa"/>
            <w:noWrap w:val="0"/>
            <w:vAlign w:val="center"/>
          </w:tcPr>
          <w:p w14:paraId="15328BC8">
            <w:pPr>
              <w:pStyle w:val="40"/>
              <w:bidi w:val="0"/>
              <w:rPr>
                <w:rFonts w:hint="eastAsia"/>
              </w:rPr>
            </w:pPr>
            <w:r>
              <w:rPr>
                <w:rFonts w:hint="eastAsia"/>
              </w:rPr>
              <w:t>规划情况</w:t>
            </w:r>
          </w:p>
        </w:tc>
        <w:tc>
          <w:tcPr>
            <w:tcW w:w="7225" w:type="dxa"/>
            <w:gridSpan w:val="3"/>
            <w:noWrap w:val="0"/>
            <w:vAlign w:val="center"/>
          </w:tcPr>
          <w:p w14:paraId="16C70D03">
            <w:pPr>
              <w:pStyle w:val="40"/>
              <w:bidi w:val="0"/>
              <w:jc w:val="left"/>
              <w:rPr>
                <w:rFonts w:hint="default"/>
                <w:lang w:val="en-US" w:eastAsia="zh-CN"/>
              </w:rPr>
            </w:pPr>
            <w:r>
              <w:rPr>
                <w:rFonts w:hint="default"/>
                <w:lang w:val="en-US" w:eastAsia="zh-CN"/>
              </w:rPr>
              <w:t>规划名称：《若羌县国土空间总体规划（2021—2035年）》；</w:t>
            </w:r>
          </w:p>
          <w:p w14:paraId="4B076A5E">
            <w:pPr>
              <w:pStyle w:val="40"/>
              <w:bidi w:val="0"/>
              <w:jc w:val="left"/>
              <w:rPr>
                <w:rFonts w:hint="default"/>
                <w:lang w:val="en-US" w:eastAsia="zh-CN"/>
              </w:rPr>
            </w:pPr>
            <w:r>
              <w:rPr>
                <w:rFonts w:hint="default"/>
                <w:lang w:val="en-US" w:eastAsia="zh-CN"/>
              </w:rPr>
              <w:t>审批机关：若羌县人民政府；</w:t>
            </w:r>
          </w:p>
          <w:p w14:paraId="02885662">
            <w:pPr>
              <w:pStyle w:val="40"/>
              <w:bidi w:val="0"/>
              <w:jc w:val="left"/>
              <w:rPr>
                <w:rFonts w:hint="default"/>
                <w:lang w:val="en-US" w:eastAsia="zh-CN"/>
              </w:rPr>
            </w:pPr>
            <w:r>
              <w:rPr>
                <w:rFonts w:hint="default"/>
                <w:lang w:val="en-US" w:eastAsia="zh-CN"/>
              </w:rPr>
              <w:t>审批文件名称及文号：《关于〈若羌县国土空间总体规划（2021—2035年）〉的批复》巴政函〔2024〕116号。</w:t>
            </w:r>
          </w:p>
        </w:tc>
      </w:tr>
      <w:tr w14:paraId="0D9845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1648" w:type="dxa"/>
            <w:noWrap w:val="0"/>
            <w:vAlign w:val="center"/>
          </w:tcPr>
          <w:p w14:paraId="11BC5ACB">
            <w:pPr>
              <w:adjustRightInd w:val="0"/>
              <w:snapToGrid w:val="0"/>
              <w:jc w:val="center"/>
              <w:rPr>
                <w:rFonts w:ascii="宋体" w:hAnsi="宋体" w:cs="宋体"/>
                <w:szCs w:val="21"/>
              </w:rPr>
            </w:pPr>
            <w:r>
              <w:rPr>
                <w:rFonts w:hint="eastAsia" w:ascii="宋体" w:hAnsi="宋体" w:cs="宋体"/>
                <w:szCs w:val="21"/>
              </w:rPr>
              <w:t>规划环境影响</w:t>
            </w:r>
          </w:p>
          <w:p w14:paraId="4840647E">
            <w:pPr>
              <w:adjustRightInd w:val="0"/>
              <w:snapToGrid w:val="0"/>
              <w:jc w:val="center"/>
              <w:rPr>
                <w:rFonts w:hint="eastAsia" w:ascii="宋体" w:hAnsi="宋体" w:cs="宋体"/>
                <w:kern w:val="0"/>
                <w:szCs w:val="21"/>
              </w:rPr>
            </w:pPr>
            <w:r>
              <w:rPr>
                <w:rFonts w:hint="eastAsia" w:ascii="宋体" w:hAnsi="宋体" w:cs="宋体"/>
                <w:szCs w:val="21"/>
              </w:rPr>
              <w:t>评价情况</w:t>
            </w:r>
          </w:p>
        </w:tc>
        <w:tc>
          <w:tcPr>
            <w:tcW w:w="7225" w:type="dxa"/>
            <w:gridSpan w:val="3"/>
            <w:noWrap w:val="0"/>
            <w:vAlign w:val="center"/>
          </w:tcPr>
          <w:p w14:paraId="58DFC6FC">
            <w:pPr>
              <w:pStyle w:val="40"/>
              <w:bidi w:val="0"/>
              <w:rPr>
                <w:rFonts w:hint="default"/>
                <w:lang w:val="en-US" w:eastAsia="zh-CN"/>
              </w:rPr>
            </w:pPr>
            <w:r>
              <w:rPr>
                <w:rFonts w:hint="default"/>
                <w:lang w:val="en-US" w:eastAsia="zh-CN"/>
              </w:rPr>
              <w:t>无</w:t>
            </w:r>
          </w:p>
        </w:tc>
      </w:tr>
      <w:tr w14:paraId="5F52AC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648" w:type="dxa"/>
            <w:noWrap w:val="0"/>
            <w:vAlign w:val="center"/>
          </w:tcPr>
          <w:p w14:paraId="0198CB19">
            <w:pPr>
              <w:pStyle w:val="40"/>
              <w:bidi w:val="0"/>
              <w:rPr>
                <w:rFonts w:ascii="宋体" w:hAnsi="宋体" w:cs="宋体"/>
                <w:kern w:val="0"/>
                <w:szCs w:val="21"/>
              </w:rPr>
            </w:pPr>
            <w:r>
              <w:rPr>
                <w:rFonts w:hint="eastAsia"/>
              </w:rPr>
              <w:t>规划及规划环境影响评价符合性分析</w:t>
            </w:r>
          </w:p>
        </w:tc>
        <w:tc>
          <w:tcPr>
            <w:tcW w:w="7225" w:type="dxa"/>
            <w:gridSpan w:val="3"/>
            <w:noWrap w:val="0"/>
            <w:vAlign w:val="center"/>
          </w:tcPr>
          <w:p w14:paraId="17582E42">
            <w:pPr>
              <w:pStyle w:val="2"/>
              <w:bidi w:val="0"/>
              <w:rPr>
                <w:rFonts w:hint="default"/>
                <w:lang w:val="en-US" w:eastAsia="zh-CN"/>
              </w:rPr>
            </w:pPr>
            <w:r>
              <w:rPr>
                <w:rFonts w:hint="eastAsia"/>
                <w:lang w:val="en-US" w:eastAsia="zh-CN"/>
              </w:rPr>
              <w:t>1.与《若羌县国土空间总体规划（2021—2035年）》符合性分析</w:t>
            </w:r>
          </w:p>
          <w:p w14:paraId="34A9B3D6">
            <w:pPr>
              <w:pStyle w:val="53"/>
              <w:bidi w:val="0"/>
              <w:rPr>
                <w:rFonts w:hint="default"/>
                <w:lang w:val="en-US" w:eastAsia="zh-CN"/>
              </w:rPr>
            </w:pPr>
            <w:r>
              <w:rPr>
                <w:rFonts w:hint="eastAsia"/>
                <w:lang w:val="en-US" w:eastAsia="zh-CN"/>
              </w:rPr>
              <w:t>（1）规划用地性质符合性：</w:t>
            </w:r>
            <w:r>
              <w:rPr>
                <w:rFonts w:hint="default"/>
                <w:lang w:val="en-US" w:eastAsia="zh-CN"/>
              </w:rPr>
              <w:t>项目位于若羌县城东，315国道以北，</w:t>
            </w:r>
            <w:r>
              <w:rPr>
                <w:rFonts w:hint="eastAsia"/>
                <w:lang w:val="en-US" w:eastAsia="zh-CN"/>
              </w:rPr>
              <w:t>依据《若羌县国土空间总体规划（2021-2035年）》，本项目选址地块明确划定为工业用地</w:t>
            </w:r>
            <w:r>
              <w:rPr>
                <w:rFonts w:hint="default"/>
                <w:lang w:val="en-US" w:eastAsia="zh-CN"/>
              </w:rPr>
              <w:t>，项目选址合理合规</w:t>
            </w:r>
            <w:r>
              <w:rPr>
                <w:rFonts w:hint="eastAsia"/>
                <w:lang w:val="en-US" w:eastAsia="zh-CN"/>
              </w:rPr>
              <w:t>，</w:t>
            </w:r>
            <w:r>
              <w:rPr>
                <w:rFonts w:hint="default"/>
                <w:lang w:val="en-US" w:eastAsia="zh-CN"/>
              </w:rPr>
              <w:t>用地</w:t>
            </w:r>
            <w:r>
              <w:rPr>
                <w:rFonts w:hint="eastAsia"/>
                <w:lang w:val="en-US" w:eastAsia="zh-CN"/>
              </w:rPr>
              <w:t>符合国土空间开发保护与用途管制要求。</w:t>
            </w:r>
          </w:p>
          <w:p w14:paraId="38941024">
            <w:pPr>
              <w:pStyle w:val="53"/>
              <w:bidi w:val="0"/>
              <w:rPr>
                <w:rFonts w:hint="eastAsia"/>
                <w:lang w:val="en-US" w:eastAsia="zh-CN"/>
              </w:rPr>
            </w:pPr>
            <w:r>
              <w:rPr>
                <w:rFonts w:hint="eastAsia"/>
                <w:lang w:val="en-US" w:eastAsia="zh-CN"/>
              </w:rPr>
              <w:t>（2）生态环境协调性：本项目属于工业用地，不涉及生态保护红线，不存在环境制约因素。依据规划加强空间管控，做好区域国土空间规划和“三线一单”等的衔接。严格污染物总量管控，确保项目运营后区域环境质量满足环境功能要求。</w:t>
            </w:r>
          </w:p>
          <w:p w14:paraId="1F8B5C80">
            <w:pPr>
              <w:pStyle w:val="53"/>
              <w:bidi w:val="0"/>
              <w:rPr>
                <w:rFonts w:hint="eastAsia"/>
                <w:lang w:val="en-US" w:eastAsia="zh-CN"/>
              </w:rPr>
            </w:pPr>
          </w:p>
          <w:p w14:paraId="79506E51">
            <w:pPr>
              <w:pStyle w:val="53"/>
              <w:bidi w:val="0"/>
              <w:rPr>
                <w:rFonts w:hint="eastAsia"/>
                <w:lang w:val="en-US" w:eastAsia="zh-CN"/>
              </w:rPr>
            </w:pPr>
          </w:p>
          <w:p w14:paraId="57A127D7">
            <w:pPr>
              <w:pStyle w:val="53"/>
              <w:bidi w:val="0"/>
              <w:rPr>
                <w:rFonts w:hint="eastAsia"/>
                <w:lang w:val="en-US" w:eastAsia="zh-CN"/>
              </w:rPr>
            </w:pPr>
          </w:p>
          <w:p w14:paraId="749F9CAF">
            <w:pPr>
              <w:pStyle w:val="53"/>
              <w:bidi w:val="0"/>
              <w:rPr>
                <w:rFonts w:hint="eastAsia"/>
                <w:lang w:val="en-US" w:eastAsia="zh-CN"/>
              </w:rPr>
            </w:pPr>
          </w:p>
          <w:p w14:paraId="1EA0FC45">
            <w:pPr>
              <w:pStyle w:val="53"/>
              <w:bidi w:val="0"/>
              <w:rPr>
                <w:rFonts w:hint="eastAsia"/>
                <w:lang w:val="en-US" w:eastAsia="zh-CN"/>
              </w:rPr>
            </w:pPr>
          </w:p>
          <w:p w14:paraId="7C691602">
            <w:pPr>
              <w:pStyle w:val="53"/>
              <w:bidi w:val="0"/>
              <w:rPr>
                <w:rFonts w:hint="eastAsia"/>
                <w:lang w:val="en-US" w:eastAsia="zh-CN"/>
              </w:rPr>
            </w:pPr>
          </w:p>
          <w:p w14:paraId="222075EE">
            <w:pPr>
              <w:pStyle w:val="53"/>
              <w:bidi w:val="0"/>
              <w:rPr>
                <w:rFonts w:hint="eastAsia"/>
                <w:lang w:val="en-US" w:eastAsia="zh-CN"/>
              </w:rPr>
            </w:pPr>
          </w:p>
          <w:p w14:paraId="0FD61DE2">
            <w:pPr>
              <w:pStyle w:val="53"/>
              <w:bidi w:val="0"/>
              <w:rPr>
                <w:rFonts w:hint="eastAsia"/>
                <w:lang w:val="en-US" w:eastAsia="zh-CN"/>
              </w:rPr>
            </w:pPr>
          </w:p>
          <w:p w14:paraId="27895EA9">
            <w:pPr>
              <w:pStyle w:val="53"/>
              <w:bidi w:val="0"/>
              <w:rPr>
                <w:rFonts w:hint="eastAsia"/>
                <w:lang w:val="en-US" w:eastAsia="zh-CN"/>
              </w:rPr>
            </w:pPr>
          </w:p>
          <w:p w14:paraId="2EC0526C">
            <w:pPr>
              <w:pStyle w:val="53"/>
              <w:bidi w:val="0"/>
              <w:rPr>
                <w:rFonts w:hint="eastAsia"/>
                <w:lang w:val="en-US" w:eastAsia="zh-CN"/>
              </w:rPr>
            </w:pPr>
          </w:p>
          <w:p w14:paraId="0D46B3D9">
            <w:pPr>
              <w:pStyle w:val="53"/>
              <w:bidi w:val="0"/>
              <w:rPr>
                <w:rFonts w:hint="eastAsia"/>
                <w:lang w:val="en-US" w:eastAsia="zh-CN"/>
              </w:rPr>
            </w:pPr>
          </w:p>
          <w:p w14:paraId="532945E7">
            <w:pPr>
              <w:pStyle w:val="53"/>
              <w:bidi w:val="0"/>
              <w:rPr>
                <w:rFonts w:hint="eastAsia"/>
                <w:lang w:val="en-US" w:eastAsia="zh-CN"/>
              </w:rPr>
            </w:pPr>
          </w:p>
          <w:p w14:paraId="1963394F">
            <w:pPr>
              <w:pStyle w:val="53"/>
              <w:bidi w:val="0"/>
              <w:rPr>
                <w:rFonts w:hint="default"/>
                <w:lang w:val="en-US" w:eastAsia="zh-CN"/>
              </w:rPr>
            </w:pPr>
          </w:p>
        </w:tc>
      </w:tr>
      <w:tr w14:paraId="478F67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44" w:hRule="atLeast"/>
          <w:jc w:val="center"/>
        </w:trPr>
        <w:tc>
          <w:tcPr>
            <w:tcW w:w="1648" w:type="dxa"/>
            <w:noWrap w:val="0"/>
            <w:vAlign w:val="center"/>
          </w:tcPr>
          <w:p w14:paraId="2C51D38B">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其他符合性分析</w:t>
            </w:r>
          </w:p>
        </w:tc>
        <w:tc>
          <w:tcPr>
            <w:tcW w:w="7225" w:type="dxa"/>
            <w:gridSpan w:val="3"/>
            <w:noWrap w:val="0"/>
            <w:vAlign w:val="center"/>
          </w:tcPr>
          <w:p w14:paraId="4769B37A">
            <w:pPr>
              <w:pStyle w:val="2"/>
              <w:bidi w:val="0"/>
              <w:rPr>
                <w:rFonts w:hint="eastAsia"/>
                <w:lang w:val="en-US" w:eastAsia="zh-CN"/>
              </w:rPr>
            </w:pPr>
            <w:r>
              <w:rPr>
                <w:rFonts w:hint="eastAsia"/>
                <w:lang w:val="en-US" w:eastAsia="zh-CN"/>
              </w:rPr>
              <w:t>1.产业政策符合性</w:t>
            </w:r>
          </w:p>
          <w:p w14:paraId="00FF785B">
            <w:pPr>
              <w:pStyle w:val="8"/>
              <w:keepNext w:val="0"/>
              <w:keepLines w:val="0"/>
              <w:pageBreakBefore w:val="0"/>
              <w:widowControl/>
              <w:kinsoku/>
              <w:wordWrap w:val="0"/>
              <w:overflowPunct/>
              <w:topLinePunct w:val="0"/>
              <w:autoSpaceDE/>
              <w:autoSpaceDN/>
              <w:bidi w:val="0"/>
              <w:adjustRightInd/>
              <w:snapToGrid w:val="0"/>
              <w:textAlignment w:val="auto"/>
              <w:rPr>
                <w:rFonts w:hint="eastAsia"/>
                <w:highlight w:val="green"/>
                <w:lang w:val="en-US" w:eastAsia="zh-CN"/>
              </w:rPr>
            </w:pPr>
            <w:r>
              <w:rPr>
                <w:rFonts w:hint="default"/>
                <w:lang w:val="en-US" w:eastAsia="zh-CN"/>
              </w:rPr>
              <w:t>本项目属于</w:t>
            </w:r>
            <w:r>
              <w:rPr>
                <w:rFonts w:hint="eastAsia"/>
                <w:lang w:val="en-US" w:eastAsia="zh-CN"/>
              </w:rPr>
              <w:t>国民经济代码</w:t>
            </w:r>
            <w:r>
              <w:rPr>
                <w:rFonts w:hint="default"/>
              </w:rPr>
              <w:t>C3</w:t>
            </w:r>
            <w:r>
              <w:rPr>
                <w:rFonts w:hint="default"/>
                <w:lang w:val="en-US" w:eastAsia="zh-CN"/>
              </w:rPr>
              <w:t>021水泥制品制造</w:t>
            </w:r>
            <w:r>
              <w:rPr>
                <w:rFonts w:hint="eastAsia"/>
                <w:lang w:val="en-US" w:eastAsia="zh-CN"/>
              </w:rPr>
              <w:t>、C3022砼结构构件制造、C3031粘土砖瓦及建筑砌块制造，根据《产业结构调整指导目录（2024年本）》，本项目不属于鼓励类、限制类与淘汰类，因此属于允许类，符合国家产业政策。</w:t>
            </w:r>
            <w:r>
              <w:rPr>
                <w:rFonts w:hint="eastAsia"/>
                <w:highlight w:val="none"/>
                <w:lang w:val="en-US" w:eastAsia="zh-CN"/>
              </w:rPr>
              <w:t>2025年12月12日，新疆羌河新型建材科技有限公司取得若羌县发展和改革委员会出具的项目备案证，备案证编码：2512121171652824000162，项目代码：2511-652824-17-02-702580。</w:t>
            </w:r>
          </w:p>
          <w:p w14:paraId="2587899E">
            <w:pPr>
              <w:pStyle w:val="8"/>
              <w:bidi w:val="0"/>
              <w:rPr>
                <w:rFonts w:hint="eastAsia"/>
                <w:lang w:val="en-US" w:eastAsia="zh-CN"/>
              </w:rPr>
            </w:pPr>
            <w:r>
              <w:rPr>
                <w:rFonts w:hint="eastAsia"/>
                <w:lang w:val="en-US" w:eastAsia="zh-CN"/>
              </w:rPr>
              <w:t>综上，</w:t>
            </w:r>
            <w:r>
              <w:rPr>
                <w:rFonts w:hint="default"/>
              </w:rPr>
              <w:t>本项目的建设符合国家产业政策要求。</w:t>
            </w:r>
          </w:p>
          <w:p w14:paraId="4CA6DB7E">
            <w:pPr>
              <w:pStyle w:val="2"/>
              <w:bidi w:val="0"/>
              <w:rPr>
                <w:rFonts w:hint="eastAsia"/>
                <w:lang w:val="en-US" w:eastAsia="zh-CN"/>
              </w:rPr>
            </w:pPr>
            <w:r>
              <w:rPr>
                <w:rFonts w:hint="eastAsia"/>
                <w:lang w:val="en-US" w:eastAsia="zh-CN"/>
              </w:rPr>
              <w:t>2.</w:t>
            </w:r>
            <w:r>
              <w:rPr>
                <w:rFonts w:hint="eastAsia"/>
                <w:lang w:eastAsia="zh-CN"/>
              </w:rPr>
              <w:t>“</w:t>
            </w:r>
            <w:r>
              <w:rPr>
                <w:rFonts w:hint="default"/>
                <w:lang w:val="en-US" w:eastAsia="zh-CN"/>
              </w:rPr>
              <w:t>生态环境分区管控</w:t>
            </w:r>
            <w:r>
              <w:rPr>
                <w:rFonts w:hint="eastAsia"/>
                <w:lang w:eastAsia="zh-CN"/>
              </w:rPr>
              <w:t>”</w:t>
            </w:r>
            <w:r>
              <w:rPr>
                <w:rFonts w:hint="default"/>
                <w:lang w:val="en-US" w:eastAsia="zh-CN"/>
              </w:rPr>
              <w:t>要求</w:t>
            </w:r>
            <w:r>
              <w:rPr>
                <w:rFonts w:hint="default"/>
              </w:rPr>
              <w:t>符合性分析</w:t>
            </w:r>
          </w:p>
          <w:p w14:paraId="26C59705">
            <w:pPr>
              <w:pStyle w:val="2"/>
              <w:bidi w:val="0"/>
              <w:rPr>
                <w:rFonts w:hint="default"/>
                <w:lang w:eastAsia="zh-CN"/>
              </w:rPr>
            </w:pPr>
            <w:r>
              <w:rPr>
                <w:rFonts w:hint="eastAsia"/>
                <w:lang w:val="en-US" w:eastAsia="zh-CN"/>
              </w:rPr>
              <w:t>2.1</w:t>
            </w:r>
            <w:r>
              <w:rPr>
                <w:rFonts w:hint="default"/>
                <w:lang w:val="en-US" w:eastAsia="zh-CN"/>
              </w:rPr>
              <w:t>《关于印发〈新疆维吾尔自治区生态环境分区管控动态更新成果〉的通知》（新环环评发〔2024〕157号）符合性分析</w:t>
            </w:r>
          </w:p>
          <w:p w14:paraId="4D5471F7">
            <w:pPr>
              <w:pStyle w:val="8"/>
              <w:bidi w:val="0"/>
              <w:rPr>
                <w:rFonts w:hint="default"/>
                <w:lang w:val="en-US" w:eastAsia="zh-CN"/>
              </w:rPr>
            </w:pPr>
            <w:r>
              <w:rPr>
                <w:rFonts w:hint="default"/>
                <w:lang w:val="en-US" w:eastAsia="zh-CN"/>
              </w:rPr>
              <w:t>项目与《关于印发〈新疆维吾尔自治区生态环境分区管控动态更新成果〉的通知》（新环环评发〔2024〕157号）符合性分析详见下表。</w:t>
            </w:r>
          </w:p>
          <w:p w14:paraId="2B173206">
            <w:pPr>
              <w:pStyle w:val="42"/>
              <w:bidi w:val="0"/>
              <w:rPr>
                <w:rFonts w:hint="default"/>
                <w:lang w:val="en-US" w:eastAsia="zh-CN"/>
              </w:rPr>
            </w:pPr>
            <w:r>
              <w:rPr>
                <w:rFonts w:hint="default"/>
                <w:lang w:val="en-US" w:eastAsia="zh-CN"/>
              </w:rPr>
              <w:t>表1-</w:t>
            </w:r>
            <w:r>
              <w:rPr>
                <w:rFonts w:hint="eastAsia"/>
                <w:lang w:val="en-US" w:eastAsia="zh-CN"/>
              </w:rPr>
              <w:t>1</w:t>
            </w:r>
            <w:r>
              <w:rPr>
                <w:rFonts w:hint="default"/>
                <w:lang w:val="en-US" w:eastAsia="zh-CN"/>
              </w:rPr>
              <w:t xml:space="preserve">  与《新疆维吾尔自治区生态环境分区管控动态更新成果》符合性分析</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729"/>
              <w:gridCol w:w="3452"/>
              <w:gridCol w:w="1863"/>
              <w:gridCol w:w="563"/>
            </w:tblGrid>
            <w:tr w14:paraId="6C63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4" w:type="pct"/>
                  <w:gridSpan w:val="2"/>
                  <w:noWrap w:val="0"/>
                  <w:vAlign w:val="center"/>
                </w:tcPr>
                <w:p w14:paraId="3DF49762">
                  <w:pPr>
                    <w:pStyle w:val="40"/>
                    <w:bidi w:val="0"/>
                    <w:rPr>
                      <w:rFonts w:hint="eastAsia"/>
                      <w:lang w:val="en-US" w:eastAsia="zh-CN"/>
                    </w:rPr>
                  </w:pPr>
                  <w:r>
                    <w:rPr>
                      <w:rFonts w:hint="eastAsia"/>
                      <w:lang w:val="en-US" w:eastAsia="zh-CN"/>
                    </w:rPr>
                    <w:t>管控要求</w:t>
                  </w:r>
                </w:p>
              </w:tc>
              <w:tc>
                <w:tcPr>
                  <w:tcW w:w="2428" w:type="pct"/>
                  <w:noWrap w:val="0"/>
                  <w:vAlign w:val="center"/>
                </w:tcPr>
                <w:p w14:paraId="28A95F27">
                  <w:pPr>
                    <w:pStyle w:val="40"/>
                    <w:bidi w:val="0"/>
                    <w:rPr>
                      <w:rFonts w:hint="default"/>
                      <w:lang w:val="en-US" w:eastAsia="zh-CN"/>
                    </w:rPr>
                  </w:pPr>
                  <w:r>
                    <w:rPr>
                      <w:rFonts w:hint="eastAsia"/>
                      <w:lang w:val="en-US" w:eastAsia="zh-CN"/>
                    </w:rPr>
                    <w:t>部分环境管理政策有关要求</w:t>
                  </w:r>
                </w:p>
              </w:tc>
              <w:tc>
                <w:tcPr>
                  <w:tcW w:w="1310" w:type="pct"/>
                  <w:noWrap w:val="0"/>
                  <w:vAlign w:val="center"/>
                </w:tcPr>
                <w:p w14:paraId="0D64E027">
                  <w:pPr>
                    <w:pStyle w:val="40"/>
                    <w:bidi w:val="0"/>
                    <w:rPr>
                      <w:rFonts w:hint="default"/>
                      <w:lang w:val="en-US" w:eastAsia="zh-CN"/>
                    </w:rPr>
                  </w:pPr>
                  <w:r>
                    <w:rPr>
                      <w:rFonts w:hint="eastAsia"/>
                      <w:lang w:val="en-US" w:eastAsia="zh-CN"/>
                    </w:rPr>
                    <w:t>本项目情况</w:t>
                  </w:r>
                </w:p>
              </w:tc>
              <w:tc>
                <w:tcPr>
                  <w:tcW w:w="396" w:type="pct"/>
                  <w:noWrap w:val="0"/>
                  <w:vAlign w:val="center"/>
                </w:tcPr>
                <w:p w14:paraId="21F6CCA3">
                  <w:pPr>
                    <w:pStyle w:val="40"/>
                    <w:bidi w:val="0"/>
                    <w:rPr>
                      <w:rFonts w:hint="default"/>
                      <w:lang w:val="en-US" w:eastAsia="zh-CN"/>
                    </w:rPr>
                  </w:pPr>
                  <w:r>
                    <w:rPr>
                      <w:rFonts w:hint="eastAsia"/>
                      <w:lang w:val="en-US" w:eastAsia="zh-CN"/>
                    </w:rPr>
                    <w:t>符合性</w:t>
                  </w:r>
                </w:p>
              </w:tc>
            </w:tr>
            <w:tr w14:paraId="0662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351" w:type="pct"/>
                  <w:vMerge w:val="restart"/>
                  <w:noWrap w:val="0"/>
                  <w:vAlign w:val="center"/>
                </w:tcPr>
                <w:p w14:paraId="2C014DB8">
                  <w:pPr>
                    <w:pStyle w:val="40"/>
                    <w:bidi w:val="0"/>
                    <w:rPr>
                      <w:rFonts w:hint="default"/>
                      <w:lang w:val="en-US" w:eastAsia="zh-CN"/>
                    </w:rPr>
                  </w:pPr>
                  <w:r>
                    <w:rPr>
                      <w:rFonts w:hint="default"/>
                      <w:lang w:val="en-US" w:eastAsia="zh-CN"/>
                    </w:rPr>
                    <w:t>A1</w:t>
                  </w:r>
                  <w:r>
                    <w:rPr>
                      <w:rFonts w:hint="eastAsia"/>
                      <w:lang w:val="en-US" w:eastAsia="zh-CN"/>
                    </w:rPr>
                    <w:t>空间布局约束</w:t>
                  </w:r>
                </w:p>
              </w:tc>
              <w:tc>
                <w:tcPr>
                  <w:tcW w:w="512" w:type="pct"/>
                  <w:vMerge w:val="restart"/>
                  <w:noWrap w:val="0"/>
                  <w:vAlign w:val="center"/>
                </w:tcPr>
                <w:p w14:paraId="3DD0F25A">
                  <w:pPr>
                    <w:pStyle w:val="40"/>
                    <w:bidi w:val="0"/>
                    <w:rPr>
                      <w:rFonts w:hint="default"/>
                      <w:lang w:val="en-US" w:eastAsia="zh-CN"/>
                    </w:rPr>
                  </w:pPr>
                  <w:r>
                    <w:rPr>
                      <w:rFonts w:hint="default"/>
                      <w:lang w:val="en-US" w:eastAsia="zh-CN"/>
                    </w:rPr>
                    <w:t>A1.1禁止开发建设的活动</w:t>
                  </w:r>
                </w:p>
              </w:tc>
              <w:tc>
                <w:tcPr>
                  <w:tcW w:w="2428" w:type="pct"/>
                  <w:noWrap w:val="0"/>
                  <w:vAlign w:val="center"/>
                </w:tcPr>
                <w:p w14:paraId="34767068">
                  <w:pPr>
                    <w:pStyle w:val="40"/>
                    <w:bidi w:val="0"/>
                    <w:rPr>
                      <w:rFonts w:hint="default"/>
                      <w:lang w:val="en-US" w:eastAsia="zh-CN"/>
                    </w:rPr>
                  </w:pPr>
                  <w:r>
                    <w:rPr>
                      <w:rFonts w:hint="default"/>
                      <w:lang w:val="en-US" w:eastAsia="zh-CN"/>
                    </w:rPr>
                    <w:t>〔A1.1-1〕禁止新建、扩建《产业结构调整指导目录</w:t>
                  </w:r>
                  <w:r>
                    <w:rPr>
                      <w:rFonts w:hint="eastAsia"/>
                      <w:lang w:val="en-US" w:eastAsia="zh-CN"/>
                    </w:rPr>
                    <w:t>（</w:t>
                  </w:r>
                  <w:r>
                    <w:rPr>
                      <w:rFonts w:hint="default"/>
                      <w:lang w:val="en-US" w:eastAsia="zh-CN"/>
                    </w:rPr>
                    <w:t>2024年本</w:t>
                  </w:r>
                  <w:r>
                    <w:rPr>
                      <w:rFonts w:hint="eastAsia"/>
                      <w:lang w:val="en-US" w:eastAsia="zh-CN"/>
                    </w:rPr>
                    <w:t>）</w:t>
                  </w:r>
                  <w:r>
                    <w:rPr>
                      <w:rFonts w:hint="default"/>
                      <w:lang w:val="en-US" w:eastAsia="zh-CN"/>
                    </w:rPr>
                    <w:t>》中淘汰类项目。禁止引入《市场准入负面清单</w:t>
                  </w:r>
                  <w:r>
                    <w:rPr>
                      <w:rFonts w:hint="eastAsia"/>
                      <w:lang w:val="en-US" w:eastAsia="zh-CN"/>
                    </w:rPr>
                    <w:t>（</w:t>
                  </w:r>
                  <w:r>
                    <w:rPr>
                      <w:rFonts w:hint="default"/>
                      <w:lang w:val="en-US" w:eastAsia="zh-CN"/>
                    </w:rPr>
                    <w:t>2022年版</w:t>
                  </w:r>
                  <w:r>
                    <w:rPr>
                      <w:rFonts w:hint="eastAsia"/>
                      <w:lang w:val="en-US" w:eastAsia="zh-CN"/>
                    </w:rPr>
                    <w:t>）》</w:t>
                  </w:r>
                  <w:r>
                    <w:rPr>
                      <w:rFonts w:hint="default"/>
                      <w:lang w:val="en-US" w:eastAsia="zh-CN"/>
                    </w:rPr>
                    <w:t>禁止准入类事项。</w:t>
                  </w:r>
                </w:p>
              </w:tc>
              <w:tc>
                <w:tcPr>
                  <w:tcW w:w="1310" w:type="pct"/>
                  <w:vMerge w:val="restart"/>
                  <w:noWrap w:val="0"/>
                  <w:vAlign w:val="center"/>
                </w:tcPr>
                <w:p w14:paraId="68B8C7A3">
                  <w:pPr>
                    <w:pStyle w:val="40"/>
                    <w:bidi w:val="0"/>
                    <w:jc w:val="both"/>
                    <w:rPr>
                      <w:rFonts w:hint="default"/>
                      <w:lang w:val="en-US" w:eastAsia="zh-CN"/>
                    </w:rPr>
                  </w:pPr>
                  <w:r>
                    <w:rPr>
                      <w:rFonts w:hint="eastAsia"/>
                      <w:lang w:val="en-US" w:eastAsia="zh-CN"/>
                    </w:rPr>
                    <w:t>本项目为水泥制品制造、</w:t>
                  </w:r>
                  <w:r>
                    <w:rPr>
                      <w:rFonts w:hint="eastAsia" w:ascii="Times New Roman" w:hAnsi="Times New Roman" w:eastAsia="宋体" w:cs="Times New Roman"/>
                      <w:lang w:val="en-US" w:eastAsia="zh-CN"/>
                    </w:rPr>
                    <w:t>粘土砖瓦及建筑砌块制造，</w:t>
                  </w:r>
                  <w:r>
                    <w:rPr>
                      <w:rFonts w:hint="eastAsia"/>
                      <w:lang w:val="en-US" w:eastAsia="zh-CN"/>
                    </w:rPr>
                    <w:t>不属于鼓励类、限制类与淘汰类，因此属于允许类，符合国家产业政策</w:t>
                  </w:r>
                  <w:r>
                    <w:rPr>
                      <w:rFonts w:hint="default"/>
                    </w:rPr>
                    <w:t>；</w:t>
                  </w:r>
                  <w:r>
                    <w:rPr>
                      <w:rFonts w:hint="eastAsia"/>
                      <w:lang w:val="en-US" w:eastAsia="zh-CN"/>
                    </w:rPr>
                    <w:t>不属于</w:t>
                  </w:r>
                  <w:r>
                    <w:rPr>
                      <w:rFonts w:hint="default"/>
                      <w:lang w:val="en-US" w:eastAsia="zh-CN"/>
                    </w:rPr>
                    <w:t>《市场准入负面清单</w:t>
                  </w:r>
                  <w:r>
                    <w:rPr>
                      <w:rFonts w:hint="eastAsia"/>
                      <w:lang w:val="en-US" w:eastAsia="zh-CN"/>
                    </w:rPr>
                    <w:t>（</w:t>
                  </w:r>
                  <w:r>
                    <w:rPr>
                      <w:rFonts w:hint="default"/>
                      <w:lang w:val="en-US" w:eastAsia="zh-CN"/>
                    </w:rPr>
                    <w:t>202</w:t>
                  </w:r>
                  <w:r>
                    <w:rPr>
                      <w:rFonts w:hint="eastAsia"/>
                      <w:lang w:val="en-US" w:eastAsia="zh-CN"/>
                    </w:rPr>
                    <w:t>5</w:t>
                  </w:r>
                  <w:r>
                    <w:rPr>
                      <w:rFonts w:hint="default"/>
                      <w:lang w:val="en-US" w:eastAsia="zh-CN"/>
                    </w:rPr>
                    <w:t>年版</w:t>
                  </w:r>
                  <w:r>
                    <w:rPr>
                      <w:rFonts w:hint="eastAsia"/>
                      <w:lang w:val="en-US" w:eastAsia="zh-CN"/>
                    </w:rPr>
                    <w:t>）》的项目；不涉及饮用水水源保护区、风景名胜区、自然保护区的核心区和缓冲区、城镇居民区、文化教育科学研究区等人口集中区域，不涉及湿地；</w:t>
                  </w:r>
                  <w:r>
                    <w:rPr>
                      <w:rFonts w:hint="eastAsia" w:ascii="Times New Roman" w:hAnsi="Times New Roman" w:eastAsia="宋体" w:cs="Times New Roman"/>
                      <w:lang w:val="en-US" w:eastAsia="zh-CN"/>
                    </w:rPr>
                    <w:t>不</w:t>
                  </w:r>
                  <w:r>
                    <w:rPr>
                      <w:rFonts w:hint="eastAsia"/>
                      <w:lang w:val="en-US" w:eastAsia="zh-CN"/>
                    </w:rPr>
                    <w:t>属于高污染（排放）、高能（水）耗、高环境风险的工业项目。</w:t>
                  </w:r>
                </w:p>
              </w:tc>
              <w:tc>
                <w:tcPr>
                  <w:tcW w:w="396" w:type="pct"/>
                  <w:vMerge w:val="restart"/>
                  <w:noWrap w:val="0"/>
                  <w:vAlign w:val="center"/>
                </w:tcPr>
                <w:p w14:paraId="1AFF2A34">
                  <w:pPr>
                    <w:pStyle w:val="40"/>
                    <w:bidi w:val="0"/>
                    <w:rPr>
                      <w:rFonts w:hint="eastAsia"/>
                      <w:lang w:val="en-US" w:eastAsia="zh-CN"/>
                    </w:rPr>
                  </w:pPr>
                  <w:r>
                    <w:rPr>
                      <w:rFonts w:hint="eastAsia"/>
                      <w:lang w:val="en-US" w:eastAsia="zh-CN"/>
                    </w:rPr>
                    <w:t>符合</w:t>
                  </w:r>
                </w:p>
              </w:tc>
            </w:tr>
            <w:tr w14:paraId="2E27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51" w:type="pct"/>
                  <w:vMerge w:val="continue"/>
                  <w:noWrap w:val="0"/>
                  <w:vAlign w:val="center"/>
                </w:tcPr>
                <w:p w14:paraId="7AC43B1E">
                  <w:pPr>
                    <w:pStyle w:val="40"/>
                    <w:bidi w:val="0"/>
                    <w:rPr>
                      <w:rFonts w:hint="default"/>
                      <w:lang w:val="en-US" w:eastAsia="zh-CN"/>
                    </w:rPr>
                  </w:pPr>
                </w:p>
              </w:tc>
              <w:tc>
                <w:tcPr>
                  <w:tcW w:w="512" w:type="pct"/>
                  <w:vMerge w:val="continue"/>
                  <w:noWrap w:val="0"/>
                  <w:vAlign w:val="center"/>
                </w:tcPr>
                <w:p w14:paraId="7A4C87AF">
                  <w:pPr>
                    <w:pStyle w:val="40"/>
                    <w:bidi w:val="0"/>
                    <w:rPr>
                      <w:rFonts w:hint="default"/>
                      <w:lang w:val="en-US" w:eastAsia="zh-CN"/>
                    </w:rPr>
                  </w:pPr>
                </w:p>
              </w:tc>
              <w:tc>
                <w:tcPr>
                  <w:tcW w:w="2428" w:type="pct"/>
                  <w:shd w:val="clear" w:color="auto" w:fill="auto"/>
                  <w:noWrap w:val="0"/>
                  <w:vAlign w:val="center"/>
                </w:tcPr>
                <w:p w14:paraId="3B68C9C8">
                  <w:pPr>
                    <w:pStyle w:val="40"/>
                    <w:bidi w:val="0"/>
                    <w:rPr>
                      <w:rFonts w:hint="eastAsia" w:eastAsia="宋体"/>
                      <w:lang w:val="en-US" w:eastAsia="zh-CN"/>
                    </w:rPr>
                  </w:pPr>
                  <w:r>
                    <w:rPr>
                      <w:rFonts w:hint="default"/>
                    </w:rPr>
                    <w:t>〔A1.1-2〕禁止建设不符合国家和自治区环境保护标准的项目</w:t>
                  </w:r>
                  <w:r>
                    <w:rPr>
                      <w:rFonts w:hint="eastAsia"/>
                      <w:lang w:eastAsia="zh-CN"/>
                    </w:rPr>
                    <w:t>。</w:t>
                  </w:r>
                </w:p>
              </w:tc>
              <w:tc>
                <w:tcPr>
                  <w:tcW w:w="1310" w:type="pct"/>
                  <w:vMerge w:val="continue"/>
                  <w:noWrap w:val="0"/>
                  <w:vAlign w:val="center"/>
                </w:tcPr>
                <w:p w14:paraId="27FB2264">
                  <w:pPr>
                    <w:pStyle w:val="40"/>
                    <w:bidi w:val="0"/>
                    <w:jc w:val="both"/>
                    <w:rPr>
                      <w:rFonts w:hint="eastAsia"/>
                      <w:lang w:val="en-US" w:eastAsia="zh-CN"/>
                    </w:rPr>
                  </w:pPr>
                </w:p>
              </w:tc>
              <w:tc>
                <w:tcPr>
                  <w:tcW w:w="396" w:type="pct"/>
                  <w:vMerge w:val="continue"/>
                  <w:noWrap w:val="0"/>
                  <w:vAlign w:val="center"/>
                </w:tcPr>
                <w:p w14:paraId="2529CAAC">
                  <w:pPr>
                    <w:pStyle w:val="40"/>
                    <w:bidi w:val="0"/>
                    <w:rPr>
                      <w:rFonts w:hint="eastAsia"/>
                      <w:lang w:val="en-US" w:eastAsia="zh-CN"/>
                    </w:rPr>
                  </w:pPr>
                </w:p>
              </w:tc>
            </w:tr>
            <w:tr w14:paraId="4664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51" w:type="pct"/>
                  <w:vMerge w:val="continue"/>
                  <w:noWrap w:val="0"/>
                  <w:vAlign w:val="center"/>
                </w:tcPr>
                <w:p w14:paraId="41599655">
                  <w:pPr>
                    <w:pStyle w:val="40"/>
                    <w:bidi w:val="0"/>
                    <w:rPr>
                      <w:rFonts w:hint="default"/>
                      <w:lang w:val="en-US" w:eastAsia="zh-CN"/>
                    </w:rPr>
                  </w:pPr>
                </w:p>
              </w:tc>
              <w:tc>
                <w:tcPr>
                  <w:tcW w:w="512" w:type="pct"/>
                  <w:vMerge w:val="continue"/>
                  <w:noWrap w:val="0"/>
                  <w:vAlign w:val="center"/>
                </w:tcPr>
                <w:p w14:paraId="27236DA7">
                  <w:pPr>
                    <w:pStyle w:val="40"/>
                    <w:bidi w:val="0"/>
                    <w:rPr>
                      <w:rFonts w:hint="default"/>
                      <w:lang w:val="en-US" w:eastAsia="zh-CN"/>
                    </w:rPr>
                  </w:pPr>
                </w:p>
              </w:tc>
              <w:tc>
                <w:tcPr>
                  <w:tcW w:w="2428" w:type="pct"/>
                  <w:shd w:val="clear" w:color="auto" w:fill="auto"/>
                  <w:noWrap w:val="0"/>
                  <w:vAlign w:val="center"/>
                </w:tcPr>
                <w:p w14:paraId="4FF8B8F7">
                  <w:pPr>
                    <w:pStyle w:val="40"/>
                    <w:bidi w:val="0"/>
                    <w:rPr>
                      <w:rFonts w:hint="eastAsia" w:eastAsia="宋体"/>
                      <w:lang w:val="en-US" w:eastAsia="zh-CN"/>
                    </w:rPr>
                  </w:pPr>
                  <w:r>
                    <w:rPr>
                      <w:rFonts w:hint="default"/>
                    </w:rPr>
                    <w:t>〔A1.1-3〕禁止在饮用水水源保护区、风景名胜区、自然保护区的核心区和缓冲区、城镇居民区、文化教育科学研究区等人口集中区域以及法律、法规规定的其他禁止养殖区域建设畜禽养殖场、养殖小区</w:t>
                  </w:r>
                  <w:r>
                    <w:rPr>
                      <w:rFonts w:hint="eastAsia"/>
                      <w:lang w:eastAsia="zh-CN"/>
                    </w:rPr>
                    <w:t>。</w:t>
                  </w:r>
                </w:p>
              </w:tc>
              <w:tc>
                <w:tcPr>
                  <w:tcW w:w="1310" w:type="pct"/>
                  <w:vMerge w:val="continue"/>
                  <w:noWrap w:val="0"/>
                  <w:vAlign w:val="center"/>
                </w:tcPr>
                <w:p w14:paraId="71D8235D">
                  <w:pPr>
                    <w:pStyle w:val="40"/>
                    <w:bidi w:val="0"/>
                    <w:jc w:val="both"/>
                    <w:rPr>
                      <w:rFonts w:hint="eastAsia"/>
                      <w:lang w:val="en-US" w:eastAsia="zh-CN"/>
                    </w:rPr>
                  </w:pPr>
                </w:p>
              </w:tc>
              <w:tc>
                <w:tcPr>
                  <w:tcW w:w="396" w:type="pct"/>
                  <w:vMerge w:val="continue"/>
                  <w:noWrap w:val="0"/>
                  <w:vAlign w:val="center"/>
                </w:tcPr>
                <w:p w14:paraId="1B788B78">
                  <w:pPr>
                    <w:pStyle w:val="40"/>
                    <w:bidi w:val="0"/>
                    <w:rPr>
                      <w:rFonts w:hint="eastAsia"/>
                      <w:lang w:val="en-US" w:eastAsia="zh-CN"/>
                    </w:rPr>
                  </w:pPr>
                </w:p>
              </w:tc>
            </w:tr>
            <w:tr w14:paraId="54A70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51" w:type="pct"/>
                  <w:vMerge w:val="continue"/>
                  <w:noWrap w:val="0"/>
                  <w:vAlign w:val="center"/>
                </w:tcPr>
                <w:p w14:paraId="535B0BF1">
                  <w:pPr>
                    <w:pStyle w:val="40"/>
                    <w:bidi w:val="0"/>
                    <w:rPr>
                      <w:rFonts w:hint="default"/>
                      <w:lang w:val="en-US" w:eastAsia="zh-CN"/>
                    </w:rPr>
                  </w:pPr>
                </w:p>
              </w:tc>
              <w:tc>
                <w:tcPr>
                  <w:tcW w:w="512" w:type="pct"/>
                  <w:vMerge w:val="continue"/>
                  <w:noWrap w:val="0"/>
                  <w:vAlign w:val="center"/>
                </w:tcPr>
                <w:p w14:paraId="4CCC8AA6">
                  <w:pPr>
                    <w:pStyle w:val="40"/>
                    <w:bidi w:val="0"/>
                    <w:rPr>
                      <w:rFonts w:hint="default"/>
                      <w:lang w:val="en-US" w:eastAsia="zh-CN"/>
                    </w:rPr>
                  </w:pPr>
                </w:p>
              </w:tc>
              <w:tc>
                <w:tcPr>
                  <w:tcW w:w="2428" w:type="pct"/>
                  <w:shd w:val="clear" w:color="auto" w:fill="auto"/>
                  <w:noWrap w:val="0"/>
                  <w:vAlign w:val="center"/>
                </w:tcPr>
                <w:p w14:paraId="591C401F">
                  <w:pPr>
                    <w:pStyle w:val="40"/>
                    <w:bidi w:val="0"/>
                    <w:rPr>
                      <w:rFonts w:hint="eastAsia" w:eastAsia="宋体"/>
                      <w:lang w:val="en-US" w:eastAsia="zh-CN"/>
                    </w:rPr>
                  </w:pPr>
                  <w:r>
                    <w:rPr>
                      <w:rFonts w:hint="default"/>
                    </w:rPr>
                    <w:t>〔A1.1-4〕禁止在水源涵养区、地下水源、饮用水源、自然保护区、风景名胜区、森林公园、重要湿地及人群密集区等生态敏感区域内进行煤炭、石油、天然气开发</w:t>
                  </w:r>
                  <w:r>
                    <w:rPr>
                      <w:rFonts w:hint="eastAsia"/>
                      <w:lang w:eastAsia="zh-CN"/>
                    </w:rPr>
                    <w:t>。</w:t>
                  </w:r>
                </w:p>
              </w:tc>
              <w:tc>
                <w:tcPr>
                  <w:tcW w:w="1310" w:type="pct"/>
                  <w:vMerge w:val="continue"/>
                  <w:noWrap w:val="0"/>
                  <w:vAlign w:val="center"/>
                </w:tcPr>
                <w:p w14:paraId="3EE07A3F">
                  <w:pPr>
                    <w:pStyle w:val="40"/>
                    <w:bidi w:val="0"/>
                    <w:jc w:val="both"/>
                    <w:rPr>
                      <w:rFonts w:hint="eastAsia"/>
                      <w:lang w:val="en-US" w:eastAsia="zh-CN"/>
                    </w:rPr>
                  </w:pPr>
                </w:p>
              </w:tc>
              <w:tc>
                <w:tcPr>
                  <w:tcW w:w="396" w:type="pct"/>
                  <w:vMerge w:val="continue"/>
                  <w:noWrap w:val="0"/>
                  <w:vAlign w:val="center"/>
                </w:tcPr>
                <w:p w14:paraId="70408BED">
                  <w:pPr>
                    <w:pStyle w:val="40"/>
                    <w:bidi w:val="0"/>
                    <w:rPr>
                      <w:rFonts w:hint="eastAsia"/>
                      <w:lang w:val="en-US" w:eastAsia="zh-CN"/>
                    </w:rPr>
                  </w:pPr>
                </w:p>
              </w:tc>
            </w:tr>
            <w:tr w14:paraId="5207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351" w:type="pct"/>
                  <w:vMerge w:val="continue"/>
                  <w:noWrap w:val="0"/>
                  <w:vAlign w:val="center"/>
                </w:tcPr>
                <w:p w14:paraId="27E196A3">
                  <w:pPr>
                    <w:pStyle w:val="40"/>
                    <w:bidi w:val="0"/>
                    <w:rPr>
                      <w:rFonts w:hint="default"/>
                      <w:lang w:val="en-US" w:eastAsia="zh-CN"/>
                    </w:rPr>
                  </w:pPr>
                </w:p>
              </w:tc>
              <w:tc>
                <w:tcPr>
                  <w:tcW w:w="512" w:type="pct"/>
                  <w:vMerge w:val="continue"/>
                  <w:noWrap w:val="0"/>
                  <w:vAlign w:val="center"/>
                </w:tcPr>
                <w:p w14:paraId="6E5AC886">
                  <w:pPr>
                    <w:pStyle w:val="40"/>
                    <w:bidi w:val="0"/>
                    <w:rPr>
                      <w:rFonts w:hint="default"/>
                      <w:lang w:val="en-US" w:eastAsia="zh-CN"/>
                    </w:rPr>
                  </w:pPr>
                </w:p>
              </w:tc>
              <w:tc>
                <w:tcPr>
                  <w:tcW w:w="2428" w:type="pct"/>
                  <w:shd w:val="clear" w:color="auto" w:fill="auto"/>
                  <w:noWrap w:val="0"/>
                  <w:vAlign w:val="center"/>
                </w:tcPr>
                <w:p w14:paraId="1E23A487">
                  <w:pPr>
                    <w:pStyle w:val="40"/>
                    <w:bidi w:val="0"/>
                    <w:rPr>
                      <w:rFonts w:hint="default"/>
                    </w:rPr>
                  </w:pPr>
                  <w:r>
                    <w:rPr>
                      <w:rFonts w:hint="default"/>
                    </w:rPr>
                    <w:t>〔A1.1-5〕禁止下列破坏湿地及其生态功能的行为：</w:t>
                  </w:r>
                </w:p>
                <w:p w14:paraId="348C3C57">
                  <w:pPr>
                    <w:pStyle w:val="40"/>
                    <w:bidi w:val="0"/>
                    <w:rPr>
                      <w:rFonts w:hint="eastAsia" w:eastAsia="宋体"/>
                      <w:lang w:val="en-US" w:eastAsia="zh-CN"/>
                    </w:rPr>
                  </w:pPr>
                  <w:r>
                    <w:rPr>
                      <w:rFonts w:hint="default"/>
                      <w:lang w:eastAsia="zh-CN"/>
                    </w:rPr>
                    <w:t>（</w:t>
                  </w:r>
                  <w:r>
                    <w:rPr>
                      <w:rFonts w:hint="default"/>
                    </w:rPr>
                    <w:t>一</w:t>
                  </w:r>
                  <w:r>
                    <w:rPr>
                      <w:rFonts w:hint="default"/>
                      <w:lang w:eastAsia="zh-CN"/>
                    </w:rPr>
                    <w:t>）</w:t>
                  </w:r>
                  <w:r>
                    <w:rPr>
                      <w:rFonts w:hint="default"/>
                    </w:rPr>
                    <w:t>开</w:t>
                  </w:r>
                  <w:r>
                    <w:rPr>
                      <w:rFonts w:hint="default"/>
                      <w:lang w:eastAsia="zh-CN"/>
                    </w:rPr>
                    <w:t>（</w:t>
                  </w:r>
                  <w:r>
                    <w:rPr>
                      <w:rFonts w:hint="default"/>
                    </w:rPr>
                    <w:t>围</w:t>
                  </w:r>
                  <w:r>
                    <w:rPr>
                      <w:rFonts w:hint="default"/>
                      <w:lang w:eastAsia="zh-CN"/>
                    </w:rPr>
                    <w:t>）</w:t>
                  </w:r>
                  <w:r>
                    <w:rPr>
                      <w:rFonts w:hint="default"/>
                    </w:rPr>
                    <w:t>垦、排干自然湿地，永久性截断自然湿地水源；</w:t>
                  </w:r>
                  <w:r>
                    <w:rPr>
                      <w:rFonts w:hint="default"/>
                      <w:lang w:eastAsia="zh-CN"/>
                    </w:rPr>
                    <w:t>（</w:t>
                  </w:r>
                  <w:r>
                    <w:rPr>
                      <w:rFonts w:hint="default"/>
                    </w:rPr>
                    <w:t>二</w:t>
                  </w:r>
                  <w:r>
                    <w:rPr>
                      <w:rFonts w:hint="default"/>
                      <w:lang w:eastAsia="zh-CN"/>
                    </w:rPr>
                    <w:t>）</w:t>
                  </w:r>
                  <w:r>
                    <w:rPr>
                      <w:rFonts w:hint="default"/>
                    </w:rPr>
                    <w:t>擅自填埋自然湿地，擅自采砂、采矿、取土；</w:t>
                  </w:r>
                  <w:r>
                    <w:rPr>
                      <w:rFonts w:hint="default"/>
                      <w:lang w:eastAsia="zh-CN"/>
                    </w:rPr>
                    <w:t>（</w:t>
                  </w:r>
                  <w:r>
                    <w:rPr>
                      <w:rFonts w:hint="default"/>
                    </w:rPr>
                    <w:t>三</w:t>
                  </w:r>
                  <w:r>
                    <w:rPr>
                      <w:rFonts w:hint="default"/>
                      <w:lang w:eastAsia="zh-CN"/>
                    </w:rPr>
                    <w:t>）</w:t>
                  </w:r>
                  <w:r>
                    <w:rPr>
                      <w:rFonts w:hint="default"/>
                    </w:rPr>
                    <w:t>排放不符合水污染物排放标准的工业废水、生活污水及其他污染湿地的废水、污水，倾倒、堆放、丢弃、遗撒固体废物；</w:t>
                  </w:r>
                  <w:r>
                    <w:rPr>
                      <w:rFonts w:hint="default"/>
                      <w:lang w:eastAsia="zh-CN"/>
                    </w:rPr>
                    <w:t>（</w:t>
                  </w:r>
                  <w:r>
                    <w:rPr>
                      <w:rFonts w:hint="default"/>
                    </w:rPr>
                    <w:t>四</w:t>
                  </w:r>
                  <w:r>
                    <w:rPr>
                      <w:rFonts w:hint="default"/>
                      <w:lang w:eastAsia="zh-CN"/>
                    </w:rPr>
                    <w:t>）</w:t>
                  </w:r>
                  <w:r>
                    <w:rPr>
                      <w:rFonts w:hint="default"/>
                    </w:rPr>
                    <w:t>过度放牧或者滥采野生植物，过度捕捞或者灭绝式捕捞，过度施肥、投药、投放饵料等污染湿地的种植养殖行为；</w:t>
                  </w:r>
                  <w:r>
                    <w:rPr>
                      <w:rFonts w:hint="default"/>
                      <w:lang w:eastAsia="zh-CN"/>
                    </w:rPr>
                    <w:t>（</w:t>
                  </w:r>
                  <w:r>
                    <w:rPr>
                      <w:rFonts w:hint="default"/>
                    </w:rPr>
                    <w:t>五</w:t>
                  </w:r>
                  <w:r>
                    <w:rPr>
                      <w:rFonts w:hint="default"/>
                      <w:lang w:eastAsia="zh-CN"/>
                    </w:rPr>
                    <w:t>）</w:t>
                  </w:r>
                  <w:r>
                    <w:rPr>
                      <w:rFonts w:hint="default"/>
                    </w:rPr>
                    <w:t>其他破坏湿地及其生态功能的行为</w:t>
                  </w:r>
                  <w:r>
                    <w:rPr>
                      <w:rFonts w:hint="eastAsia"/>
                      <w:lang w:eastAsia="zh-CN"/>
                    </w:rPr>
                    <w:t>。</w:t>
                  </w:r>
                </w:p>
              </w:tc>
              <w:tc>
                <w:tcPr>
                  <w:tcW w:w="1310" w:type="pct"/>
                  <w:vMerge w:val="continue"/>
                  <w:noWrap w:val="0"/>
                  <w:vAlign w:val="center"/>
                </w:tcPr>
                <w:p w14:paraId="783D9AB7">
                  <w:pPr>
                    <w:pStyle w:val="40"/>
                    <w:bidi w:val="0"/>
                    <w:jc w:val="both"/>
                    <w:rPr>
                      <w:rFonts w:hint="eastAsia"/>
                      <w:lang w:val="en-US" w:eastAsia="zh-CN"/>
                    </w:rPr>
                  </w:pPr>
                </w:p>
              </w:tc>
              <w:tc>
                <w:tcPr>
                  <w:tcW w:w="396" w:type="pct"/>
                  <w:vMerge w:val="continue"/>
                  <w:noWrap w:val="0"/>
                  <w:vAlign w:val="center"/>
                </w:tcPr>
                <w:p w14:paraId="0D2354F5">
                  <w:pPr>
                    <w:pStyle w:val="40"/>
                    <w:bidi w:val="0"/>
                    <w:rPr>
                      <w:rFonts w:hint="eastAsia"/>
                      <w:lang w:val="en-US" w:eastAsia="zh-CN"/>
                    </w:rPr>
                  </w:pPr>
                </w:p>
              </w:tc>
            </w:tr>
            <w:tr w14:paraId="15E5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Merge w:val="continue"/>
                  <w:noWrap w:val="0"/>
                  <w:vAlign w:val="center"/>
                </w:tcPr>
                <w:p w14:paraId="54931379">
                  <w:pPr>
                    <w:pStyle w:val="40"/>
                    <w:bidi w:val="0"/>
                    <w:rPr>
                      <w:rFonts w:hint="eastAsia"/>
                    </w:rPr>
                  </w:pPr>
                </w:p>
              </w:tc>
              <w:tc>
                <w:tcPr>
                  <w:tcW w:w="512" w:type="pct"/>
                  <w:vMerge w:val="continue"/>
                  <w:noWrap w:val="0"/>
                  <w:vAlign w:val="center"/>
                </w:tcPr>
                <w:p w14:paraId="00909F02">
                  <w:pPr>
                    <w:pStyle w:val="40"/>
                    <w:bidi w:val="0"/>
                    <w:rPr>
                      <w:rFonts w:hint="default"/>
                      <w:lang w:val="en-US" w:eastAsia="zh-CN"/>
                    </w:rPr>
                  </w:pPr>
                </w:p>
              </w:tc>
              <w:tc>
                <w:tcPr>
                  <w:tcW w:w="2428" w:type="pct"/>
                  <w:noWrap w:val="0"/>
                  <w:vAlign w:val="center"/>
                </w:tcPr>
                <w:p w14:paraId="198659ED">
                  <w:pPr>
                    <w:pStyle w:val="40"/>
                    <w:bidi w:val="0"/>
                    <w:rPr>
                      <w:rFonts w:hint="default"/>
                      <w:lang w:val="en-US" w:eastAsia="zh-CN"/>
                    </w:rPr>
                  </w:pPr>
                  <w:r>
                    <w:rPr>
                      <w:rFonts w:hint="default"/>
                      <w:lang w:val="en-US" w:eastAsia="zh-CN"/>
                    </w:rPr>
                    <w:t>〔A1.1-</w:t>
                  </w:r>
                  <w:r>
                    <w:rPr>
                      <w:rFonts w:hint="eastAsia"/>
                      <w:lang w:val="en-US" w:eastAsia="zh-CN"/>
                    </w:rPr>
                    <w:t>6</w:t>
                  </w:r>
                  <w:r>
                    <w:rPr>
                      <w:rFonts w:hint="default"/>
                      <w:lang w:val="en-US" w:eastAsia="zh-CN"/>
                    </w:rPr>
                    <w:t>〕禁止在</w:t>
                  </w:r>
                  <w:r>
                    <w:rPr>
                      <w:rFonts w:hint="eastAsia"/>
                      <w:lang w:val="en-US" w:eastAsia="zh-CN"/>
                    </w:rPr>
                    <w:t>自治区行政区域内引进能（水）耗不符合相关国家标准中准入要求且污染物排放和环境风险防控不符合国家（地方）标准及有关产业准入条件的高污染（排放）、高能（水）耗、高环境风险的工业项目。</w:t>
                  </w:r>
                </w:p>
              </w:tc>
              <w:tc>
                <w:tcPr>
                  <w:tcW w:w="1310" w:type="pct"/>
                  <w:vMerge w:val="continue"/>
                  <w:noWrap w:val="0"/>
                  <w:vAlign w:val="center"/>
                </w:tcPr>
                <w:p w14:paraId="5D573D0F">
                  <w:pPr>
                    <w:pStyle w:val="40"/>
                    <w:bidi w:val="0"/>
                    <w:jc w:val="both"/>
                    <w:rPr>
                      <w:rFonts w:hint="default"/>
                      <w:lang w:val="en-US" w:eastAsia="zh-CN"/>
                    </w:rPr>
                  </w:pPr>
                </w:p>
              </w:tc>
              <w:tc>
                <w:tcPr>
                  <w:tcW w:w="396" w:type="pct"/>
                  <w:vMerge w:val="continue"/>
                  <w:noWrap w:val="0"/>
                  <w:vAlign w:val="center"/>
                </w:tcPr>
                <w:p w14:paraId="52188EF0">
                  <w:pPr>
                    <w:pStyle w:val="40"/>
                    <w:bidi w:val="0"/>
                    <w:rPr>
                      <w:rFonts w:hint="eastAsia"/>
                      <w:lang w:val="en-US" w:eastAsia="zh-CN"/>
                    </w:rPr>
                  </w:pPr>
                </w:p>
              </w:tc>
            </w:tr>
            <w:tr w14:paraId="5F3E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9" w:hRule="atLeast"/>
              </w:trPr>
              <w:tc>
                <w:tcPr>
                  <w:tcW w:w="351" w:type="pct"/>
                  <w:vMerge w:val="restart"/>
                  <w:noWrap w:val="0"/>
                  <w:vAlign w:val="center"/>
                </w:tcPr>
                <w:p w14:paraId="3ED9E9A4">
                  <w:pPr>
                    <w:pStyle w:val="40"/>
                    <w:bidi w:val="0"/>
                    <w:rPr>
                      <w:rFonts w:hint="default"/>
                      <w:lang w:val="en-US" w:eastAsia="zh-CN"/>
                    </w:rPr>
                  </w:pPr>
                  <w:r>
                    <w:rPr>
                      <w:rFonts w:hint="default"/>
                      <w:lang w:val="en-US" w:eastAsia="zh-CN"/>
                    </w:rPr>
                    <w:t>A2污染物排放管控</w:t>
                  </w:r>
                </w:p>
              </w:tc>
              <w:tc>
                <w:tcPr>
                  <w:tcW w:w="512" w:type="pct"/>
                  <w:vMerge w:val="restart"/>
                  <w:noWrap w:val="0"/>
                  <w:vAlign w:val="center"/>
                </w:tcPr>
                <w:p w14:paraId="54AF0FC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lang w:val="en-US" w:eastAsia="zh-CN"/>
                    </w:rPr>
                  </w:pPr>
                  <w:r>
                    <w:rPr>
                      <w:rFonts w:hint="default" w:ascii="Times New Roman" w:hAnsi="Times New Roman" w:eastAsia="宋体" w:cs="Times New Roman"/>
                      <w:color w:val="auto"/>
                      <w:sz w:val="21"/>
                      <w:szCs w:val="21"/>
                      <w:highlight w:val="none"/>
                    </w:rPr>
                    <w:t>A2.1污染物削减/替代要求</w:t>
                  </w:r>
                </w:p>
              </w:tc>
              <w:tc>
                <w:tcPr>
                  <w:tcW w:w="2428" w:type="pct"/>
                  <w:noWrap w:val="0"/>
                  <w:vAlign w:val="center"/>
                </w:tcPr>
                <w:p w14:paraId="17DDEBA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lang w:val="en-US" w:eastAsia="zh-CN"/>
                    </w:rPr>
                  </w:pPr>
                  <w:r>
                    <w:rPr>
                      <w:rFonts w:hint="default" w:ascii="Times New Roman" w:hAnsi="Times New Roman" w:eastAsia="宋体" w:cs="Times New Roman"/>
                      <w:color w:val="auto"/>
                      <w:sz w:val="21"/>
                      <w:szCs w:val="21"/>
                      <w:highlight w:val="none"/>
                    </w:rPr>
                    <w:t>〔A2.1-1〕新、改、扩建重点行业建设项目应符合“三线一单”、产业政策、区域环评、规划环评和行业环境准入管控要求。重点区域的新、改、扩建重点行业建设项目应遵循重点重金属污染物排放“减量替代”原则。</w:t>
                  </w:r>
                </w:p>
              </w:tc>
              <w:tc>
                <w:tcPr>
                  <w:tcW w:w="1310" w:type="pct"/>
                  <w:vMerge w:val="restart"/>
                  <w:noWrap w:val="0"/>
                  <w:vAlign w:val="center"/>
                </w:tcPr>
                <w:p w14:paraId="5097BB0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lang w:val="en-US" w:eastAsia="zh-CN"/>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为新建项目，</w:t>
                  </w:r>
                  <w:r>
                    <w:rPr>
                      <w:rFonts w:hint="default" w:ascii="Times New Roman" w:hAnsi="Times New Roman" w:eastAsia="宋体" w:cs="Times New Roman"/>
                      <w:color w:val="auto"/>
                      <w:sz w:val="21"/>
                      <w:szCs w:val="21"/>
                      <w:highlight w:val="none"/>
                    </w:rPr>
                    <w:t>符合</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生态环境分区管控</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、产业政策、行业环境准入管控要求。</w:t>
                  </w:r>
                  <w:r>
                    <w:rPr>
                      <w:rFonts w:hint="default" w:ascii="Times New Roman" w:hAnsi="Times New Roman" w:eastAsia="宋体" w:cs="Times New Roman"/>
                      <w:color w:val="auto"/>
                      <w:sz w:val="21"/>
                      <w:szCs w:val="21"/>
                      <w:highlight w:val="none"/>
                      <w:lang w:val="en-US" w:eastAsia="zh-CN"/>
                    </w:rPr>
                    <w:t>项目运营期</w:t>
                  </w:r>
                  <w:r>
                    <w:rPr>
                      <w:rFonts w:hint="eastAsia" w:ascii="Times New Roman" w:hAnsi="Times New Roman" w:eastAsia="宋体" w:cs="Times New Roman"/>
                      <w:color w:val="auto"/>
                      <w:sz w:val="21"/>
                      <w:szCs w:val="21"/>
                      <w:highlight w:val="none"/>
                      <w:lang w:val="en-US" w:eastAsia="zh-CN"/>
                    </w:rPr>
                    <w:t>产生的</w:t>
                  </w:r>
                  <w:r>
                    <w:rPr>
                      <w:rFonts w:hint="default" w:ascii="Times New Roman" w:hAnsi="Times New Roman" w:eastAsia="宋体" w:cs="Times New Roman"/>
                      <w:color w:val="auto"/>
                      <w:sz w:val="21"/>
                      <w:szCs w:val="21"/>
                      <w:highlight w:val="none"/>
                      <w:lang w:val="en-US" w:eastAsia="zh-CN"/>
                    </w:rPr>
                    <w:t>废气、废水</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噪声、固废等均采取了有效的污染防治措施，项目实施后不会突破区域生态保护红线、环境质量底线和资源利用上线。</w:t>
                  </w:r>
                </w:p>
              </w:tc>
              <w:tc>
                <w:tcPr>
                  <w:tcW w:w="396" w:type="pct"/>
                  <w:vMerge w:val="restart"/>
                  <w:noWrap w:val="0"/>
                  <w:vAlign w:val="center"/>
                </w:tcPr>
                <w:p w14:paraId="0F41D5F5">
                  <w:pPr>
                    <w:pStyle w:val="40"/>
                    <w:bidi w:val="0"/>
                    <w:rPr>
                      <w:rFonts w:hint="default"/>
                      <w:lang w:val="en-US" w:eastAsia="zh-CN"/>
                    </w:rPr>
                  </w:pPr>
                  <w:r>
                    <w:rPr>
                      <w:rFonts w:hint="eastAsia"/>
                      <w:lang w:val="en-US" w:eastAsia="zh-CN"/>
                    </w:rPr>
                    <w:t>符合</w:t>
                  </w:r>
                </w:p>
              </w:tc>
            </w:tr>
            <w:tr w14:paraId="7B5A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351" w:type="pct"/>
                  <w:vMerge w:val="continue"/>
                  <w:noWrap w:val="0"/>
                  <w:vAlign w:val="center"/>
                </w:tcPr>
                <w:p w14:paraId="3B8E981B">
                  <w:pPr>
                    <w:pStyle w:val="40"/>
                    <w:bidi w:val="0"/>
                    <w:rPr>
                      <w:rFonts w:hint="default"/>
                      <w:lang w:val="en-US" w:eastAsia="zh-CN"/>
                    </w:rPr>
                  </w:pPr>
                </w:p>
              </w:tc>
              <w:tc>
                <w:tcPr>
                  <w:tcW w:w="512" w:type="pct"/>
                  <w:vMerge w:val="continue"/>
                  <w:noWrap w:val="0"/>
                  <w:vAlign w:val="center"/>
                </w:tcPr>
                <w:p w14:paraId="29363AF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p>
              </w:tc>
              <w:tc>
                <w:tcPr>
                  <w:tcW w:w="2428" w:type="pct"/>
                  <w:noWrap w:val="0"/>
                  <w:vAlign w:val="center"/>
                </w:tcPr>
                <w:p w14:paraId="3048630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〔A2.1-4〕严控建材、铸造、冶炼等行业无组织排放，推进石化、化工、涂装、医药、包装印刷、油品储运销等行业项目挥发性有机物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VOCs</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防治。严格有色金属冶炼、石油加工、化工、焦化等行业项目的土壤、地下水污染防治措施要求。推进工业园区和企业集群建设涉VOCs“绿岛”项目，统筹规划建设一批集中涂装中心、活性炭集中处理中心、溶剂回收中心等，实现VOCs集中高效处理。</w:t>
                  </w:r>
                </w:p>
              </w:tc>
              <w:tc>
                <w:tcPr>
                  <w:tcW w:w="1310" w:type="pct"/>
                  <w:vMerge w:val="continue"/>
                  <w:noWrap w:val="0"/>
                  <w:vAlign w:val="center"/>
                </w:tcPr>
                <w:p w14:paraId="5397AE8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p>
              </w:tc>
              <w:tc>
                <w:tcPr>
                  <w:tcW w:w="396" w:type="pct"/>
                  <w:vMerge w:val="continue"/>
                  <w:noWrap w:val="0"/>
                  <w:vAlign w:val="center"/>
                </w:tcPr>
                <w:p w14:paraId="5D67B470">
                  <w:pPr>
                    <w:pStyle w:val="40"/>
                    <w:bidi w:val="0"/>
                    <w:rPr>
                      <w:rFonts w:hint="eastAsia"/>
                      <w:lang w:val="en-US" w:eastAsia="zh-CN"/>
                    </w:rPr>
                  </w:pPr>
                </w:p>
              </w:tc>
            </w:tr>
            <w:tr w14:paraId="50AC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7" w:hRule="atLeast"/>
              </w:trPr>
              <w:tc>
                <w:tcPr>
                  <w:tcW w:w="351" w:type="pct"/>
                  <w:vMerge w:val="continue"/>
                  <w:noWrap w:val="0"/>
                  <w:vAlign w:val="center"/>
                </w:tcPr>
                <w:p w14:paraId="33F25409">
                  <w:pPr>
                    <w:pStyle w:val="40"/>
                    <w:bidi w:val="0"/>
                    <w:rPr>
                      <w:rFonts w:hint="default"/>
                      <w:lang w:val="en-US" w:eastAsia="zh-CN"/>
                    </w:rPr>
                  </w:pPr>
                </w:p>
              </w:tc>
              <w:tc>
                <w:tcPr>
                  <w:tcW w:w="512" w:type="pct"/>
                  <w:vMerge w:val="restart"/>
                  <w:shd w:val="clear" w:color="auto" w:fill="auto"/>
                  <w:noWrap w:val="0"/>
                  <w:vAlign w:val="center"/>
                </w:tcPr>
                <w:p w14:paraId="5B06905A">
                  <w:pPr>
                    <w:pStyle w:val="40"/>
                    <w:bidi w:val="0"/>
                    <w:rPr>
                      <w:rFonts w:hint="default" w:ascii="Times New Roman" w:hAnsi="Times New Roman" w:eastAsia="宋体" w:cs="Times New Roman"/>
                      <w:kern w:val="2"/>
                      <w:sz w:val="21"/>
                      <w:szCs w:val="21"/>
                      <w:lang w:val="en-US" w:eastAsia="zh-CN" w:bidi="ar-SA"/>
                    </w:rPr>
                  </w:pPr>
                  <w:r>
                    <w:rPr>
                      <w:rFonts w:hint="default"/>
                      <w:lang w:val="en-US" w:eastAsia="zh-CN"/>
                    </w:rPr>
                    <w:t>A2</w:t>
                  </w:r>
                  <w:r>
                    <w:rPr>
                      <w:rFonts w:hint="eastAsia"/>
                      <w:lang w:val="en-US" w:eastAsia="zh-CN"/>
                    </w:rPr>
                    <w:t>.2污染控制措施要求</w:t>
                  </w:r>
                </w:p>
              </w:tc>
              <w:tc>
                <w:tcPr>
                  <w:tcW w:w="2428" w:type="pct"/>
                  <w:shd w:val="clear" w:color="auto" w:fill="auto"/>
                  <w:noWrap w:val="0"/>
                  <w:vAlign w:val="center"/>
                </w:tcPr>
                <w:p w14:paraId="501834C8">
                  <w:pPr>
                    <w:pStyle w:val="40"/>
                    <w:bidi w:val="0"/>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A2.2-2〕实施重点行业氮氧化物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tc>
              <w:tc>
                <w:tcPr>
                  <w:tcW w:w="1310" w:type="pct"/>
                  <w:vMerge w:val="restart"/>
                  <w:shd w:val="clear" w:color="auto" w:fill="auto"/>
                  <w:noWrap w:val="0"/>
                  <w:vAlign w:val="center"/>
                </w:tcPr>
                <w:p w14:paraId="1095B9F3">
                  <w:pPr>
                    <w:pStyle w:val="40"/>
                    <w:bidi w:val="0"/>
                    <w:jc w:val="both"/>
                    <w:rPr>
                      <w:rFonts w:hint="eastAsia" w:ascii="Times New Roman" w:hAnsi="Times New Roman" w:eastAsia="宋体" w:cs="Times New Roman"/>
                      <w:kern w:val="2"/>
                      <w:sz w:val="21"/>
                      <w:szCs w:val="21"/>
                      <w:lang w:val="en-US" w:eastAsia="zh-CN" w:bidi="ar-SA"/>
                    </w:rPr>
                  </w:pPr>
                  <w:r>
                    <w:rPr>
                      <w:rFonts w:hint="eastAsia"/>
                      <w:lang w:val="en-US" w:eastAsia="zh-CN"/>
                    </w:rPr>
                    <w:t>本项目产生的废气经相应的环保设施处理后能够达标排放，对环境空气质量影响较小，不会降低区域环境空气质量。</w:t>
                  </w:r>
                </w:p>
              </w:tc>
              <w:tc>
                <w:tcPr>
                  <w:tcW w:w="396" w:type="pct"/>
                  <w:vMerge w:val="continue"/>
                  <w:noWrap w:val="0"/>
                  <w:vAlign w:val="center"/>
                </w:tcPr>
                <w:p w14:paraId="1BD82D9D">
                  <w:pPr>
                    <w:pStyle w:val="40"/>
                    <w:bidi w:val="0"/>
                    <w:rPr>
                      <w:rFonts w:hint="eastAsia"/>
                      <w:lang w:val="en-US" w:eastAsia="zh-CN"/>
                    </w:rPr>
                  </w:pPr>
                </w:p>
              </w:tc>
            </w:tr>
            <w:tr w14:paraId="0F5F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351" w:type="pct"/>
                  <w:vMerge w:val="continue"/>
                  <w:noWrap w:val="0"/>
                  <w:vAlign w:val="center"/>
                </w:tcPr>
                <w:p w14:paraId="147CFCCF">
                  <w:pPr>
                    <w:pStyle w:val="40"/>
                    <w:bidi w:val="0"/>
                    <w:rPr>
                      <w:rFonts w:hint="default"/>
                      <w:lang w:val="en-US" w:eastAsia="zh-CN"/>
                    </w:rPr>
                  </w:pPr>
                </w:p>
              </w:tc>
              <w:tc>
                <w:tcPr>
                  <w:tcW w:w="512" w:type="pct"/>
                  <w:vMerge w:val="continue"/>
                  <w:noWrap w:val="0"/>
                  <w:vAlign w:val="center"/>
                </w:tcPr>
                <w:p w14:paraId="0CFC5795">
                  <w:pPr>
                    <w:pStyle w:val="40"/>
                    <w:bidi w:val="0"/>
                    <w:rPr>
                      <w:rFonts w:hint="default"/>
                      <w:lang w:val="en-US" w:eastAsia="zh-CN"/>
                    </w:rPr>
                  </w:pPr>
                </w:p>
              </w:tc>
              <w:tc>
                <w:tcPr>
                  <w:tcW w:w="2428" w:type="pct"/>
                  <w:noWrap w:val="0"/>
                  <w:vAlign w:val="center"/>
                </w:tcPr>
                <w:p w14:paraId="6A419C25">
                  <w:pPr>
                    <w:pStyle w:val="40"/>
                    <w:bidi w:val="0"/>
                    <w:jc w:val="both"/>
                    <w:rPr>
                      <w:rFonts w:hint="default"/>
                      <w:lang w:val="en-US" w:eastAsia="zh-CN"/>
                    </w:rPr>
                  </w:pPr>
                  <w:r>
                    <w:rPr>
                      <w:rFonts w:hint="default"/>
                      <w:lang w:val="en-US" w:eastAsia="zh-CN"/>
                    </w:rPr>
                    <w:t>〔A2.2-3〕强化重点区域大气污染联防联控，合理确定产业布局，推动区域内统一产业准入和排放标准。实施水泥行业错峰生产，推进散煤整治、挥发性有机污染物综合治理、钢铁、水泥、焦化和燃煤工业锅炉行业超低排放改造、燃气锅炉低氮燃烧改造、工业园区内轨道运输</w:t>
                  </w:r>
                  <w:r>
                    <w:rPr>
                      <w:rFonts w:hint="eastAsia"/>
                      <w:lang w:val="en-US" w:eastAsia="zh-CN"/>
                    </w:rPr>
                    <w:t>、</w:t>
                  </w:r>
                  <w:r>
                    <w:rPr>
                      <w:rFonts w:hint="default"/>
                      <w:lang w:val="en-US" w:eastAsia="zh-CN"/>
                    </w:rPr>
                    <w:t>大宗货物</w:t>
                  </w:r>
                  <w:r>
                    <w:rPr>
                      <w:rFonts w:hint="eastAsia"/>
                      <w:lang w:val="en-US" w:eastAsia="zh-CN"/>
                    </w:rPr>
                    <w:t>“</w:t>
                  </w:r>
                  <w:r>
                    <w:rPr>
                      <w:rFonts w:hint="default"/>
                      <w:lang w:val="en-US" w:eastAsia="zh-CN"/>
                    </w:rPr>
                    <w:t>公转铁</w:t>
                  </w:r>
                  <w:r>
                    <w:rPr>
                      <w:rFonts w:hint="eastAsia"/>
                      <w:lang w:val="en-US" w:eastAsia="zh-CN"/>
                    </w:rPr>
                    <w:t>”</w:t>
                  </w:r>
                  <w:r>
                    <w:rPr>
                      <w:rFonts w:hint="default"/>
                      <w:lang w:val="en-US" w:eastAsia="zh-CN"/>
                    </w:rPr>
                    <w:t>、柴油货车治理、锅炉</w:t>
                  </w:r>
                  <w:r>
                    <w:rPr>
                      <w:rFonts w:hint="eastAsia"/>
                      <w:lang w:val="en-US" w:eastAsia="zh-CN"/>
                    </w:rPr>
                    <w:t>炉窑</w:t>
                  </w:r>
                  <w:r>
                    <w:rPr>
                      <w:rFonts w:hint="default"/>
                      <w:lang w:val="en-US" w:eastAsia="zh-CN"/>
                    </w:rPr>
                    <w:t>综合治理等工程项目。全面推行绿色施工，持续推动城市建成区重污染企业搬迁或关闭退出。</w:t>
                  </w:r>
                </w:p>
              </w:tc>
              <w:tc>
                <w:tcPr>
                  <w:tcW w:w="1310" w:type="pct"/>
                  <w:vMerge w:val="continue"/>
                  <w:noWrap w:val="0"/>
                  <w:vAlign w:val="center"/>
                </w:tcPr>
                <w:p w14:paraId="0B4FDE4B">
                  <w:pPr>
                    <w:pStyle w:val="40"/>
                    <w:bidi w:val="0"/>
                    <w:jc w:val="both"/>
                    <w:rPr>
                      <w:rFonts w:hint="eastAsia"/>
                      <w:lang w:val="en-US" w:eastAsia="zh-CN"/>
                    </w:rPr>
                  </w:pPr>
                </w:p>
              </w:tc>
              <w:tc>
                <w:tcPr>
                  <w:tcW w:w="396" w:type="pct"/>
                  <w:vMerge w:val="continue"/>
                  <w:noWrap w:val="0"/>
                  <w:vAlign w:val="center"/>
                </w:tcPr>
                <w:p w14:paraId="303EB9D3">
                  <w:pPr>
                    <w:pStyle w:val="40"/>
                    <w:bidi w:val="0"/>
                    <w:rPr>
                      <w:rFonts w:hint="eastAsia"/>
                      <w:lang w:val="en-US" w:eastAsia="zh-CN"/>
                    </w:rPr>
                  </w:pPr>
                </w:p>
              </w:tc>
            </w:tr>
            <w:tr w14:paraId="1402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351" w:type="pct"/>
                  <w:vMerge w:val="restart"/>
                  <w:noWrap w:val="0"/>
                  <w:vAlign w:val="center"/>
                </w:tcPr>
                <w:p w14:paraId="07C4C904">
                  <w:pPr>
                    <w:pStyle w:val="40"/>
                    <w:bidi w:val="0"/>
                    <w:rPr>
                      <w:rFonts w:hint="default"/>
                      <w:lang w:val="en-US" w:eastAsia="zh-CN"/>
                    </w:rPr>
                  </w:pPr>
                  <w:r>
                    <w:rPr>
                      <w:rFonts w:hint="eastAsia"/>
                      <w:lang w:val="en-US" w:eastAsia="zh-CN"/>
                    </w:rPr>
                    <w:t>A3环境风险防控</w:t>
                  </w:r>
                </w:p>
              </w:tc>
              <w:tc>
                <w:tcPr>
                  <w:tcW w:w="512" w:type="pct"/>
                  <w:noWrap w:val="0"/>
                  <w:vAlign w:val="center"/>
                </w:tcPr>
                <w:p w14:paraId="413B2718">
                  <w:pPr>
                    <w:pStyle w:val="40"/>
                    <w:bidi w:val="0"/>
                    <w:rPr>
                      <w:rFonts w:hint="default"/>
                      <w:lang w:val="en-US" w:eastAsia="zh-CN"/>
                    </w:rPr>
                  </w:pPr>
                  <w:r>
                    <w:rPr>
                      <w:rFonts w:hint="default"/>
                      <w:lang w:val="en-US" w:eastAsia="zh-CN"/>
                    </w:rPr>
                    <w:t>A3.1人居环境要求</w:t>
                  </w:r>
                </w:p>
              </w:tc>
              <w:tc>
                <w:tcPr>
                  <w:tcW w:w="2428" w:type="pct"/>
                  <w:noWrap w:val="0"/>
                  <w:vAlign w:val="center"/>
                </w:tcPr>
                <w:p w14:paraId="34F8AF66">
                  <w:pPr>
                    <w:pStyle w:val="40"/>
                    <w:bidi w:val="0"/>
                    <w:jc w:val="both"/>
                    <w:rPr>
                      <w:rFonts w:hint="default"/>
                      <w:lang w:val="en-US" w:eastAsia="zh-CN"/>
                    </w:rPr>
                  </w:pPr>
                  <w:r>
                    <w:rPr>
                      <w:rFonts w:hint="default"/>
                      <w:lang w:val="en-US" w:eastAsia="zh-CN"/>
                    </w:rPr>
                    <w:t>〔A3.1-3〕强化重污染天气监测预报预警能力，建立和完善重污染天气兵地联合应急预案、预警应急机制和会商联动机制，加强轻、中度污染天气管控。</w:t>
                  </w:r>
                </w:p>
              </w:tc>
              <w:tc>
                <w:tcPr>
                  <w:tcW w:w="1310" w:type="pct"/>
                  <w:vMerge w:val="restart"/>
                  <w:noWrap w:val="0"/>
                  <w:vAlign w:val="center"/>
                </w:tcPr>
                <w:p w14:paraId="0AD224CF">
                  <w:pPr>
                    <w:pStyle w:val="40"/>
                    <w:bidi w:val="0"/>
                    <w:jc w:val="both"/>
                    <w:rPr>
                      <w:rFonts w:hint="default" w:ascii="Times New Roman" w:hAnsi="Times New Roman" w:eastAsia="宋体" w:cs="Times New Roman"/>
                      <w:kern w:val="2"/>
                      <w:sz w:val="21"/>
                      <w:szCs w:val="21"/>
                      <w:lang w:val="en-US" w:eastAsia="zh-CN" w:bidi="ar-SA"/>
                    </w:rPr>
                  </w:pPr>
                  <w:r>
                    <w:rPr>
                      <w:rFonts w:hint="default"/>
                      <w:lang w:val="en-US" w:eastAsia="zh-CN"/>
                    </w:rPr>
                    <w:t>本项目建立突发环境事件应急管理领导机构、完善突发环境应急预案体系、配备完善应急物资等手段来加强环境风险防控</w:t>
                  </w:r>
                  <w:r>
                    <w:rPr>
                      <w:rFonts w:hint="eastAsia"/>
                      <w:lang w:val="en-US" w:eastAsia="zh-CN"/>
                    </w:rPr>
                    <w:t>，</w:t>
                  </w:r>
                  <w:r>
                    <w:rPr>
                      <w:rFonts w:hint="default"/>
                      <w:lang w:val="en-US" w:eastAsia="zh-CN"/>
                    </w:rPr>
                    <w:t>加强应急物资储备及应急物资信息化建设</w:t>
                  </w:r>
                  <w:r>
                    <w:rPr>
                      <w:rFonts w:hint="eastAsia"/>
                      <w:lang w:val="en-US" w:eastAsia="zh-CN"/>
                    </w:rPr>
                    <w:t>，</w:t>
                  </w:r>
                  <w:r>
                    <w:rPr>
                      <w:rFonts w:hint="default"/>
                      <w:lang w:val="en-US" w:eastAsia="zh-CN"/>
                    </w:rPr>
                    <w:t>增强实战能力。</w:t>
                  </w:r>
                </w:p>
              </w:tc>
              <w:tc>
                <w:tcPr>
                  <w:tcW w:w="396" w:type="pct"/>
                  <w:vMerge w:val="restart"/>
                  <w:noWrap w:val="0"/>
                  <w:vAlign w:val="center"/>
                </w:tcPr>
                <w:p w14:paraId="0DAB94B3">
                  <w:pPr>
                    <w:pStyle w:val="40"/>
                    <w:bidi w:val="0"/>
                    <w:rPr>
                      <w:rFonts w:hint="default"/>
                      <w:lang w:val="en-US" w:eastAsia="zh-CN"/>
                    </w:rPr>
                  </w:pPr>
                  <w:r>
                    <w:rPr>
                      <w:rFonts w:hint="eastAsia"/>
                      <w:lang w:val="en-US" w:eastAsia="zh-CN"/>
                    </w:rPr>
                    <w:t>符合</w:t>
                  </w:r>
                </w:p>
              </w:tc>
            </w:tr>
            <w:tr w14:paraId="3DCB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trPr>
              <w:tc>
                <w:tcPr>
                  <w:tcW w:w="351" w:type="pct"/>
                  <w:vMerge w:val="continue"/>
                  <w:noWrap w:val="0"/>
                  <w:vAlign w:val="center"/>
                </w:tcPr>
                <w:p w14:paraId="712D7FC2">
                  <w:pPr>
                    <w:pStyle w:val="40"/>
                    <w:bidi w:val="0"/>
                    <w:rPr>
                      <w:rFonts w:hint="eastAsia"/>
                      <w:lang w:val="en-US" w:eastAsia="zh-CN"/>
                    </w:rPr>
                  </w:pPr>
                </w:p>
              </w:tc>
              <w:tc>
                <w:tcPr>
                  <w:tcW w:w="512" w:type="pct"/>
                  <w:vMerge w:val="restart"/>
                  <w:shd w:val="clear" w:color="auto" w:fill="auto"/>
                  <w:noWrap w:val="0"/>
                  <w:vAlign w:val="center"/>
                </w:tcPr>
                <w:p w14:paraId="61350827">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A3.2联防联控要求</w:t>
                  </w:r>
                </w:p>
              </w:tc>
              <w:tc>
                <w:tcPr>
                  <w:tcW w:w="2428" w:type="pct"/>
                  <w:shd w:val="clear" w:color="auto" w:fill="auto"/>
                  <w:noWrap w:val="0"/>
                  <w:vAlign w:val="center"/>
                </w:tcPr>
                <w:p w14:paraId="566411C9">
                  <w:pPr>
                    <w:pStyle w:val="40"/>
                    <w:bidi w:val="0"/>
                    <w:jc w:val="both"/>
                    <w:rPr>
                      <w:rFonts w:hint="default" w:ascii="Times New Roman" w:hAnsi="Times New Roman" w:eastAsia="宋体" w:cs="Times New Roman"/>
                      <w:kern w:val="2"/>
                      <w:sz w:val="21"/>
                      <w:szCs w:val="21"/>
                      <w:lang w:val="en-US" w:eastAsia="zh-CN" w:bidi="ar-SA"/>
                    </w:rPr>
                  </w:pPr>
                  <w:r>
                    <w:rPr>
                      <w:rFonts w:hint="default"/>
                      <w:lang w:val="en-US" w:eastAsia="zh-CN"/>
                    </w:rPr>
                    <w:t>〔A3.2-5〕强化生态环境应急管理。实施企业突发环境事件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310" w:type="pct"/>
                  <w:vMerge w:val="continue"/>
                  <w:shd w:val="clear" w:color="auto" w:fill="auto"/>
                  <w:noWrap w:val="0"/>
                  <w:vAlign w:val="center"/>
                </w:tcPr>
                <w:p w14:paraId="73CD86F8">
                  <w:pPr>
                    <w:pStyle w:val="40"/>
                    <w:bidi w:val="0"/>
                    <w:jc w:val="both"/>
                    <w:rPr>
                      <w:rFonts w:hint="default" w:ascii="Times New Roman" w:hAnsi="Times New Roman" w:eastAsia="宋体" w:cs="Times New Roman"/>
                      <w:kern w:val="2"/>
                      <w:sz w:val="21"/>
                      <w:szCs w:val="21"/>
                      <w:lang w:val="en-US" w:eastAsia="zh-CN" w:bidi="ar-SA"/>
                    </w:rPr>
                  </w:pPr>
                </w:p>
              </w:tc>
              <w:tc>
                <w:tcPr>
                  <w:tcW w:w="396" w:type="pct"/>
                  <w:vMerge w:val="continue"/>
                  <w:noWrap w:val="0"/>
                  <w:vAlign w:val="center"/>
                </w:tcPr>
                <w:p w14:paraId="69754225">
                  <w:pPr>
                    <w:pStyle w:val="40"/>
                    <w:bidi w:val="0"/>
                    <w:rPr>
                      <w:rFonts w:hint="eastAsia"/>
                      <w:lang w:val="en-US" w:eastAsia="zh-CN"/>
                    </w:rPr>
                  </w:pPr>
                </w:p>
              </w:tc>
            </w:tr>
            <w:tr w14:paraId="7CA90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trPr>
              <w:tc>
                <w:tcPr>
                  <w:tcW w:w="351" w:type="pct"/>
                  <w:vMerge w:val="continue"/>
                  <w:noWrap w:val="0"/>
                  <w:vAlign w:val="center"/>
                </w:tcPr>
                <w:p w14:paraId="4ADC5C2F">
                  <w:pPr>
                    <w:pStyle w:val="40"/>
                    <w:bidi w:val="0"/>
                    <w:rPr>
                      <w:rFonts w:hint="eastAsia"/>
                      <w:lang w:val="en-US" w:eastAsia="zh-CN"/>
                    </w:rPr>
                  </w:pPr>
                </w:p>
              </w:tc>
              <w:tc>
                <w:tcPr>
                  <w:tcW w:w="512" w:type="pct"/>
                  <w:vMerge w:val="continue"/>
                  <w:shd w:val="clear" w:color="auto" w:fill="auto"/>
                  <w:noWrap w:val="0"/>
                  <w:vAlign w:val="center"/>
                </w:tcPr>
                <w:p w14:paraId="12329091">
                  <w:pPr>
                    <w:pStyle w:val="40"/>
                    <w:bidi w:val="0"/>
                    <w:rPr>
                      <w:rFonts w:hint="eastAsia"/>
                      <w:lang w:val="en-US" w:eastAsia="zh-CN"/>
                    </w:rPr>
                  </w:pPr>
                </w:p>
              </w:tc>
              <w:tc>
                <w:tcPr>
                  <w:tcW w:w="2428" w:type="pct"/>
                  <w:shd w:val="clear" w:color="auto" w:fill="auto"/>
                  <w:noWrap w:val="0"/>
                  <w:vAlign w:val="center"/>
                </w:tcPr>
                <w:p w14:paraId="00566805">
                  <w:pPr>
                    <w:pStyle w:val="40"/>
                    <w:bidi w:val="0"/>
                    <w:jc w:val="both"/>
                    <w:rPr>
                      <w:rFonts w:hint="default"/>
                      <w:lang w:val="en-US" w:eastAsia="zh-CN"/>
                    </w:rPr>
                  </w:pPr>
                  <w:r>
                    <w:rPr>
                      <w:rFonts w:hint="default"/>
                      <w:lang w:val="en-US" w:eastAsia="zh-CN"/>
                    </w:rPr>
                    <w:t>〔A3.2-6〕强化兵地联防联控联治，落实兵地统一规划、统一政策、统一标准、统一要求、统一推进的防治管理措施，完善重大项目环境影响评价区域会商、重污染天气兵地联合应急联动机制。建立兵地生态环境联合执法和联合监测长效机制。</w:t>
                  </w:r>
                </w:p>
              </w:tc>
              <w:tc>
                <w:tcPr>
                  <w:tcW w:w="1310" w:type="pct"/>
                  <w:vMerge w:val="continue"/>
                  <w:shd w:val="clear" w:color="auto" w:fill="auto"/>
                  <w:noWrap w:val="0"/>
                  <w:vAlign w:val="center"/>
                </w:tcPr>
                <w:p w14:paraId="7012E055">
                  <w:pPr>
                    <w:pStyle w:val="40"/>
                    <w:bidi w:val="0"/>
                    <w:jc w:val="both"/>
                    <w:rPr>
                      <w:rFonts w:hint="default"/>
                      <w:lang w:val="en-US" w:eastAsia="zh-CN"/>
                    </w:rPr>
                  </w:pPr>
                </w:p>
              </w:tc>
              <w:tc>
                <w:tcPr>
                  <w:tcW w:w="396" w:type="pct"/>
                  <w:vMerge w:val="continue"/>
                  <w:noWrap w:val="0"/>
                  <w:vAlign w:val="center"/>
                </w:tcPr>
                <w:p w14:paraId="7C0769E7">
                  <w:pPr>
                    <w:pStyle w:val="40"/>
                    <w:bidi w:val="0"/>
                    <w:rPr>
                      <w:rFonts w:hint="eastAsia"/>
                      <w:lang w:val="en-US" w:eastAsia="zh-CN"/>
                    </w:rPr>
                  </w:pPr>
                </w:p>
              </w:tc>
            </w:tr>
            <w:tr w14:paraId="13DE1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351" w:type="pct"/>
                  <w:vMerge w:val="restart"/>
                  <w:noWrap w:val="0"/>
                  <w:vAlign w:val="center"/>
                </w:tcPr>
                <w:p w14:paraId="224D29A4">
                  <w:pPr>
                    <w:pStyle w:val="40"/>
                    <w:bidi w:val="0"/>
                    <w:rPr>
                      <w:rFonts w:hint="default"/>
                      <w:lang w:val="en-US" w:eastAsia="zh-CN"/>
                    </w:rPr>
                  </w:pPr>
                  <w:r>
                    <w:rPr>
                      <w:rFonts w:hint="eastAsia"/>
                      <w:lang w:val="en-US" w:eastAsia="zh-CN"/>
                    </w:rPr>
                    <w:t>A4资源利用要求</w:t>
                  </w:r>
                </w:p>
              </w:tc>
              <w:tc>
                <w:tcPr>
                  <w:tcW w:w="512" w:type="pct"/>
                  <w:noWrap w:val="0"/>
                  <w:vAlign w:val="center"/>
                </w:tcPr>
                <w:p w14:paraId="18EA1FA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lang w:val="en-US" w:eastAsia="zh-CN"/>
                    </w:rPr>
                  </w:pPr>
                  <w:r>
                    <w:rPr>
                      <w:rFonts w:hint="default" w:ascii="Times New Roman" w:hAnsi="Times New Roman" w:eastAsia="宋体" w:cs="Times New Roman"/>
                      <w:color w:val="auto"/>
                      <w:sz w:val="21"/>
                      <w:szCs w:val="21"/>
                      <w:highlight w:val="none"/>
                    </w:rPr>
                    <w:t>A4.2土地资源</w:t>
                  </w:r>
                </w:p>
              </w:tc>
              <w:tc>
                <w:tcPr>
                  <w:tcW w:w="2428" w:type="pct"/>
                  <w:noWrap w:val="0"/>
                  <w:vAlign w:val="center"/>
                </w:tcPr>
                <w:p w14:paraId="3BFCE13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lang w:val="en-US" w:eastAsia="zh-CN"/>
                    </w:rPr>
                  </w:pPr>
                  <w:r>
                    <w:rPr>
                      <w:rFonts w:hint="default" w:ascii="Times New Roman" w:hAnsi="Times New Roman" w:eastAsia="宋体" w:cs="Times New Roman"/>
                      <w:color w:val="auto"/>
                      <w:sz w:val="21"/>
                      <w:szCs w:val="21"/>
                      <w:highlight w:val="none"/>
                    </w:rPr>
                    <w:t>〔A4.2-1〕土地资源</w:t>
                  </w:r>
                  <w:r>
                    <w:rPr>
                      <w:rFonts w:hint="eastAsia" w:cs="Times New Roman"/>
                      <w:color w:val="auto"/>
                      <w:sz w:val="21"/>
                      <w:szCs w:val="21"/>
                      <w:highlight w:val="none"/>
                      <w:lang w:eastAsia="zh-CN"/>
                    </w:rPr>
                    <w:t>上限</w:t>
                  </w:r>
                  <w:r>
                    <w:rPr>
                      <w:rFonts w:hint="default" w:ascii="Times New Roman" w:hAnsi="Times New Roman" w:eastAsia="宋体" w:cs="Times New Roman"/>
                      <w:color w:val="auto"/>
                      <w:sz w:val="21"/>
                      <w:szCs w:val="21"/>
                      <w:highlight w:val="none"/>
                    </w:rPr>
                    <w:t>指标控制在最终批复的国土空间规划控制指标内。</w:t>
                  </w:r>
                </w:p>
              </w:tc>
              <w:tc>
                <w:tcPr>
                  <w:tcW w:w="1310" w:type="pct"/>
                  <w:noWrap w:val="0"/>
                  <w:vAlign w:val="center"/>
                </w:tcPr>
                <w:p w14:paraId="5B470DA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lang w:val="en-US" w:eastAsia="zh-CN"/>
                    </w:rPr>
                  </w:pPr>
                  <w:r>
                    <w:rPr>
                      <w:rFonts w:hint="default" w:ascii="Times New Roman" w:hAnsi="Times New Roman" w:eastAsia="宋体" w:cs="Times New Roman"/>
                      <w:color w:val="auto"/>
                      <w:sz w:val="21"/>
                      <w:szCs w:val="21"/>
                      <w:highlight w:val="none"/>
                      <w:lang w:val="en-US" w:eastAsia="zh-CN"/>
                    </w:rPr>
                    <w:t>项目选址于</w:t>
                  </w:r>
                  <w:r>
                    <w:rPr>
                      <w:rFonts w:hint="eastAsia" w:ascii="Times New Roman" w:hAnsi="Times New Roman" w:eastAsia="宋体" w:cs="Times New Roman"/>
                      <w:color w:val="auto"/>
                      <w:sz w:val="21"/>
                      <w:szCs w:val="21"/>
                      <w:highlight w:val="none"/>
                      <w:lang w:val="en-US" w:eastAsia="zh-CN"/>
                    </w:rPr>
                    <w:t>若羌县城东，315国道以北</w:t>
                  </w:r>
                  <w:r>
                    <w:rPr>
                      <w:rFonts w:hint="eastAsia" w:cs="Times New Roman"/>
                      <w:color w:val="auto"/>
                      <w:sz w:val="21"/>
                      <w:szCs w:val="21"/>
                      <w:highlight w:val="none"/>
                      <w:lang w:val="en-US" w:eastAsia="zh-CN"/>
                    </w:rPr>
                    <w:t>，在</w:t>
                  </w:r>
                  <w:r>
                    <w:rPr>
                      <w:rFonts w:hint="default" w:ascii="Times New Roman" w:hAnsi="Times New Roman" w:eastAsia="宋体" w:cs="Times New Roman"/>
                      <w:color w:val="auto"/>
                      <w:sz w:val="21"/>
                      <w:szCs w:val="21"/>
                      <w:highlight w:val="none"/>
                    </w:rPr>
                    <w:t>国土空间规划控制指标内。</w:t>
                  </w:r>
                </w:p>
              </w:tc>
              <w:tc>
                <w:tcPr>
                  <w:tcW w:w="396" w:type="pct"/>
                  <w:vMerge w:val="restart"/>
                  <w:noWrap w:val="0"/>
                  <w:vAlign w:val="center"/>
                </w:tcPr>
                <w:p w14:paraId="38C3ABA6">
                  <w:pPr>
                    <w:pStyle w:val="40"/>
                    <w:bidi w:val="0"/>
                    <w:rPr>
                      <w:rFonts w:hint="default"/>
                      <w:lang w:val="en-US" w:eastAsia="zh-CN"/>
                    </w:rPr>
                  </w:pPr>
                  <w:r>
                    <w:rPr>
                      <w:rFonts w:hint="eastAsia"/>
                      <w:lang w:val="en-US" w:eastAsia="zh-CN"/>
                    </w:rPr>
                    <w:t>符合</w:t>
                  </w:r>
                </w:p>
              </w:tc>
            </w:tr>
            <w:tr w14:paraId="5B71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351" w:type="pct"/>
                  <w:vMerge w:val="continue"/>
                  <w:noWrap w:val="0"/>
                  <w:vAlign w:val="center"/>
                </w:tcPr>
                <w:p w14:paraId="286A7B4C">
                  <w:pPr>
                    <w:pStyle w:val="40"/>
                    <w:bidi w:val="0"/>
                    <w:rPr>
                      <w:rFonts w:hint="eastAsia"/>
                      <w:lang w:val="en-US" w:eastAsia="zh-CN"/>
                    </w:rPr>
                  </w:pPr>
                </w:p>
              </w:tc>
              <w:tc>
                <w:tcPr>
                  <w:tcW w:w="512" w:type="pct"/>
                  <w:shd w:val="clear" w:color="auto" w:fill="auto"/>
                  <w:noWrap w:val="0"/>
                  <w:vAlign w:val="center"/>
                </w:tcPr>
                <w:p w14:paraId="0745CD02">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A4.3能源利用</w:t>
                  </w:r>
                </w:p>
              </w:tc>
              <w:tc>
                <w:tcPr>
                  <w:tcW w:w="2428" w:type="pct"/>
                  <w:shd w:val="clear" w:color="auto" w:fill="auto"/>
                  <w:noWrap w:val="0"/>
                  <w:vAlign w:val="center"/>
                </w:tcPr>
                <w:p w14:paraId="6741C68E">
                  <w:pPr>
                    <w:pStyle w:val="40"/>
                    <w:bidi w:val="0"/>
                    <w:jc w:val="both"/>
                    <w:rPr>
                      <w:rFonts w:hint="default" w:ascii="Times New Roman" w:hAnsi="Times New Roman" w:eastAsia="宋体" w:cs="Times New Roman"/>
                      <w:kern w:val="2"/>
                      <w:sz w:val="21"/>
                      <w:szCs w:val="21"/>
                      <w:lang w:val="en-US" w:eastAsia="zh-CN" w:bidi="ar-SA"/>
                    </w:rPr>
                  </w:pPr>
                  <w:r>
                    <w:rPr>
                      <w:rFonts w:hint="default"/>
                      <w:lang w:val="en-US" w:eastAsia="zh-CN"/>
                    </w:rPr>
                    <w:t>〔A4.3-</w:t>
                  </w:r>
                  <w:r>
                    <w:rPr>
                      <w:rFonts w:hint="eastAsia"/>
                      <w:lang w:val="en-US" w:eastAsia="zh-CN"/>
                    </w:rPr>
                    <w:t>5</w:t>
                  </w:r>
                  <w:r>
                    <w:rPr>
                      <w:rFonts w:hint="default"/>
                      <w:lang w:val="en-US" w:eastAsia="zh-CN"/>
                    </w:rPr>
                    <w:t>〕</w:t>
                  </w:r>
                  <w:r>
                    <w:rPr>
                      <w:rFonts w:hint="eastAsia"/>
                      <w:lang w:val="en-US" w:eastAsia="zh-CN"/>
                    </w:rPr>
                    <w:t>以碳达峰碳中和工作为引领，着力提高能源资源利用效率。引导重点行业深入实施清洁生产改造，钢铁、建材、石油化工等重点行业以及其他行业重点用能单位持续开展节能降耗。</w:t>
                  </w:r>
                </w:p>
              </w:tc>
              <w:tc>
                <w:tcPr>
                  <w:tcW w:w="1310" w:type="pct"/>
                  <w:shd w:val="clear" w:color="auto" w:fill="auto"/>
                  <w:noWrap w:val="0"/>
                  <w:vAlign w:val="center"/>
                </w:tcPr>
                <w:p w14:paraId="52C0F244">
                  <w:pPr>
                    <w:pStyle w:val="40"/>
                    <w:bidi w:val="0"/>
                    <w:jc w:val="both"/>
                    <w:rPr>
                      <w:rFonts w:hint="eastAsia" w:ascii="Times New Roman" w:hAnsi="Times New Roman" w:eastAsia="宋体" w:cs="Times New Roman"/>
                      <w:kern w:val="2"/>
                      <w:sz w:val="21"/>
                      <w:szCs w:val="21"/>
                      <w:lang w:val="en-US" w:eastAsia="zh-CN" w:bidi="ar-SA"/>
                    </w:rPr>
                  </w:pPr>
                  <w:r>
                    <w:rPr>
                      <w:rFonts w:hint="eastAsia"/>
                      <w:lang w:val="en-US" w:eastAsia="zh-CN"/>
                    </w:rPr>
                    <w:t>本项目不属于重点行业。</w:t>
                  </w:r>
                </w:p>
              </w:tc>
              <w:tc>
                <w:tcPr>
                  <w:tcW w:w="396" w:type="pct"/>
                  <w:vMerge w:val="continue"/>
                  <w:noWrap w:val="0"/>
                  <w:vAlign w:val="center"/>
                </w:tcPr>
                <w:p w14:paraId="6A4B3882">
                  <w:pPr>
                    <w:pStyle w:val="40"/>
                    <w:bidi w:val="0"/>
                    <w:rPr>
                      <w:rFonts w:hint="eastAsia"/>
                      <w:lang w:val="en-US" w:eastAsia="zh-CN"/>
                    </w:rPr>
                  </w:pPr>
                </w:p>
              </w:tc>
            </w:tr>
            <w:tr w14:paraId="1B29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351" w:type="pct"/>
                  <w:vMerge w:val="continue"/>
                  <w:noWrap w:val="0"/>
                  <w:vAlign w:val="center"/>
                </w:tcPr>
                <w:p w14:paraId="0216EA90">
                  <w:pPr>
                    <w:pStyle w:val="40"/>
                    <w:bidi w:val="0"/>
                    <w:rPr>
                      <w:rFonts w:hint="eastAsia"/>
                      <w:lang w:val="en-US" w:eastAsia="zh-CN"/>
                    </w:rPr>
                  </w:pPr>
                </w:p>
              </w:tc>
              <w:tc>
                <w:tcPr>
                  <w:tcW w:w="512" w:type="pct"/>
                  <w:shd w:val="clear" w:color="auto" w:fill="auto"/>
                  <w:noWrap w:val="0"/>
                  <w:vAlign w:val="center"/>
                </w:tcPr>
                <w:p w14:paraId="7945084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lang w:val="en-US" w:eastAsia="zh-CN"/>
                    </w:rPr>
                  </w:pPr>
                  <w:r>
                    <w:rPr>
                      <w:rFonts w:hint="default" w:ascii="Times New Roman" w:hAnsi="Times New Roman" w:eastAsia="宋体" w:cs="Times New Roman"/>
                      <w:color w:val="auto"/>
                      <w:sz w:val="21"/>
                      <w:szCs w:val="21"/>
                      <w:highlight w:val="none"/>
                    </w:rPr>
                    <w:t>A4.5资源综合利用</w:t>
                  </w:r>
                </w:p>
              </w:tc>
              <w:tc>
                <w:tcPr>
                  <w:tcW w:w="2428" w:type="pct"/>
                  <w:shd w:val="clear" w:color="auto" w:fill="auto"/>
                  <w:noWrap w:val="0"/>
                  <w:vAlign w:val="center"/>
                </w:tcPr>
                <w:p w14:paraId="5E4E198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lang w:val="en-US" w:eastAsia="zh-CN"/>
                    </w:rPr>
                  </w:pPr>
                  <w:r>
                    <w:rPr>
                      <w:rFonts w:hint="default" w:ascii="Times New Roman" w:hAnsi="Times New Roman" w:eastAsia="宋体" w:cs="Times New Roman"/>
                      <w:color w:val="auto"/>
                      <w:sz w:val="21"/>
                      <w:szCs w:val="21"/>
                      <w:highlight w:val="none"/>
                    </w:rPr>
                    <w:t>〔A4.5-1〕加强固体废物源头减量、资源化利用和无害化处置，最大限度减少填埋量。推进工业固体废物精细化、名录化环境管理，促进大宗工业固废综合利用、主要农业废弃物全量利用。加快</w:t>
                  </w:r>
                  <w:r>
                    <w:rPr>
                      <w:rFonts w:hint="eastAsia" w:cs="Times New Roman"/>
                      <w:color w:val="auto"/>
                      <w:sz w:val="21"/>
                      <w:szCs w:val="21"/>
                      <w:highlight w:val="none"/>
                      <w:lang w:eastAsia="zh-CN"/>
                    </w:rPr>
                    <w:t>构建</w:t>
                  </w:r>
                  <w:r>
                    <w:rPr>
                      <w:rFonts w:hint="default" w:ascii="Times New Roman" w:hAnsi="Times New Roman" w:eastAsia="宋体" w:cs="Times New Roman"/>
                      <w:color w:val="auto"/>
                      <w:sz w:val="21"/>
                      <w:szCs w:val="21"/>
                      <w:highlight w:val="none"/>
                    </w:rPr>
                    <w:t>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生活垃圾处理设施，到2025年，全疆城市生活垃圾无害化处理率达到99%以上。</w:t>
                  </w:r>
                </w:p>
              </w:tc>
              <w:tc>
                <w:tcPr>
                  <w:tcW w:w="1310" w:type="pct"/>
                  <w:shd w:val="clear" w:color="auto" w:fill="auto"/>
                  <w:noWrap w:val="0"/>
                  <w:vAlign w:val="center"/>
                </w:tcPr>
                <w:p w14:paraId="45F3CDAE">
                  <w:pPr>
                    <w:pStyle w:val="40"/>
                    <w:bidi w:val="0"/>
                    <w:jc w:val="both"/>
                    <w:rPr>
                      <w:rFonts w:hint="eastAsia"/>
                      <w:lang w:val="en-US" w:eastAsia="zh-CN"/>
                    </w:rPr>
                  </w:pPr>
                  <w:r>
                    <w:rPr>
                      <w:rFonts w:hint="eastAsia"/>
                      <w:lang w:val="en-US" w:eastAsia="zh-CN"/>
                    </w:rPr>
                    <w:t>本项目产生的生活垃圾分类收集，定期清运；除尘灰和沉淀池沉渣回用于生产，废钢筋收集外售，废包装袋、边角料及不合格产品收集后外售综合利用，废布袋定期由设备厂家进行回收处理；废润滑油、废润滑油桶等危险废物贮存于危废贮存点内，定期交由有资质的单位进行处理。</w:t>
                  </w:r>
                </w:p>
              </w:tc>
              <w:tc>
                <w:tcPr>
                  <w:tcW w:w="396" w:type="pct"/>
                  <w:vMerge w:val="continue"/>
                  <w:noWrap w:val="0"/>
                  <w:vAlign w:val="center"/>
                </w:tcPr>
                <w:p w14:paraId="49C40CD4">
                  <w:pPr>
                    <w:pStyle w:val="40"/>
                    <w:bidi w:val="0"/>
                    <w:rPr>
                      <w:rFonts w:hint="eastAsia"/>
                      <w:lang w:val="en-US" w:eastAsia="zh-CN"/>
                    </w:rPr>
                  </w:pPr>
                </w:p>
              </w:tc>
            </w:tr>
          </w:tbl>
          <w:p w14:paraId="284817B7">
            <w:pPr>
              <w:pStyle w:val="2"/>
              <w:bidi w:val="0"/>
              <w:rPr>
                <w:rFonts w:hint="default"/>
                <w:lang w:val="en-US" w:eastAsia="zh-CN"/>
              </w:rPr>
            </w:pPr>
            <w:r>
              <w:rPr>
                <w:rFonts w:hint="eastAsia"/>
                <w:lang w:val="en-US" w:eastAsia="zh-CN"/>
              </w:rPr>
              <w:t>2.2《巴音郭楞蒙古自治州“三线一单”生态环境分区管控动态更新成果（2023年）》符合性分析</w:t>
            </w:r>
          </w:p>
          <w:p w14:paraId="0D884163">
            <w:pPr>
              <w:pStyle w:val="8"/>
              <w:keepNext w:val="0"/>
              <w:keepLines w:val="0"/>
              <w:pageBreakBefore w:val="0"/>
              <w:widowControl/>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本工程建设地点位于若羌县城东，315国道以北。根据《巴音郭楞蒙古自治州“三线一单”生态环境分区管控动态更新成果（2023年）》（巴政办发〔2024〕32号），本工程所在环境管控单元管控要求详见下表。</w:t>
            </w:r>
          </w:p>
          <w:p w14:paraId="3614A051">
            <w:pPr>
              <w:pStyle w:val="42"/>
              <w:bidi w:val="0"/>
              <w:rPr>
                <w:rFonts w:hint="default"/>
                <w:lang w:val="en-US" w:eastAsia="zh-CN"/>
              </w:rPr>
            </w:pPr>
            <w:r>
              <w:rPr>
                <w:rFonts w:hint="eastAsia"/>
                <w:lang w:val="en-US" w:eastAsia="zh-CN"/>
              </w:rPr>
              <w:t>表1-2    《巴音郭楞蒙古自治州生态环境准入清单》符合性分析</w:t>
            </w:r>
          </w:p>
          <w:tbl>
            <w:tblPr>
              <w:tblStyle w:val="23"/>
              <w:tblW w:w="6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31"/>
              <w:gridCol w:w="2608"/>
              <w:gridCol w:w="2415"/>
              <w:gridCol w:w="785"/>
            </w:tblGrid>
            <w:tr w14:paraId="3E65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gridSpan w:val="2"/>
                  <w:noWrap w:val="0"/>
                  <w:vAlign w:val="center"/>
                </w:tcPr>
                <w:p w14:paraId="683F31BC">
                  <w:pPr>
                    <w:pStyle w:val="40"/>
                    <w:bidi w:val="0"/>
                    <w:rPr>
                      <w:rFonts w:hint="eastAsia"/>
                      <w:lang w:val="en-US" w:eastAsia="zh-CN"/>
                    </w:rPr>
                  </w:pPr>
                  <w:r>
                    <w:rPr>
                      <w:rFonts w:hint="default"/>
                      <w:lang w:val="en-US" w:eastAsia="zh-CN"/>
                    </w:rPr>
                    <w:t>环境管控单元编码</w:t>
                  </w:r>
                </w:p>
              </w:tc>
              <w:tc>
                <w:tcPr>
                  <w:tcW w:w="2619" w:type="dxa"/>
                  <w:noWrap w:val="0"/>
                  <w:vAlign w:val="center"/>
                </w:tcPr>
                <w:p w14:paraId="6AC87F88">
                  <w:pPr>
                    <w:keepNext w:val="0"/>
                    <w:keepLines w:val="0"/>
                    <w:widowControl/>
                    <w:suppressLineNumbers w:val="0"/>
                    <w:jc w:val="center"/>
                    <w:rPr>
                      <w:rFonts w:hint="eastAsia"/>
                      <w:lang w:val="en-US" w:eastAsia="zh-CN"/>
                    </w:rPr>
                  </w:pPr>
                  <w:r>
                    <w:rPr>
                      <w:rFonts w:hint="default" w:ascii="Times New Roman" w:hAnsi="Times New Roman" w:eastAsia="宋体" w:cs="Times New Roman"/>
                      <w:color w:val="000000"/>
                      <w:kern w:val="0"/>
                      <w:sz w:val="20"/>
                      <w:szCs w:val="20"/>
                      <w:lang w:val="en-US" w:eastAsia="zh-CN" w:bidi="ar"/>
                    </w:rPr>
                    <w:t>ZH65282430001</w:t>
                  </w:r>
                </w:p>
              </w:tc>
              <w:tc>
                <w:tcPr>
                  <w:tcW w:w="2434" w:type="dxa"/>
                  <w:vMerge w:val="restart"/>
                  <w:noWrap w:val="0"/>
                  <w:vAlign w:val="center"/>
                </w:tcPr>
                <w:p w14:paraId="475305EF">
                  <w:pPr>
                    <w:pStyle w:val="40"/>
                    <w:bidi w:val="0"/>
                    <w:rPr>
                      <w:rFonts w:hint="eastAsia"/>
                      <w:lang w:eastAsia="zh-CN"/>
                    </w:rPr>
                  </w:pPr>
                  <w:r>
                    <w:rPr>
                      <w:rFonts w:hint="eastAsia"/>
                      <w:lang w:val="en-US" w:eastAsia="zh-CN"/>
                    </w:rPr>
                    <w:t>本工程情况</w:t>
                  </w:r>
                </w:p>
              </w:tc>
              <w:tc>
                <w:tcPr>
                  <w:tcW w:w="789" w:type="dxa"/>
                  <w:vMerge w:val="restart"/>
                  <w:noWrap w:val="0"/>
                  <w:vAlign w:val="center"/>
                </w:tcPr>
                <w:p w14:paraId="6856667B">
                  <w:pPr>
                    <w:pStyle w:val="40"/>
                    <w:bidi w:val="0"/>
                    <w:rPr>
                      <w:rFonts w:hint="default"/>
                      <w:lang w:val="en-US" w:eastAsia="zh-CN"/>
                    </w:rPr>
                  </w:pPr>
                  <w:r>
                    <w:rPr>
                      <w:rFonts w:hint="eastAsia"/>
                      <w:lang w:val="en-US" w:eastAsia="zh-CN"/>
                    </w:rPr>
                    <w:t>相符性分析</w:t>
                  </w:r>
                </w:p>
              </w:tc>
            </w:tr>
            <w:tr w14:paraId="68E3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gridSpan w:val="2"/>
                  <w:noWrap w:val="0"/>
                  <w:vAlign w:val="center"/>
                </w:tcPr>
                <w:p w14:paraId="43151406">
                  <w:pPr>
                    <w:pStyle w:val="40"/>
                    <w:bidi w:val="0"/>
                    <w:rPr>
                      <w:rFonts w:hint="eastAsia"/>
                      <w:lang w:val="en-US" w:eastAsia="zh-CN"/>
                    </w:rPr>
                  </w:pPr>
                  <w:r>
                    <w:rPr>
                      <w:rFonts w:hint="eastAsia"/>
                      <w:lang w:val="en-US" w:eastAsia="zh-CN"/>
                    </w:rPr>
                    <w:t>环境管控单元名称</w:t>
                  </w:r>
                </w:p>
              </w:tc>
              <w:tc>
                <w:tcPr>
                  <w:tcW w:w="2619" w:type="dxa"/>
                  <w:noWrap w:val="0"/>
                  <w:vAlign w:val="center"/>
                </w:tcPr>
                <w:p w14:paraId="54403BEA">
                  <w:pPr>
                    <w:pStyle w:val="40"/>
                    <w:bidi w:val="0"/>
                    <w:rPr>
                      <w:rFonts w:hint="default"/>
                      <w:lang w:val="en-US" w:eastAsia="zh-CN"/>
                    </w:rPr>
                  </w:pPr>
                  <w:r>
                    <w:rPr>
                      <w:rFonts w:hint="eastAsia"/>
                      <w:lang w:val="en-US" w:eastAsia="zh-CN"/>
                    </w:rPr>
                    <w:t>若羌县一般管控区</w:t>
                  </w:r>
                </w:p>
              </w:tc>
              <w:tc>
                <w:tcPr>
                  <w:tcW w:w="2434" w:type="dxa"/>
                  <w:vMerge w:val="continue"/>
                  <w:noWrap w:val="0"/>
                  <w:vAlign w:val="center"/>
                </w:tcPr>
                <w:p w14:paraId="4A42000D">
                  <w:pPr>
                    <w:pStyle w:val="40"/>
                    <w:bidi w:val="0"/>
                    <w:rPr>
                      <w:rFonts w:hint="eastAsia"/>
                      <w:lang w:eastAsia="zh-CN"/>
                    </w:rPr>
                  </w:pPr>
                </w:p>
              </w:tc>
              <w:tc>
                <w:tcPr>
                  <w:tcW w:w="789" w:type="dxa"/>
                  <w:vMerge w:val="continue"/>
                  <w:noWrap w:val="0"/>
                  <w:vAlign w:val="center"/>
                </w:tcPr>
                <w:p w14:paraId="3903826D">
                  <w:pPr>
                    <w:pStyle w:val="40"/>
                    <w:bidi w:val="0"/>
                    <w:rPr>
                      <w:rFonts w:hint="eastAsia"/>
                      <w:lang w:eastAsia="zh-CN"/>
                    </w:rPr>
                  </w:pPr>
                </w:p>
              </w:tc>
            </w:tr>
            <w:tr w14:paraId="4BFF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gridSpan w:val="2"/>
                  <w:noWrap w:val="0"/>
                  <w:vAlign w:val="center"/>
                </w:tcPr>
                <w:p w14:paraId="73B94BD9">
                  <w:pPr>
                    <w:pStyle w:val="40"/>
                    <w:bidi w:val="0"/>
                    <w:rPr>
                      <w:rFonts w:hint="eastAsia"/>
                      <w:lang w:val="en-US" w:eastAsia="zh-CN"/>
                    </w:rPr>
                  </w:pPr>
                  <w:r>
                    <w:t>环境管控单元类别</w:t>
                  </w:r>
                </w:p>
              </w:tc>
              <w:tc>
                <w:tcPr>
                  <w:tcW w:w="2619" w:type="dxa"/>
                  <w:noWrap w:val="0"/>
                  <w:vAlign w:val="center"/>
                </w:tcPr>
                <w:p w14:paraId="6F82B4B7">
                  <w:pPr>
                    <w:pStyle w:val="40"/>
                    <w:bidi w:val="0"/>
                    <w:rPr>
                      <w:rFonts w:hint="eastAsia"/>
                      <w:lang w:val="en-US" w:eastAsia="zh-CN"/>
                    </w:rPr>
                  </w:pPr>
                  <w:r>
                    <w:rPr>
                      <w:rFonts w:hint="eastAsia"/>
                      <w:lang w:val="en-US" w:eastAsia="zh-CN"/>
                    </w:rPr>
                    <w:t>一般</w:t>
                  </w:r>
                  <w:r>
                    <w:rPr>
                      <w:rFonts w:hint="default"/>
                      <w:lang w:val="en-US" w:eastAsia="zh-CN"/>
                    </w:rPr>
                    <w:t>管控单元</w:t>
                  </w:r>
                </w:p>
              </w:tc>
              <w:tc>
                <w:tcPr>
                  <w:tcW w:w="2434" w:type="dxa"/>
                  <w:vMerge w:val="continue"/>
                  <w:noWrap w:val="0"/>
                  <w:vAlign w:val="center"/>
                </w:tcPr>
                <w:p w14:paraId="5BCD5E2D">
                  <w:pPr>
                    <w:pStyle w:val="40"/>
                    <w:bidi w:val="0"/>
                    <w:rPr>
                      <w:rFonts w:hint="eastAsia"/>
                      <w:lang w:eastAsia="zh-CN"/>
                    </w:rPr>
                  </w:pPr>
                </w:p>
              </w:tc>
              <w:tc>
                <w:tcPr>
                  <w:tcW w:w="789" w:type="dxa"/>
                  <w:vMerge w:val="continue"/>
                  <w:noWrap w:val="0"/>
                  <w:vAlign w:val="center"/>
                </w:tcPr>
                <w:p w14:paraId="701DB34F">
                  <w:pPr>
                    <w:pStyle w:val="40"/>
                    <w:bidi w:val="0"/>
                    <w:rPr>
                      <w:rFonts w:hint="eastAsia"/>
                      <w:lang w:eastAsia="zh-CN"/>
                    </w:rPr>
                  </w:pPr>
                </w:p>
              </w:tc>
            </w:tr>
            <w:tr w14:paraId="3498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restart"/>
                  <w:noWrap w:val="0"/>
                  <w:vAlign w:val="center"/>
                </w:tcPr>
                <w:p w14:paraId="0055803A">
                  <w:pPr>
                    <w:pStyle w:val="40"/>
                    <w:bidi w:val="0"/>
                  </w:pPr>
                  <w:r>
                    <w:rPr>
                      <w:rFonts w:hint="eastAsia"/>
                      <w:lang w:val="en-US" w:eastAsia="zh-CN"/>
                    </w:rPr>
                    <w:t>管控要求</w:t>
                  </w:r>
                </w:p>
              </w:tc>
              <w:tc>
                <w:tcPr>
                  <w:tcW w:w="735" w:type="dxa"/>
                  <w:noWrap w:val="0"/>
                  <w:vAlign w:val="center"/>
                </w:tcPr>
                <w:p w14:paraId="1DBA0B83">
                  <w:pPr>
                    <w:pStyle w:val="40"/>
                    <w:bidi w:val="0"/>
                    <w:rPr>
                      <w:rFonts w:hint="eastAsia"/>
                      <w:lang w:val="en-US" w:eastAsia="zh-CN"/>
                    </w:rPr>
                  </w:pPr>
                  <w:r>
                    <w:rPr>
                      <w:rFonts w:hint="default"/>
                      <w:lang w:val="en-US" w:eastAsia="zh-CN"/>
                    </w:rPr>
                    <w:t>空间布局约束</w:t>
                  </w:r>
                </w:p>
              </w:tc>
              <w:tc>
                <w:tcPr>
                  <w:tcW w:w="2619" w:type="dxa"/>
                  <w:noWrap w:val="0"/>
                  <w:vAlign w:val="center"/>
                </w:tcPr>
                <w:p w14:paraId="3959A6BE">
                  <w:pPr>
                    <w:pStyle w:val="60"/>
                    <w:keepNext w:val="0"/>
                    <w:keepLines w:val="0"/>
                    <w:suppressLineNumbers w:val="0"/>
                    <w:bidi w:val="0"/>
                    <w:spacing w:before="0" w:beforeAutospacing="0" w:after="0" w:afterAutospacing="0"/>
                    <w:ind w:left="0" w:right="0"/>
                    <w:jc w:val="both"/>
                    <w:rPr>
                      <w:rFonts w:hint="default"/>
                      <w:lang w:val="en-US" w:eastAsia="zh-CN"/>
                    </w:rPr>
                  </w:pPr>
                  <w:r>
                    <w:rPr>
                      <w:rFonts w:hint="default"/>
                      <w:lang w:val="en-US" w:eastAsia="zh-CN"/>
                    </w:rPr>
                    <w:t>1.建设项目用地原则上不得占用基本农田，确需占用基本农田的建设项目须符合《中华人民共和国基本农田保护条例》中相关要求，占用耕地、林地或草地的建设项目须按照国家、自治区相关补偿要求进行补偿。</w:t>
                  </w:r>
                </w:p>
                <w:p w14:paraId="784353B8">
                  <w:pPr>
                    <w:pStyle w:val="60"/>
                    <w:keepNext w:val="0"/>
                    <w:keepLines w:val="0"/>
                    <w:suppressLineNumbers w:val="0"/>
                    <w:bidi w:val="0"/>
                    <w:spacing w:before="0" w:beforeAutospacing="0" w:after="0" w:afterAutospacing="0"/>
                    <w:ind w:left="0" w:leftChars="0" w:right="0" w:rightChars="0"/>
                    <w:jc w:val="both"/>
                    <w:rPr>
                      <w:rFonts w:hint="default"/>
                      <w:lang w:val="en-US" w:eastAsia="zh-CN"/>
                    </w:rPr>
                  </w:pPr>
                  <w:r>
                    <w:rPr>
                      <w:rFonts w:hint="default"/>
                      <w:lang w:val="en-US" w:eastAsia="zh-CN"/>
                    </w:rPr>
                    <w:t>5.禁止向沙漠、滩涂、盐碱地、沼泽地等非法排污、倾倒有毒有害物质。</w:t>
                  </w:r>
                </w:p>
              </w:tc>
              <w:tc>
                <w:tcPr>
                  <w:tcW w:w="2434" w:type="dxa"/>
                  <w:noWrap w:val="0"/>
                  <w:vAlign w:val="center"/>
                </w:tcPr>
                <w:p w14:paraId="3FF86E07">
                  <w:pPr>
                    <w:pStyle w:val="40"/>
                    <w:bidi w:val="0"/>
                    <w:jc w:val="both"/>
                    <w:rPr>
                      <w:rFonts w:hint="eastAsia"/>
                      <w:lang w:val="en-US" w:eastAsia="zh-CN"/>
                    </w:rPr>
                  </w:pPr>
                  <w:r>
                    <w:rPr>
                      <w:rFonts w:hint="eastAsia"/>
                      <w:lang w:val="en-US" w:eastAsia="zh-CN"/>
                    </w:rPr>
                    <w:t>本项目位于若羌县城东，315国道以北，用地性质为工业用地，不占用基本农田。</w:t>
                  </w:r>
                </w:p>
                <w:p w14:paraId="134A8AB7">
                  <w:pPr>
                    <w:pStyle w:val="40"/>
                    <w:bidi w:val="0"/>
                    <w:jc w:val="both"/>
                    <w:rPr>
                      <w:rFonts w:hint="eastAsia"/>
                      <w:lang w:eastAsia="zh-CN"/>
                    </w:rPr>
                  </w:pPr>
                  <w:r>
                    <w:rPr>
                      <w:rFonts w:hint="eastAsia"/>
                      <w:lang w:val="en-US" w:eastAsia="zh-CN"/>
                    </w:rPr>
                    <w:t>本项目产生的生活垃圾分类收集，定期清运；除尘灰和沉淀池沉渣回用于生产，废钢筋收集外售，废包装袋、边角料及不合格产品收集后外售综合利用，废布袋定期由设备厂家进行回收处理；废润滑油、废润滑油桶等危险废物贮存于危废贮存点内，定期交由有资质的单位进行处理。</w:t>
                  </w:r>
                </w:p>
              </w:tc>
              <w:tc>
                <w:tcPr>
                  <w:tcW w:w="789" w:type="dxa"/>
                  <w:noWrap w:val="0"/>
                  <w:vAlign w:val="center"/>
                </w:tcPr>
                <w:p w14:paraId="088D6EAE">
                  <w:pPr>
                    <w:pStyle w:val="40"/>
                    <w:bidi w:val="0"/>
                    <w:rPr>
                      <w:rFonts w:hint="default"/>
                      <w:lang w:val="en-US" w:eastAsia="zh-CN"/>
                    </w:rPr>
                  </w:pPr>
                  <w:r>
                    <w:rPr>
                      <w:rFonts w:hint="eastAsia"/>
                      <w:lang w:val="en-US" w:eastAsia="zh-CN"/>
                    </w:rPr>
                    <w:t>符合</w:t>
                  </w:r>
                </w:p>
              </w:tc>
            </w:tr>
            <w:tr w14:paraId="0540D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continue"/>
                  <w:noWrap w:val="0"/>
                  <w:vAlign w:val="center"/>
                </w:tcPr>
                <w:p w14:paraId="26EC0D94">
                  <w:pPr>
                    <w:pStyle w:val="40"/>
                    <w:bidi w:val="0"/>
                    <w:rPr>
                      <w:rFonts w:hint="eastAsia"/>
                      <w:lang w:val="en-US" w:eastAsia="zh-CN"/>
                    </w:rPr>
                  </w:pPr>
                </w:p>
              </w:tc>
              <w:tc>
                <w:tcPr>
                  <w:tcW w:w="735" w:type="dxa"/>
                  <w:noWrap w:val="0"/>
                  <w:vAlign w:val="center"/>
                </w:tcPr>
                <w:p w14:paraId="00986FF4">
                  <w:pPr>
                    <w:pStyle w:val="40"/>
                    <w:bidi w:val="0"/>
                    <w:rPr>
                      <w:rFonts w:hint="default"/>
                      <w:lang w:val="en-US" w:eastAsia="zh-CN"/>
                    </w:rPr>
                  </w:pPr>
                  <w:r>
                    <w:rPr>
                      <w:rFonts w:hint="default"/>
                      <w:lang w:val="en-US" w:eastAsia="zh-CN"/>
                    </w:rPr>
                    <w:t>污染物排放管控</w:t>
                  </w:r>
                </w:p>
              </w:tc>
              <w:tc>
                <w:tcPr>
                  <w:tcW w:w="2619" w:type="dxa"/>
                  <w:noWrap w:val="0"/>
                  <w:vAlign w:val="center"/>
                </w:tcPr>
                <w:p w14:paraId="2E4D9E36">
                  <w:pPr>
                    <w:pStyle w:val="60"/>
                    <w:keepNext w:val="0"/>
                    <w:keepLines w:val="0"/>
                    <w:suppressLineNumbers w:val="0"/>
                    <w:bidi w:val="0"/>
                    <w:spacing w:before="0" w:beforeAutospacing="0" w:after="0" w:afterAutospacing="0"/>
                    <w:ind w:left="0" w:right="0"/>
                    <w:jc w:val="both"/>
                    <w:rPr>
                      <w:rFonts w:hint="default"/>
                      <w:lang w:val="en-US" w:eastAsia="zh-CN"/>
                    </w:rPr>
                  </w:pPr>
                  <w:r>
                    <w:rPr>
                      <w:rFonts w:hint="default"/>
                      <w:lang w:val="en-US" w:eastAsia="zh-CN"/>
                    </w:rPr>
                    <w:t>4.对化学品生产企业、工业集聚区、尾矿库、矿山开采区、危险废物处置场、垃圾填埋场等地下水污染源及周边区域，逐步开展地下水环境状况调查评估，加强风险管控。</w:t>
                  </w:r>
                </w:p>
                <w:p w14:paraId="37E35D5D">
                  <w:pPr>
                    <w:pStyle w:val="60"/>
                    <w:keepNext w:val="0"/>
                    <w:keepLines w:val="0"/>
                    <w:suppressLineNumbers w:val="0"/>
                    <w:bidi w:val="0"/>
                    <w:spacing w:before="0" w:beforeAutospacing="0" w:after="0" w:afterAutospacing="0"/>
                    <w:ind w:left="0" w:leftChars="0" w:right="0" w:rightChars="0"/>
                    <w:jc w:val="both"/>
                    <w:rPr>
                      <w:rFonts w:hint="default"/>
                      <w:lang w:val="en-US" w:eastAsia="zh-CN"/>
                    </w:rPr>
                  </w:pPr>
                  <w:r>
                    <w:rPr>
                      <w:rFonts w:hint="default"/>
                      <w:lang w:val="en-US" w:eastAsia="zh-CN"/>
                    </w:rPr>
                    <w:t>6.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tc>
              <w:tc>
                <w:tcPr>
                  <w:tcW w:w="2434" w:type="dxa"/>
                  <w:noWrap w:val="0"/>
                  <w:vAlign w:val="center"/>
                </w:tcPr>
                <w:p w14:paraId="6D7BB36D">
                  <w:pPr>
                    <w:pStyle w:val="40"/>
                    <w:bidi w:val="0"/>
                    <w:jc w:val="both"/>
                    <w:rPr>
                      <w:rFonts w:hint="default"/>
                      <w:lang w:val="en-US" w:eastAsia="zh-CN"/>
                    </w:rPr>
                  </w:pPr>
                  <w:r>
                    <w:rPr>
                      <w:rFonts w:hint="default"/>
                      <w:lang w:val="en-US" w:eastAsia="zh-CN"/>
                    </w:rPr>
                    <w:t>本项目不</w:t>
                  </w:r>
                  <w:r>
                    <w:rPr>
                      <w:rFonts w:hint="eastAsia"/>
                      <w:lang w:val="en-US" w:eastAsia="zh-CN"/>
                    </w:rPr>
                    <w:t>涉及</w:t>
                  </w:r>
                  <w:r>
                    <w:rPr>
                      <w:rFonts w:hint="default"/>
                      <w:lang w:val="en-US" w:eastAsia="zh-CN"/>
                    </w:rPr>
                    <w:t>该管控要求。</w:t>
                  </w:r>
                </w:p>
              </w:tc>
              <w:tc>
                <w:tcPr>
                  <w:tcW w:w="789" w:type="dxa"/>
                  <w:noWrap w:val="0"/>
                  <w:vAlign w:val="center"/>
                </w:tcPr>
                <w:p w14:paraId="0DEEDB4C">
                  <w:pPr>
                    <w:pStyle w:val="40"/>
                    <w:bidi w:val="0"/>
                    <w:rPr>
                      <w:rFonts w:hint="eastAsia"/>
                      <w:lang w:eastAsia="zh-CN"/>
                    </w:rPr>
                  </w:pPr>
                  <w:r>
                    <w:rPr>
                      <w:rFonts w:hint="eastAsia"/>
                      <w:lang w:val="en-US" w:eastAsia="zh-CN"/>
                    </w:rPr>
                    <w:t>符合</w:t>
                  </w:r>
                </w:p>
              </w:tc>
            </w:tr>
            <w:tr w14:paraId="0977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continue"/>
                  <w:noWrap w:val="0"/>
                  <w:vAlign w:val="center"/>
                </w:tcPr>
                <w:p w14:paraId="0B717C41">
                  <w:pPr>
                    <w:pStyle w:val="40"/>
                    <w:bidi w:val="0"/>
                    <w:rPr>
                      <w:rFonts w:hint="eastAsia"/>
                      <w:lang w:val="en-US" w:eastAsia="zh-CN"/>
                    </w:rPr>
                  </w:pPr>
                </w:p>
              </w:tc>
              <w:tc>
                <w:tcPr>
                  <w:tcW w:w="735" w:type="dxa"/>
                  <w:noWrap w:val="0"/>
                  <w:vAlign w:val="center"/>
                </w:tcPr>
                <w:p w14:paraId="171BEE44">
                  <w:pPr>
                    <w:pStyle w:val="40"/>
                    <w:bidi w:val="0"/>
                    <w:rPr>
                      <w:rFonts w:hint="default"/>
                      <w:lang w:val="en-US" w:eastAsia="zh-CN"/>
                    </w:rPr>
                  </w:pPr>
                  <w:r>
                    <w:rPr>
                      <w:rFonts w:hint="default"/>
                      <w:lang w:val="en-US" w:eastAsia="zh-CN"/>
                    </w:rPr>
                    <w:t>环境风险防控</w:t>
                  </w:r>
                </w:p>
              </w:tc>
              <w:tc>
                <w:tcPr>
                  <w:tcW w:w="2619" w:type="dxa"/>
                  <w:noWrap w:val="0"/>
                  <w:vAlign w:val="center"/>
                </w:tcPr>
                <w:p w14:paraId="76A3C6D2">
                  <w:pPr>
                    <w:pStyle w:val="60"/>
                    <w:keepNext w:val="0"/>
                    <w:keepLines w:val="0"/>
                    <w:suppressLineNumbers w:val="0"/>
                    <w:bidi w:val="0"/>
                    <w:spacing w:before="0" w:beforeAutospacing="0" w:after="0" w:afterAutospacing="0"/>
                    <w:ind w:left="0" w:leftChars="0" w:right="0" w:rightChars="0"/>
                    <w:jc w:val="both"/>
                    <w:rPr>
                      <w:rFonts w:hint="default"/>
                      <w:lang w:val="en-US" w:eastAsia="zh-CN"/>
                    </w:rPr>
                  </w:pPr>
                  <w:r>
                    <w:rPr>
                      <w:rFonts w:hint="default"/>
                      <w:lang w:val="en-US" w:eastAsia="zh-CN"/>
                    </w:rPr>
                    <w:t>4.定期对企业及周边土壤进行监测；对不符合法律法规和相关标准要求的，应当根据监测结果，要求运营单位采取相应改进措施。土壤环境监管重点行业企业拆除生产设施设备、构筑物和污染治理设施，要事先制定残留污染物清理和安全处置方案，并报所在地县级生态环境、工业和信息化部门备案；要严格按照有关规定实施安全处理处置，防范拆除活动污染土壤。</w:t>
                  </w:r>
                </w:p>
              </w:tc>
              <w:tc>
                <w:tcPr>
                  <w:tcW w:w="2434" w:type="dxa"/>
                  <w:noWrap w:val="0"/>
                  <w:vAlign w:val="center"/>
                </w:tcPr>
                <w:p w14:paraId="638D845E">
                  <w:pPr>
                    <w:pStyle w:val="40"/>
                    <w:bidi w:val="0"/>
                    <w:jc w:val="both"/>
                    <w:rPr>
                      <w:rFonts w:hint="default"/>
                      <w:lang w:val="en-US" w:eastAsia="zh-CN"/>
                    </w:rPr>
                  </w:pPr>
                  <w:r>
                    <w:rPr>
                      <w:rFonts w:hint="eastAsia"/>
                      <w:lang w:val="en-US" w:eastAsia="zh-CN"/>
                    </w:rPr>
                    <w:t>项目周边无环境敏感保护目标，后期企业会根据项目现状编制突发环境事件应急预案。</w:t>
                  </w:r>
                </w:p>
              </w:tc>
              <w:tc>
                <w:tcPr>
                  <w:tcW w:w="789" w:type="dxa"/>
                  <w:noWrap w:val="0"/>
                  <w:vAlign w:val="center"/>
                </w:tcPr>
                <w:p w14:paraId="6F66F325">
                  <w:pPr>
                    <w:pStyle w:val="40"/>
                    <w:bidi w:val="0"/>
                    <w:rPr>
                      <w:rFonts w:hint="eastAsia"/>
                      <w:lang w:eastAsia="zh-CN"/>
                    </w:rPr>
                  </w:pPr>
                  <w:r>
                    <w:rPr>
                      <w:rFonts w:hint="eastAsia"/>
                      <w:lang w:val="en-US" w:eastAsia="zh-CN"/>
                    </w:rPr>
                    <w:t>符合</w:t>
                  </w:r>
                </w:p>
              </w:tc>
            </w:tr>
            <w:tr w14:paraId="5D15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continue"/>
                  <w:noWrap w:val="0"/>
                  <w:vAlign w:val="center"/>
                </w:tcPr>
                <w:p w14:paraId="764E3DB5">
                  <w:pPr>
                    <w:pStyle w:val="40"/>
                    <w:bidi w:val="0"/>
                    <w:rPr>
                      <w:rFonts w:hint="eastAsia"/>
                      <w:lang w:val="en-US" w:eastAsia="zh-CN"/>
                    </w:rPr>
                  </w:pPr>
                </w:p>
              </w:tc>
              <w:tc>
                <w:tcPr>
                  <w:tcW w:w="735" w:type="dxa"/>
                  <w:noWrap w:val="0"/>
                  <w:vAlign w:val="center"/>
                </w:tcPr>
                <w:p w14:paraId="400059B1">
                  <w:pPr>
                    <w:pStyle w:val="40"/>
                    <w:bidi w:val="0"/>
                    <w:rPr>
                      <w:rFonts w:hint="default"/>
                      <w:lang w:val="en-US" w:eastAsia="zh-CN"/>
                    </w:rPr>
                  </w:pPr>
                  <w:r>
                    <w:rPr>
                      <w:rFonts w:hint="default"/>
                      <w:lang w:val="en-US" w:eastAsia="zh-CN"/>
                    </w:rPr>
                    <w:t>资源利用效率</w:t>
                  </w:r>
                </w:p>
              </w:tc>
              <w:tc>
                <w:tcPr>
                  <w:tcW w:w="2619" w:type="dxa"/>
                  <w:noWrap w:val="0"/>
                  <w:vAlign w:val="center"/>
                </w:tcPr>
                <w:p w14:paraId="38FD680F">
                  <w:pPr>
                    <w:pStyle w:val="60"/>
                    <w:keepNext w:val="0"/>
                    <w:keepLines w:val="0"/>
                    <w:suppressLineNumbers w:val="0"/>
                    <w:bidi w:val="0"/>
                    <w:spacing w:before="0" w:beforeAutospacing="0" w:after="0" w:afterAutospacing="0"/>
                    <w:ind w:left="0" w:right="0"/>
                    <w:jc w:val="both"/>
                    <w:rPr>
                      <w:rFonts w:hint="default"/>
                      <w:lang w:val="en-US" w:eastAsia="zh-CN"/>
                    </w:rPr>
                  </w:pPr>
                  <w:r>
                    <w:rPr>
                      <w:rFonts w:hint="default"/>
                      <w:lang w:val="en-US" w:eastAsia="zh-CN"/>
                    </w:rPr>
                    <w:t>1.全面推进秸秆综合利用，鼓励秸秆资源化、饲料化、肥料化利用，推动秸秆还田与离田收集。</w:t>
                  </w:r>
                </w:p>
                <w:p w14:paraId="4985D2B9">
                  <w:pPr>
                    <w:pStyle w:val="60"/>
                    <w:keepNext w:val="0"/>
                    <w:keepLines w:val="0"/>
                    <w:suppressLineNumbers w:val="0"/>
                    <w:bidi w:val="0"/>
                    <w:spacing w:before="0" w:beforeAutospacing="0" w:after="0" w:afterAutospacing="0"/>
                    <w:ind w:left="0" w:right="0"/>
                    <w:jc w:val="both"/>
                    <w:rPr>
                      <w:rFonts w:hint="default"/>
                      <w:lang w:val="en-US" w:eastAsia="zh-CN"/>
                    </w:rPr>
                  </w:pPr>
                  <w:r>
                    <w:rPr>
                      <w:rFonts w:hint="default"/>
                      <w:lang w:val="en-US" w:eastAsia="zh-CN"/>
                    </w:rPr>
                    <w:t>2.减少化肥农药使用量，增加有机肥使用量，实现化肥农药使用量负增长。</w:t>
                  </w:r>
                </w:p>
                <w:p w14:paraId="1788C7BB">
                  <w:pPr>
                    <w:pStyle w:val="60"/>
                    <w:keepNext w:val="0"/>
                    <w:keepLines w:val="0"/>
                    <w:suppressLineNumbers w:val="0"/>
                    <w:bidi w:val="0"/>
                    <w:spacing w:before="0" w:beforeAutospacing="0" w:after="0" w:afterAutospacing="0"/>
                    <w:ind w:left="0" w:right="0"/>
                    <w:jc w:val="both"/>
                    <w:rPr>
                      <w:rFonts w:hint="default"/>
                      <w:lang w:val="en-US" w:eastAsia="zh-CN"/>
                    </w:rPr>
                  </w:pPr>
                  <w:r>
                    <w:rPr>
                      <w:rFonts w:hint="default"/>
                      <w:lang w:val="en-US" w:eastAsia="zh-CN"/>
                    </w:rPr>
                    <w:t>3.推广渠道防渗、管道输水、喷灌、微灌等节水灌溉技术，完善灌溉用水计量设施。推进规模化高效节水灌溉，推广农作物节水抗旱技术。建立灌区墒情测报网络，提高农业用水效率，降低农业用水比重。</w:t>
                  </w:r>
                </w:p>
                <w:p w14:paraId="19FFD9B9">
                  <w:pPr>
                    <w:pStyle w:val="60"/>
                    <w:keepNext w:val="0"/>
                    <w:keepLines w:val="0"/>
                    <w:suppressLineNumbers w:val="0"/>
                    <w:bidi w:val="0"/>
                    <w:spacing w:before="0" w:beforeAutospacing="0" w:after="0" w:afterAutospacing="0"/>
                    <w:ind w:left="0" w:leftChars="0" w:right="0" w:rightChars="0"/>
                    <w:jc w:val="both"/>
                    <w:rPr>
                      <w:rFonts w:hint="default"/>
                      <w:lang w:val="en-US" w:eastAsia="zh-CN"/>
                    </w:rPr>
                  </w:pPr>
                  <w:r>
                    <w:rPr>
                      <w:rFonts w:hint="default"/>
                      <w:lang w:val="en-US" w:eastAsia="zh-CN"/>
                    </w:rPr>
                    <w:t>4.废石综合回用、尾矿砂利用率参考《新疆维吾尔自治区重点行业环境准入条件（修订）》等相关文件要求。</w:t>
                  </w:r>
                </w:p>
              </w:tc>
              <w:tc>
                <w:tcPr>
                  <w:tcW w:w="2434" w:type="dxa"/>
                  <w:noWrap w:val="0"/>
                  <w:vAlign w:val="center"/>
                </w:tcPr>
                <w:p w14:paraId="45DFA100">
                  <w:pPr>
                    <w:pStyle w:val="40"/>
                    <w:bidi w:val="0"/>
                    <w:jc w:val="both"/>
                    <w:rPr>
                      <w:rFonts w:hint="default"/>
                      <w:lang w:val="en-US" w:eastAsia="zh-CN"/>
                    </w:rPr>
                  </w:pPr>
                  <w:r>
                    <w:rPr>
                      <w:rFonts w:hint="eastAsia"/>
                      <w:lang w:val="en-US" w:eastAsia="zh-CN"/>
                    </w:rPr>
                    <w:t>本项目不涉及该管控要求。</w:t>
                  </w:r>
                </w:p>
              </w:tc>
              <w:tc>
                <w:tcPr>
                  <w:tcW w:w="789" w:type="dxa"/>
                  <w:noWrap w:val="0"/>
                  <w:vAlign w:val="center"/>
                </w:tcPr>
                <w:p w14:paraId="32CD6C02">
                  <w:pPr>
                    <w:pStyle w:val="40"/>
                    <w:bidi w:val="0"/>
                    <w:rPr>
                      <w:rFonts w:hint="eastAsia"/>
                      <w:lang w:eastAsia="zh-CN"/>
                    </w:rPr>
                  </w:pPr>
                  <w:r>
                    <w:rPr>
                      <w:rFonts w:hint="eastAsia"/>
                      <w:lang w:val="en-US" w:eastAsia="zh-CN"/>
                    </w:rPr>
                    <w:t>符合</w:t>
                  </w:r>
                </w:p>
              </w:tc>
            </w:tr>
          </w:tbl>
          <w:p w14:paraId="3D96CEA1">
            <w:pPr>
              <w:pStyle w:val="2"/>
              <w:bidi w:val="0"/>
              <w:rPr>
                <w:rFonts w:hint="default"/>
                <w:lang w:val="en-US" w:eastAsia="zh-CN"/>
              </w:rPr>
            </w:pPr>
            <w:r>
              <w:rPr>
                <w:rFonts w:hint="eastAsia"/>
                <w:lang w:val="en-US" w:eastAsia="zh-CN"/>
              </w:rPr>
              <w:t>3.《巴音郭楞蒙古自治州生态环境“十四五”规划》符合性分析</w:t>
            </w:r>
          </w:p>
          <w:p w14:paraId="4FBB6E56">
            <w:pPr>
              <w:pStyle w:val="8"/>
              <w:bidi w:val="0"/>
              <w:rPr>
                <w:rFonts w:hint="eastAsia"/>
                <w:lang w:val="en-US" w:eastAsia="zh-CN"/>
              </w:rPr>
            </w:pPr>
            <w:r>
              <w:rPr>
                <w:rFonts w:hint="eastAsia"/>
                <w:lang w:val="en-US" w:eastAsia="zh-CN"/>
              </w:rPr>
              <w:t>本项目与《巴音郭楞蒙古自治州生态环境“十四五”规划》符合性分析详见下表。</w:t>
            </w:r>
          </w:p>
          <w:p w14:paraId="76F557D2">
            <w:pPr>
              <w:pStyle w:val="42"/>
              <w:bidi w:val="0"/>
              <w:rPr>
                <w:rFonts w:hint="default"/>
                <w:lang w:val="en-US" w:eastAsia="zh-CN"/>
              </w:rPr>
            </w:pPr>
            <w:r>
              <w:rPr>
                <w:rFonts w:hint="eastAsia"/>
                <w:lang w:val="en-US" w:eastAsia="zh-CN"/>
              </w:rPr>
              <w:t>表1-3    《巴音郭楞蒙古自治州生态环境“十四五”规划》符合性分析</w:t>
            </w:r>
          </w:p>
          <w:tbl>
            <w:tblPr>
              <w:tblStyle w:val="23"/>
              <w:tblW w:w="70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3"/>
              <w:gridCol w:w="2770"/>
              <w:gridCol w:w="715"/>
            </w:tblGrid>
            <w:tr w14:paraId="1DFE9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3" w:type="dxa"/>
                  <w:noWrap w:val="0"/>
                  <w:vAlign w:val="center"/>
                </w:tcPr>
                <w:p w14:paraId="54179CE9">
                  <w:pPr>
                    <w:pStyle w:val="40"/>
                    <w:bidi w:val="0"/>
                    <w:rPr>
                      <w:rFonts w:hint="default"/>
                      <w:lang w:val="en-US" w:eastAsia="zh-CN"/>
                    </w:rPr>
                  </w:pPr>
                  <w:r>
                    <w:rPr>
                      <w:rFonts w:hint="default"/>
                      <w:lang w:val="en-US" w:eastAsia="zh-CN"/>
                    </w:rPr>
                    <w:t>规划</w:t>
                  </w:r>
                  <w:r>
                    <w:rPr>
                      <w:rFonts w:hint="eastAsia"/>
                      <w:lang w:val="en-US" w:eastAsia="zh-CN"/>
                    </w:rPr>
                    <w:t>要求</w:t>
                  </w:r>
                </w:p>
              </w:tc>
              <w:tc>
                <w:tcPr>
                  <w:tcW w:w="2770" w:type="dxa"/>
                  <w:noWrap w:val="0"/>
                  <w:vAlign w:val="center"/>
                </w:tcPr>
                <w:p w14:paraId="6628D514">
                  <w:pPr>
                    <w:pStyle w:val="40"/>
                    <w:bidi w:val="0"/>
                    <w:rPr>
                      <w:rFonts w:hint="default"/>
                      <w:lang w:val="en-US" w:eastAsia="zh-CN"/>
                    </w:rPr>
                  </w:pPr>
                  <w:r>
                    <w:rPr>
                      <w:rFonts w:hint="eastAsia"/>
                      <w:lang w:val="en-US" w:eastAsia="zh-CN"/>
                    </w:rPr>
                    <w:t>本项目情况</w:t>
                  </w:r>
                </w:p>
              </w:tc>
              <w:tc>
                <w:tcPr>
                  <w:tcW w:w="715" w:type="dxa"/>
                  <w:noWrap w:val="0"/>
                  <w:vAlign w:val="center"/>
                </w:tcPr>
                <w:p w14:paraId="69AAA9B9">
                  <w:pPr>
                    <w:pStyle w:val="40"/>
                    <w:bidi w:val="0"/>
                    <w:rPr>
                      <w:rFonts w:hint="default"/>
                      <w:lang w:val="en-US" w:eastAsia="zh-CN"/>
                    </w:rPr>
                  </w:pPr>
                  <w:r>
                    <w:rPr>
                      <w:rFonts w:hint="eastAsia"/>
                      <w:lang w:val="en-US" w:eastAsia="zh-CN"/>
                    </w:rPr>
                    <w:t>符合性分析</w:t>
                  </w:r>
                </w:p>
              </w:tc>
            </w:tr>
            <w:tr w14:paraId="2581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3553" w:type="dxa"/>
                  <w:noWrap w:val="0"/>
                  <w:vAlign w:val="center"/>
                </w:tcPr>
                <w:p w14:paraId="7D58AD18">
                  <w:pPr>
                    <w:pStyle w:val="40"/>
                    <w:bidi w:val="0"/>
                    <w:jc w:val="both"/>
                    <w:rPr>
                      <w:rFonts w:hint="default"/>
                      <w:lang w:val="en-US" w:eastAsia="zh-CN"/>
                    </w:rPr>
                  </w:pPr>
                  <w:r>
                    <w:rPr>
                      <w:rFonts w:hint="default"/>
                      <w:lang w:val="en-US" w:eastAsia="zh-CN"/>
                    </w:rPr>
                    <w:t>强化大气污染分区控制和分类管理，加强污染源解析，实行差异化控制要求，制定有针对性的污染防治措施。库尔勒等大气复合型污染区域，重点针对不同时段PM</w:t>
                  </w:r>
                  <w:r>
                    <w:rPr>
                      <w:rFonts w:hint="default"/>
                      <w:vertAlign w:val="subscript"/>
                      <w:lang w:val="en-US" w:eastAsia="zh-CN"/>
                    </w:rPr>
                    <w:t>10</w:t>
                  </w:r>
                  <w:r>
                    <w:rPr>
                      <w:rFonts w:hint="default"/>
                      <w:lang w:val="en-US" w:eastAsia="zh-CN"/>
                    </w:rPr>
                    <w:t>、PM</w:t>
                  </w:r>
                  <w:r>
                    <w:rPr>
                      <w:rFonts w:hint="default"/>
                      <w:vertAlign w:val="subscript"/>
                      <w:lang w:val="en-US" w:eastAsia="zh-CN"/>
                    </w:rPr>
                    <w:t>2.5</w:t>
                  </w:r>
                  <w:r>
                    <w:rPr>
                      <w:rFonts w:hint="default"/>
                      <w:lang w:val="en-US" w:eastAsia="zh-CN"/>
                    </w:rPr>
                    <w:t>、O</w:t>
                  </w:r>
                  <w:r>
                    <w:rPr>
                      <w:rFonts w:hint="default"/>
                      <w:vertAlign w:val="subscript"/>
                      <w:lang w:val="en-US" w:eastAsia="zh-CN"/>
                    </w:rPr>
                    <w:t>3</w:t>
                  </w:r>
                  <w:r>
                    <w:rPr>
                      <w:rFonts w:hint="default"/>
                      <w:lang w:val="en-US" w:eastAsia="zh-CN"/>
                    </w:rPr>
                    <w:t>等突出问题，加强采暖季燃煤污染控制以及机动车、VOCs（挥发性有机物）污染防治；库尉轮地区及且若区域沙尘污染严重区，重点做好防风固沙、生态环境保护修复等工作，同时持续加强传统煤烟型、扬尘污染的控制，实现空气质量持续改善</w:t>
                  </w:r>
                  <w:r>
                    <w:rPr>
                      <w:rFonts w:hint="eastAsia"/>
                      <w:lang w:val="en-US" w:eastAsia="zh-CN"/>
                    </w:rPr>
                    <w:t>。</w:t>
                  </w:r>
                </w:p>
              </w:tc>
              <w:tc>
                <w:tcPr>
                  <w:tcW w:w="2770" w:type="dxa"/>
                  <w:noWrap w:val="0"/>
                  <w:vAlign w:val="center"/>
                </w:tcPr>
                <w:p w14:paraId="0AE9C67E">
                  <w:pPr>
                    <w:pStyle w:val="40"/>
                    <w:bidi w:val="0"/>
                    <w:jc w:val="both"/>
                    <w:rPr>
                      <w:rFonts w:hint="default"/>
                      <w:lang w:val="en-US" w:eastAsia="zh-CN"/>
                    </w:rPr>
                  </w:pPr>
                  <w:r>
                    <w:rPr>
                      <w:rFonts w:hint="default"/>
                      <w:lang w:val="en-US" w:eastAsia="zh-CN"/>
                    </w:rPr>
                    <w:t>本项目产生的废气经相应的环保设施处理后能够达标排放，对环境空气质量影响较小，不会降低区域环境空气质量。</w:t>
                  </w:r>
                </w:p>
              </w:tc>
              <w:tc>
                <w:tcPr>
                  <w:tcW w:w="715" w:type="dxa"/>
                  <w:noWrap w:val="0"/>
                  <w:vAlign w:val="center"/>
                </w:tcPr>
                <w:p w14:paraId="00DFF96A">
                  <w:pPr>
                    <w:pStyle w:val="40"/>
                    <w:bidi w:val="0"/>
                    <w:jc w:val="both"/>
                    <w:rPr>
                      <w:rFonts w:hint="default"/>
                      <w:lang w:val="en-US" w:eastAsia="zh-CN"/>
                    </w:rPr>
                  </w:pPr>
                  <w:r>
                    <w:rPr>
                      <w:rFonts w:hint="eastAsia"/>
                      <w:lang w:val="en-US" w:eastAsia="zh-CN"/>
                    </w:rPr>
                    <w:t>符合</w:t>
                  </w:r>
                </w:p>
              </w:tc>
            </w:tr>
            <w:tr w14:paraId="59AAB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3" w:type="dxa"/>
                  <w:noWrap w:val="0"/>
                  <w:vAlign w:val="center"/>
                </w:tcPr>
                <w:p w14:paraId="520B3415">
                  <w:pPr>
                    <w:pStyle w:val="40"/>
                    <w:bidi w:val="0"/>
                    <w:jc w:val="both"/>
                    <w:rPr>
                      <w:rFonts w:hint="default"/>
                      <w:lang w:val="en-US" w:eastAsia="zh-CN"/>
                    </w:rPr>
                  </w:pPr>
                  <w:r>
                    <w:rPr>
                      <w:rFonts w:hint="default"/>
                      <w:lang w:val="en-US" w:eastAsia="zh-CN"/>
                    </w:rPr>
                    <w:t>加强环境噪声污染防控。加强噪声污染源监管，继续强化和深入推进交通运输、建筑施工、社会生活、工业企业、机场周边噪声污染防治，推进工业企业噪声纳入排污许可管理。优化重点</w:t>
                  </w:r>
                  <w:r>
                    <w:rPr>
                      <w:rFonts w:hint="eastAsia"/>
                      <w:lang w:val="en-US" w:eastAsia="zh-CN"/>
                    </w:rPr>
                    <w:t>区域</w:t>
                  </w:r>
                  <w:r>
                    <w:rPr>
                      <w:rFonts w:hint="default"/>
                      <w:lang w:val="en-US" w:eastAsia="zh-CN"/>
                    </w:rPr>
                    <w:t>声环境质量监测点位，加强城市环境、道路交通、功能区噪声例行监测与评价，推动库尔勒市功能区声环境质量自动监测，强化声环境功能区管理，适时调整完善声环境功能区</w:t>
                  </w:r>
                  <w:r>
                    <w:rPr>
                      <w:rFonts w:hint="eastAsia"/>
                      <w:lang w:val="en-US" w:eastAsia="zh-CN"/>
                    </w:rPr>
                    <w:t>。</w:t>
                  </w:r>
                </w:p>
              </w:tc>
              <w:tc>
                <w:tcPr>
                  <w:tcW w:w="2770" w:type="dxa"/>
                  <w:noWrap w:val="0"/>
                  <w:vAlign w:val="center"/>
                </w:tcPr>
                <w:p w14:paraId="3CBA5645">
                  <w:pPr>
                    <w:pStyle w:val="40"/>
                    <w:bidi w:val="0"/>
                    <w:jc w:val="both"/>
                    <w:rPr>
                      <w:rFonts w:hint="default"/>
                      <w:lang w:val="en-US" w:eastAsia="zh-CN"/>
                    </w:rPr>
                  </w:pPr>
                  <w:r>
                    <w:rPr>
                      <w:rFonts w:hint="eastAsia"/>
                      <w:lang w:val="en-US" w:eastAsia="zh-CN"/>
                    </w:rPr>
                    <w:t>本项目噪声主要是机械、运输设备噪声。采用低噪声设备、合理布置设备位置，基础减震等措施，噪声可以达标排放；项目建设完成后，建设单位将按照排污许可管理办法，在排污行为发生之前，完成排污许可申报。</w:t>
                  </w:r>
                </w:p>
              </w:tc>
              <w:tc>
                <w:tcPr>
                  <w:tcW w:w="715" w:type="dxa"/>
                  <w:noWrap w:val="0"/>
                  <w:vAlign w:val="center"/>
                </w:tcPr>
                <w:p w14:paraId="18FB6AAF">
                  <w:pPr>
                    <w:pStyle w:val="40"/>
                    <w:bidi w:val="0"/>
                    <w:jc w:val="both"/>
                    <w:rPr>
                      <w:rFonts w:hint="default"/>
                      <w:lang w:val="en-US" w:eastAsia="zh-CN"/>
                    </w:rPr>
                  </w:pPr>
                  <w:r>
                    <w:rPr>
                      <w:rFonts w:hint="eastAsia"/>
                      <w:lang w:val="en-US" w:eastAsia="zh-CN"/>
                    </w:rPr>
                    <w:t>符合</w:t>
                  </w:r>
                </w:p>
              </w:tc>
            </w:tr>
            <w:tr w14:paraId="6BE3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3" w:type="dxa"/>
                  <w:noWrap w:val="0"/>
                  <w:vAlign w:val="center"/>
                </w:tcPr>
                <w:p w14:paraId="233C404B">
                  <w:pPr>
                    <w:pStyle w:val="40"/>
                    <w:bidi w:val="0"/>
                    <w:jc w:val="both"/>
                    <w:rPr>
                      <w:rFonts w:hint="default"/>
                      <w:lang w:val="en-US" w:eastAsia="zh-CN"/>
                    </w:rPr>
                  </w:pPr>
                  <w:r>
                    <w:rPr>
                      <w:rFonts w:hint="default"/>
                      <w:lang w:val="en-US" w:eastAsia="zh-CN"/>
                    </w:rPr>
                    <w:t>加强固体废物处置。加强固体废物源头减量和资源化利用，最大限度减少填埋量。持续开展固体废物非法转移和倾倒排查整治，推动开展塑料行业专项清理，持续推进废塑料加工利用行业整治，加强废塑料回收、利用、处置等环节的环境监管，降低污染风险。加强工业固体废物堆存场所环境整治。持续推进工业固体废物综合利用和环境整治，不断提高大宗工业固体废物资源化利用水平</w:t>
                  </w:r>
                  <w:r>
                    <w:rPr>
                      <w:rFonts w:hint="eastAsia"/>
                      <w:lang w:val="en-US" w:eastAsia="zh-CN"/>
                    </w:rPr>
                    <w:t>。</w:t>
                  </w:r>
                </w:p>
              </w:tc>
              <w:tc>
                <w:tcPr>
                  <w:tcW w:w="2770" w:type="dxa"/>
                  <w:noWrap w:val="0"/>
                  <w:vAlign w:val="center"/>
                </w:tcPr>
                <w:p w14:paraId="08E9A0C3">
                  <w:pPr>
                    <w:pStyle w:val="40"/>
                    <w:bidi w:val="0"/>
                    <w:jc w:val="both"/>
                    <w:rPr>
                      <w:rFonts w:hint="default"/>
                      <w:lang w:val="en-US" w:eastAsia="zh-CN"/>
                    </w:rPr>
                  </w:pPr>
                  <w:r>
                    <w:rPr>
                      <w:rFonts w:hint="eastAsia"/>
                      <w:lang w:val="en-US" w:eastAsia="zh-CN"/>
                    </w:rPr>
                    <w:t>生活垃圾分类收集，定期清运；除尘灰和沉淀池沉渣回用于生产，废钢筋收集外售，废包装袋、边角料及不合格产品收集后外售综合利用，废布袋定期由设备厂家进行回收处理；废润滑油、废润滑油桶等危险废物贮存于危废贮存点内，定期交由有资质的单位进行处理。</w:t>
                  </w:r>
                </w:p>
              </w:tc>
              <w:tc>
                <w:tcPr>
                  <w:tcW w:w="715" w:type="dxa"/>
                  <w:noWrap w:val="0"/>
                  <w:vAlign w:val="center"/>
                </w:tcPr>
                <w:p w14:paraId="6DAD7F75">
                  <w:pPr>
                    <w:pStyle w:val="40"/>
                    <w:bidi w:val="0"/>
                    <w:jc w:val="both"/>
                    <w:rPr>
                      <w:rFonts w:hint="default"/>
                      <w:lang w:val="en-US" w:eastAsia="zh-CN"/>
                    </w:rPr>
                  </w:pPr>
                  <w:r>
                    <w:rPr>
                      <w:rFonts w:hint="eastAsia"/>
                      <w:lang w:val="en-US" w:eastAsia="zh-CN"/>
                    </w:rPr>
                    <w:t>符合</w:t>
                  </w:r>
                </w:p>
              </w:tc>
            </w:tr>
            <w:tr w14:paraId="3998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3" w:type="dxa"/>
                  <w:noWrap w:val="0"/>
                  <w:vAlign w:val="center"/>
                </w:tcPr>
                <w:p w14:paraId="5BEE6FB7">
                  <w:pPr>
                    <w:pStyle w:val="40"/>
                    <w:bidi w:val="0"/>
                    <w:jc w:val="both"/>
                    <w:rPr>
                      <w:rFonts w:hint="default"/>
                      <w:lang w:val="en-US" w:eastAsia="zh-CN"/>
                    </w:rPr>
                  </w:pPr>
                  <w:r>
                    <w:rPr>
                      <w:rFonts w:hint="default"/>
                      <w:lang w:val="en-US" w:eastAsia="zh-CN"/>
                    </w:rPr>
                    <w:t>严格落实突发环境事件应急预案制度，提升涉危险废物突发环境事件应急处置水平</w:t>
                  </w:r>
                  <w:r>
                    <w:rPr>
                      <w:rFonts w:hint="eastAsia"/>
                      <w:lang w:val="en-US" w:eastAsia="zh-CN"/>
                    </w:rPr>
                    <w:t>。</w:t>
                  </w:r>
                </w:p>
              </w:tc>
              <w:tc>
                <w:tcPr>
                  <w:tcW w:w="2770" w:type="dxa"/>
                  <w:noWrap w:val="0"/>
                  <w:vAlign w:val="center"/>
                </w:tcPr>
                <w:p w14:paraId="7E6CC187">
                  <w:pPr>
                    <w:pStyle w:val="40"/>
                    <w:bidi w:val="0"/>
                    <w:jc w:val="both"/>
                    <w:rPr>
                      <w:rFonts w:hint="default"/>
                      <w:lang w:val="en-US" w:eastAsia="zh-CN"/>
                    </w:rPr>
                  </w:pPr>
                  <w:r>
                    <w:rPr>
                      <w:rFonts w:hint="default"/>
                      <w:lang w:val="en-US" w:eastAsia="zh-CN"/>
                    </w:rPr>
                    <w:t>本</w:t>
                  </w:r>
                  <w:r>
                    <w:rPr>
                      <w:rFonts w:hint="eastAsia"/>
                      <w:lang w:val="en-US" w:eastAsia="zh-CN"/>
                    </w:rPr>
                    <w:t>环评</w:t>
                  </w:r>
                  <w:r>
                    <w:rPr>
                      <w:rFonts w:hint="default"/>
                      <w:lang w:val="en-US" w:eastAsia="zh-CN"/>
                    </w:rPr>
                    <w:t>要求建设单位编制突发环境事件应急预案，并上报生态环境</w:t>
                  </w:r>
                  <w:r>
                    <w:rPr>
                      <w:rFonts w:hint="eastAsia"/>
                      <w:lang w:val="en-US" w:eastAsia="zh-CN"/>
                    </w:rPr>
                    <w:t>主管部门进行</w:t>
                  </w:r>
                  <w:r>
                    <w:rPr>
                      <w:rFonts w:hint="default"/>
                      <w:lang w:val="en-US" w:eastAsia="zh-CN"/>
                    </w:rPr>
                    <w:t>备案，同时配备必要的应急措施和物资，并定期组织应急演练</w:t>
                  </w:r>
                  <w:r>
                    <w:rPr>
                      <w:rFonts w:hint="eastAsia"/>
                      <w:lang w:val="en-US" w:eastAsia="zh-CN"/>
                    </w:rPr>
                    <w:t>。</w:t>
                  </w:r>
                </w:p>
              </w:tc>
              <w:tc>
                <w:tcPr>
                  <w:tcW w:w="715" w:type="dxa"/>
                  <w:noWrap w:val="0"/>
                  <w:vAlign w:val="center"/>
                </w:tcPr>
                <w:p w14:paraId="119105AE">
                  <w:pPr>
                    <w:pStyle w:val="40"/>
                    <w:bidi w:val="0"/>
                    <w:jc w:val="both"/>
                    <w:rPr>
                      <w:rFonts w:hint="default"/>
                      <w:lang w:val="en-US" w:eastAsia="zh-CN"/>
                    </w:rPr>
                  </w:pPr>
                  <w:r>
                    <w:rPr>
                      <w:rFonts w:hint="eastAsia"/>
                      <w:lang w:val="en-US" w:eastAsia="zh-CN"/>
                    </w:rPr>
                    <w:t>符合</w:t>
                  </w:r>
                </w:p>
              </w:tc>
            </w:tr>
          </w:tbl>
          <w:p w14:paraId="5CD700C2">
            <w:pPr>
              <w:pStyle w:val="2"/>
              <w:bidi w:val="0"/>
              <w:rPr>
                <w:rFonts w:hint="eastAsia"/>
                <w:lang w:val="en-US" w:eastAsia="zh-CN"/>
              </w:rPr>
            </w:pPr>
            <w:r>
              <w:rPr>
                <w:rFonts w:hint="eastAsia"/>
                <w:lang w:val="en-US" w:eastAsia="zh-CN"/>
              </w:rPr>
              <w:t>4.环境管理政策分析</w:t>
            </w:r>
          </w:p>
          <w:p w14:paraId="56D7887C">
            <w:pPr>
              <w:pStyle w:val="8"/>
              <w:bidi w:val="0"/>
              <w:rPr>
                <w:rFonts w:hint="eastAsia"/>
                <w:lang w:val="en-US" w:eastAsia="zh-CN"/>
              </w:rPr>
            </w:pPr>
            <w:r>
              <w:rPr>
                <w:rFonts w:hint="eastAsia"/>
                <w:lang w:val="en-US" w:eastAsia="zh-CN"/>
              </w:rPr>
              <w:t>本项目环境管理政策分析见下表。</w:t>
            </w:r>
          </w:p>
          <w:p w14:paraId="1241CAF9">
            <w:pPr>
              <w:pStyle w:val="42"/>
              <w:bidi w:val="0"/>
              <w:rPr>
                <w:rFonts w:hint="default"/>
                <w:highlight w:val="none"/>
                <w:lang w:val="en-US" w:eastAsia="zh-CN"/>
              </w:rPr>
            </w:pPr>
            <w:r>
              <w:rPr>
                <w:rFonts w:hint="eastAsia"/>
                <w:highlight w:val="none"/>
                <w:lang w:val="en-US" w:eastAsia="zh-CN"/>
              </w:rPr>
              <w:t>表1-4    环境管理政策符合性分析</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2389"/>
              <w:gridCol w:w="2424"/>
              <w:gridCol w:w="673"/>
            </w:tblGrid>
            <w:tr w14:paraId="4291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pct"/>
                  <w:noWrap w:val="0"/>
                  <w:vAlign w:val="center"/>
                </w:tcPr>
                <w:p w14:paraId="361459BA">
                  <w:pPr>
                    <w:pStyle w:val="40"/>
                    <w:keepNext w:val="0"/>
                    <w:keepLines w:val="0"/>
                    <w:pageBreakBefore w:val="0"/>
                    <w:widowControl w:val="0"/>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文件</w:t>
                  </w:r>
                </w:p>
              </w:tc>
              <w:tc>
                <w:tcPr>
                  <w:tcW w:w="1680" w:type="pct"/>
                  <w:noWrap w:val="0"/>
                  <w:vAlign w:val="center"/>
                </w:tcPr>
                <w:p w14:paraId="21AB1FC2">
                  <w:pPr>
                    <w:pStyle w:val="40"/>
                    <w:keepNext w:val="0"/>
                    <w:keepLines w:val="0"/>
                    <w:pageBreakBefore w:val="0"/>
                    <w:widowControl w:val="0"/>
                    <w:kinsoku/>
                    <w:wordWrap/>
                    <w:overflowPunct/>
                    <w:topLinePunct w:val="0"/>
                    <w:autoSpaceDE/>
                    <w:autoSpaceDN/>
                    <w:bidi w:val="0"/>
                    <w:adjustRightInd/>
                    <w:snapToGrid/>
                    <w:textAlignment w:val="auto"/>
                    <w:rPr>
                      <w:rFonts w:hint="default"/>
                      <w:highlight w:val="none"/>
                    </w:rPr>
                  </w:pPr>
                  <w:r>
                    <w:rPr>
                      <w:rFonts w:hint="default"/>
                      <w:highlight w:val="none"/>
                    </w:rPr>
                    <w:t>环境管理政策要求</w:t>
                  </w:r>
                </w:p>
              </w:tc>
              <w:tc>
                <w:tcPr>
                  <w:tcW w:w="1705" w:type="pct"/>
                  <w:noWrap w:val="0"/>
                  <w:vAlign w:val="center"/>
                </w:tcPr>
                <w:p w14:paraId="62878F34">
                  <w:pPr>
                    <w:pStyle w:val="40"/>
                    <w:keepNext w:val="0"/>
                    <w:keepLines w:val="0"/>
                    <w:pageBreakBefore w:val="0"/>
                    <w:widowControl w:val="0"/>
                    <w:kinsoku/>
                    <w:wordWrap/>
                    <w:overflowPunct/>
                    <w:topLinePunct w:val="0"/>
                    <w:autoSpaceDE/>
                    <w:autoSpaceDN/>
                    <w:bidi w:val="0"/>
                    <w:adjustRightInd/>
                    <w:snapToGrid/>
                    <w:textAlignment w:val="auto"/>
                    <w:rPr>
                      <w:rFonts w:hint="default"/>
                      <w:highlight w:val="none"/>
                      <w:lang w:val="en-US" w:eastAsia="zh-CN"/>
                    </w:rPr>
                  </w:pPr>
                  <w:r>
                    <w:rPr>
                      <w:rFonts w:hint="eastAsia"/>
                      <w:highlight w:val="none"/>
                      <w:lang w:val="en-US" w:eastAsia="zh-CN"/>
                    </w:rPr>
                    <w:t>本项目情况</w:t>
                  </w:r>
                </w:p>
              </w:tc>
              <w:tc>
                <w:tcPr>
                  <w:tcW w:w="473" w:type="pct"/>
                  <w:noWrap w:val="0"/>
                  <w:vAlign w:val="center"/>
                </w:tcPr>
                <w:p w14:paraId="73AF51B9">
                  <w:pPr>
                    <w:pStyle w:val="40"/>
                    <w:keepNext w:val="0"/>
                    <w:keepLines w:val="0"/>
                    <w:pageBreakBefore w:val="0"/>
                    <w:widowControl w:val="0"/>
                    <w:kinsoku/>
                    <w:wordWrap/>
                    <w:overflowPunct/>
                    <w:topLinePunct w:val="0"/>
                    <w:autoSpaceDE/>
                    <w:autoSpaceDN/>
                    <w:bidi w:val="0"/>
                    <w:adjustRightInd/>
                    <w:snapToGrid/>
                    <w:textAlignment w:val="auto"/>
                    <w:rPr>
                      <w:rFonts w:hint="default"/>
                      <w:highlight w:val="none"/>
                      <w:lang w:val="en-US" w:eastAsia="zh-CN"/>
                    </w:rPr>
                  </w:pPr>
                  <w:r>
                    <w:rPr>
                      <w:rFonts w:hint="eastAsia"/>
                      <w:highlight w:val="none"/>
                      <w:lang w:val="en-US" w:eastAsia="zh-CN"/>
                    </w:rPr>
                    <w:t>符合性分析</w:t>
                  </w:r>
                </w:p>
              </w:tc>
            </w:tr>
            <w:tr w14:paraId="63AF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0" w:type="pct"/>
                  <w:noWrap w:val="0"/>
                  <w:vAlign w:val="center"/>
                </w:tcPr>
                <w:p w14:paraId="63555EEF">
                  <w:pPr>
                    <w:pStyle w:val="40"/>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Fonts w:hint="eastAsia"/>
                    </w:rPr>
                    <w:t>《</w:t>
                  </w:r>
                  <w:r>
                    <w:rPr>
                      <w:rFonts w:hint="eastAsia"/>
                      <w:lang w:eastAsia="zh-CN"/>
                    </w:rPr>
                    <w:t>中华人民共和国</w:t>
                  </w:r>
                  <w:r>
                    <w:rPr>
                      <w:rFonts w:hint="eastAsia"/>
                    </w:rPr>
                    <w:t>大气污染防治法》</w:t>
                  </w:r>
                  <w:r>
                    <w:rPr>
                      <w:rFonts w:hint="eastAsia"/>
                      <w:lang w:eastAsia="zh-CN"/>
                    </w:rPr>
                    <w:t>（</w:t>
                  </w:r>
                  <w:r>
                    <w:rPr>
                      <w:rFonts w:hint="eastAsia"/>
                      <w:lang w:val="en-US" w:eastAsia="zh-CN"/>
                    </w:rPr>
                    <w:t>2018-11-13</w:t>
                  </w:r>
                  <w:r>
                    <w:rPr>
                      <w:rFonts w:hint="eastAsia"/>
                      <w:lang w:eastAsia="zh-CN"/>
                    </w:rPr>
                    <w:t>）</w:t>
                  </w:r>
                </w:p>
              </w:tc>
              <w:tc>
                <w:tcPr>
                  <w:tcW w:w="1680" w:type="pct"/>
                  <w:noWrap w:val="0"/>
                  <w:vAlign w:val="center"/>
                </w:tcPr>
                <w:p w14:paraId="4DAD14BC">
                  <w:pPr>
                    <w:pStyle w:val="40"/>
                    <w:keepNext w:val="0"/>
                    <w:keepLines w:val="0"/>
                    <w:pageBreakBefore w:val="0"/>
                    <w:widowControl w:val="0"/>
                    <w:kinsoku/>
                    <w:wordWrap/>
                    <w:overflowPunct/>
                    <w:topLinePunct w:val="0"/>
                    <w:autoSpaceDE/>
                    <w:autoSpaceDN/>
                    <w:bidi w:val="0"/>
                    <w:adjustRightInd/>
                    <w:snapToGrid/>
                    <w:jc w:val="both"/>
                    <w:textAlignment w:val="auto"/>
                    <w:rPr>
                      <w:rFonts w:hint="eastAsia"/>
                      <w:lang w:eastAsia="zh-CN"/>
                    </w:rPr>
                  </w:pPr>
                  <w:r>
                    <w:rPr>
                      <w:rFonts w:hint="eastAsia"/>
                    </w:rPr>
                    <w:t>第七条：企业事业单位和其他生产经营者，应当采取有效措施，防止、减少大气污染，对所造成的损害依法承担责任</w:t>
                  </w:r>
                  <w:r>
                    <w:rPr>
                      <w:rFonts w:hint="eastAsia"/>
                      <w:lang w:eastAsia="zh-CN"/>
                    </w:rPr>
                    <w:t>。</w:t>
                  </w:r>
                </w:p>
              </w:tc>
              <w:tc>
                <w:tcPr>
                  <w:tcW w:w="1705" w:type="pct"/>
                  <w:noWrap w:val="0"/>
                  <w:vAlign w:val="center"/>
                </w:tcPr>
                <w:p w14:paraId="49CC6605">
                  <w:pPr>
                    <w:pStyle w:val="40"/>
                    <w:keepNext w:val="0"/>
                    <w:keepLines w:val="0"/>
                    <w:pageBreakBefore w:val="0"/>
                    <w:widowControl w:val="0"/>
                    <w:kinsoku/>
                    <w:wordWrap/>
                    <w:overflowPunct/>
                    <w:topLinePunct w:val="0"/>
                    <w:autoSpaceDE/>
                    <w:autoSpaceDN/>
                    <w:bidi w:val="0"/>
                    <w:adjustRightInd/>
                    <w:snapToGrid/>
                    <w:jc w:val="both"/>
                    <w:textAlignment w:val="auto"/>
                    <w:rPr>
                      <w:rFonts w:hint="eastAsia"/>
                      <w:lang w:eastAsia="zh-CN"/>
                    </w:rPr>
                  </w:pPr>
                  <w:r>
                    <w:rPr>
                      <w:rFonts w:hint="default"/>
                    </w:rPr>
                    <w:t>本项目生产过程中产生的颗粒物经袋式除尘器处理后经15m高排气筒进行达标排放</w:t>
                  </w:r>
                  <w:r>
                    <w:rPr>
                      <w:rFonts w:hint="eastAsia"/>
                      <w:lang w:eastAsia="zh-CN"/>
                    </w:rPr>
                    <w:t>。</w:t>
                  </w:r>
                </w:p>
              </w:tc>
              <w:tc>
                <w:tcPr>
                  <w:tcW w:w="473" w:type="pct"/>
                  <w:noWrap w:val="0"/>
                  <w:vAlign w:val="center"/>
                </w:tcPr>
                <w:p w14:paraId="64994A84">
                  <w:pPr>
                    <w:pStyle w:val="40"/>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符合</w:t>
                  </w:r>
                </w:p>
              </w:tc>
            </w:tr>
            <w:tr w14:paraId="226D5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0" w:type="pct"/>
                  <w:noWrap w:val="0"/>
                  <w:vAlign w:val="center"/>
                </w:tcPr>
                <w:p w14:paraId="647DE3D3">
                  <w:pPr>
                    <w:pStyle w:val="40"/>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Fonts w:hint="eastAsia"/>
                    </w:rPr>
                    <w:t>《中华人民共和国噪声污染防治法》</w:t>
                  </w:r>
                  <w:r>
                    <w:rPr>
                      <w:rFonts w:hint="eastAsia"/>
                      <w:lang w:eastAsia="zh-CN"/>
                    </w:rPr>
                    <w:t>（</w:t>
                  </w:r>
                  <w:r>
                    <w:rPr>
                      <w:rFonts w:hint="eastAsia"/>
                      <w:lang w:val="en-US" w:eastAsia="zh-CN"/>
                    </w:rPr>
                    <w:t>2021-12-25</w:t>
                  </w:r>
                  <w:r>
                    <w:rPr>
                      <w:rFonts w:hint="eastAsia"/>
                      <w:lang w:eastAsia="zh-CN"/>
                    </w:rPr>
                    <w:t>）</w:t>
                  </w:r>
                </w:p>
              </w:tc>
              <w:tc>
                <w:tcPr>
                  <w:tcW w:w="1680" w:type="pct"/>
                  <w:noWrap w:val="0"/>
                  <w:vAlign w:val="center"/>
                </w:tcPr>
                <w:p w14:paraId="381EE351">
                  <w:pPr>
                    <w:pStyle w:val="40"/>
                    <w:keepNext w:val="0"/>
                    <w:keepLines w:val="0"/>
                    <w:pageBreakBefore w:val="0"/>
                    <w:widowControl w:val="0"/>
                    <w:kinsoku/>
                    <w:wordWrap/>
                    <w:overflowPunct/>
                    <w:topLinePunct w:val="0"/>
                    <w:autoSpaceDE/>
                    <w:autoSpaceDN/>
                    <w:bidi w:val="0"/>
                    <w:adjustRightInd/>
                    <w:snapToGrid/>
                    <w:jc w:val="both"/>
                    <w:textAlignment w:val="auto"/>
                    <w:rPr>
                      <w:rFonts w:hint="default"/>
                    </w:rPr>
                  </w:pPr>
                  <w:r>
                    <w:rPr>
                      <w:rFonts w:hint="default"/>
                    </w:rPr>
                    <w:t>第三十六条</w:t>
                  </w:r>
                  <w:r>
                    <w:rPr>
                      <w:rFonts w:hint="eastAsia"/>
                      <w:lang w:eastAsia="zh-CN"/>
                    </w:rPr>
                    <w:t>：</w:t>
                  </w:r>
                  <w:r>
                    <w:rPr>
                      <w:rFonts w:hint="default"/>
                    </w:rPr>
                    <w:t>排放工业噪声的企业事业单位和其他生产经营者，应当采取有效措施，减少振动、降低噪声，依法取得排污许可证或者填报排污登记表。</w:t>
                  </w:r>
                </w:p>
              </w:tc>
              <w:tc>
                <w:tcPr>
                  <w:tcW w:w="1705" w:type="pct"/>
                  <w:noWrap w:val="0"/>
                  <w:vAlign w:val="center"/>
                </w:tcPr>
                <w:p w14:paraId="68DF6038">
                  <w:pPr>
                    <w:pStyle w:val="40"/>
                    <w:keepNext w:val="0"/>
                    <w:keepLines w:val="0"/>
                    <w:pageBreakBefore w:val="0"/>
                    <w:widowControl w:val="0"/>
                    <w:kinsoku/>
                    <w:wordWrap/>
                    <w:overflowPunct/>
                    <w:topLinePunct w:val="0"/>
                    <w:autoSpaceDE/>
                    <w:autoSpaceDN/>
                    <w:bidi w:val="0"/>
                    <w:adjustRightInd/>
                    <w:snapToGrid/>
                    <w:jc w:val="both"/>
                    <w:textAlignment w:val="auto"/>
                    <w:rPr>
                      <w:rFonts w:hint="default"/>
                      <w:lang w:val="en-US" w:eastAsia="zh-CN"/>
                    </w:rPr>
                  </w:pPr>
                  <w:r>
                    <w:rPr>
                      <w:rFonts w:hint="default"/>
                    </w:rPr>
                    <w:t>对各类主要噪声源采用低噪声源设备、并采取减振、隔声等措施</w:t>
                  </w:r>
                  <w:r>
                    <w:rPr>
                      <w:rFonts w:hint="eastAsia"/>
                      <w:lang w:eastAsia="zh-CN"/>
                    </w:rPr>
                    <w:t>，</w:t>
                  </w:r>
                  <w:r>
                    <w:rPr>
                      <w:rFonts w:hint="eastAsia"/>
                      <w:lang w:val="en-US" w:eastAsia="zh-CN"/>
                    </w:rPr>
                    <w:t>可正常使用，符合相关标准。企业在生产前完成排污许可证的申请。</w:t>
                  </w:r>
                </w:p>
              </w:tc>
              <w:tc>
                <w:tcPr>
                  <w:tcW w:w="473" w:type="pct"/>
                  <w:noWrap w:val="0"/>
                  <w:vAlign w:val="center"/>
                </w:tcPr>
                <w:p w14:paraId="0127EA4F">
                  <w:pPr>
                    <w:pStyle w:val="40"/>
                    <w:keepNext w:val="0"/>
                    <w:keepLines w:val="0"/>
                    <w:pageBreakBefore w:val="0"/>
                    <w:widowControl w:val="0"/>
                    <w:kinsoku/>
                    <w:wordWrap/>
                    <w:overflowPunct/>
                    <w:topLinePunct w:val="0"/>
                    <w:autoSpaceDE/>
                    <w:autoSpaceDN/>
                    <w:bidi w:val="0"/>
                    <w:adjustRightInd/>
                    <w:snapToGrid/>
                    <w:textAlignment w:val="auto"/>
                    <w:rPr>
                      <w:rFonts w:hint="default"/>
                    </w:rPr>
                  </w:pPr>
                  <w:r>
                    <w:rPr>
                      <w:rFonts w:hint="eastAsia"/>
                      <w:lang w:val="en-US" w:eastAsia="zh-CN"/>
                    </w:rPr>
                    <w:t>符合</w:t>
                  </w:r>
                </w:p>
              </w:tc>
            </w:tr>
            <w:tr w14:paraId="4FB8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pct"/>
                  <w:noWrap w:val="0"/>
                  <w:vAlign w:val="center"/>
                </w:tcPr>
                <w:p w14:paraId="31EC39E3">
                  <w:pPr>
                    <w:pStyle w:val="40"/>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Fonts w:hint="eastAsia"/>
                    </w:rPr>
                    <w:t>《中华人民共和国固体废物污染环境防治法》</w:t>
                  </w:r>
                  <w:r>
                    <w:rPr>
                      <w:rFonts w:hint="eastAsia"/>
                      <w:lang w:eastAsia="zh-CN"/>
                    </w:rPr>
                    <w:t>（</w:t>
                  </w:r>
                  <w:r>
                    <w:rPr>
                      <w:rFonts w:hint="eastAsia"/>
                      <w:lang w:val="en-US" w:eastAsia="zh-CN"/>
                    </w:rPr>
                    <w:t>2020-04-30</w:t>
                  </w:r>
                  <w:r>
                    <w:rPr>
                      <w:rFonts w:hint="eastAsia"/>
                      <w:lang w:eastAsia="zh-CN"/>
                    </w:rPr>
                    <w:t>）</w:t>
                  </w:r>
                </w:p>
              </w:tc>
              <w:tc>
                <w:tcPr>
                  <w:tcW w:w="1680" w:type="pct"/>
                  <w:noWrap w:val="0"/>
                  <w:vAlign w:val="center"/>
                </w:tcPr>
                <w:p w14:paraId="39F6930A">
                  <w:pPr>
                    <w:pStyle w:val="40"/>
                    <w:keepNext w:val="0"/>
                    <w:keepLines w:val="0"/>
                    <w:pageBreakBefore w:val="0"/>
                    <w:widowControl w:val="0"/>
                    <w:kinsoku/>
                    <w:wordWrap/>
                    <w:overflowPunct/>
                    <w:topLinePunct w:val="0"/>
                    <w:autoSpaceDE/>
                    <w:autoSpaceDN/>
                    <w:bidi w:val="0"/>
                    <w:adjustRightInd/>
                    <w:snapToGrid/>
                    <w:jc w:val="both"/>
                    <w:textAlignment w:val="auto"/>
                    <w:rPr>
                      <w:rFonts w:hint="default"/>
                    </w:rPr>
                  </w:pPr>
                  <w:r>
                    <w:rPr>
                      <w:rFonts w:hint="eastAsia"/>
                    </w:rPr>
                    <w:t>第十九条：收集、贮存、运输、利用、处置固体废物的单位和其他生产经营者，应当加强对相关设施、设备和场所的管理和维护，保证其正常运行和使用。</w:t>
                  </w:r>
                </w:p>
              </w:tc>
              <w:tc>
                <w:tcPr>
                  <w:tcW w:w="1705" w:type="pct"/>
                  <w:noWrap w:val="0"/>
                  <w:vAlign w:val="center"/>
                </w:tcPr>
                <w:p w14:paraId="2E88D4A5">
                  <w:pPr>
                    <w:pStyle w:val="40"/>
                    <w:keepNext w:val="0"/>
                    <w:keepLines w:val="0"/>
                    <w:pageBreakBefore w:val="0"/>
                    <w:widowControl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本</w:t>
                  </w:r>
                  <w:r>
                    <w:rPr>
                      <w:rFonts w:hint="eastAsia"/>
                      <w:highlight w:val="none"/>
                      <w:lang w:val="en-US" w:eastAsia="zh-CN"/>
                    </w:rPr>
                    <w:t>项目</w:t>
                  </w:r>
                  <w:r>
                    <w:rPr>
                      <w:rFonts w:hint="eastAsia"/>
                      <w:highlight w:val="none"/>
                    </w:rPr>
                    <w:t>生活垃圾分类收集，定期清运；除尘</w:t>
                  </w:r>
                  <w:r>
                    <w:rPr>
                      <w:rFonts w:hint="eastAsia"/>
                      <w:highlight w:val="none"/>
                      <w:lang w:val="en-US" w:eastAsia="zh-CN"/>
                    </w:rPr>
                    <w:t>灰和沉淀池沉渣</w:t>
                  </w:r>
                  <w:r>
                    <w:rPr>
                      <w:rFonts w:hint="eastAsia"/>
                      <w:highlight w:val="none"/>
                    </w:rPr>
                    <w:t>回用于生产，</w:t>
                  </w:r>
                  <w:r>
                    <w:rPr>
                      <w:rFonts w:hint="eastAsia"/>
                      <w:highlight w:val="none"/>
                      <w:lang w:val="en-US" w:eastAsia="zh-CN"/>
                    </w:rPr>
                    <w:t>废钢筋收集外售，废包装袋、</w:t>
                  </w:r>
                  <w:r>
                    <w:rPr>
                      <w:rFonts w:hint="eastAsia"/>
                      <w:highlight w:val="none"/>
                    </w:rPr>
                    <w:t>边角料及不合格产品</w:t>
                  </w:r>
                  <w:r>
                    <w:rPr>
                      <w:rFonts w:hint="eastAsia"/>
                      <w:highlight w:val="none"/>
                      <w:lang w:val="en-US" w:eastAsia="zh-CN"/>
                    </w:rPr>
                    <w:t>收集后外售综合利用</w:t>
                  </w:r>
                  <w:r>
                    <w:rPr>
                      <w:rFonts w:hint="eastAsia"/>
                      <w:highlight w:val="none"/>
                      <w:lang w:eastAsia="zh-CN"/>
                    </w:rPr>
                    <w:t>，</w:t>
                  </w:r>
                  <w:r>
                    <w:rPr>
                      <w:rFonts w:hint="eastAsia"/>
                      <w:highlight w:val="none"/>
                      <w:lang w:val="en-US" w:eastAsia="zh-CN"/>
                    </w:rPr>
                    <w:t>废布袋定期由设备厂家进行回收处理；废润滑油、废润滑油桶等危险废物贮存于危废贮存点内，定期交由有资质的单位进行处理</w:t>
                  </w:r>
                  <w:r>
                    <w:rPr>
                      <w:rFonts w:hint="eastAsia"/>
                      <w:lang w:eastAsia="zh-CN"/>
                    </w:rPr>
                    <w:t>。</w:t>
                  </w:r>
                </w:p>
              </w:tc>
              <w:tc>
                <w:tcPr>
                  <w:tcW w:w="473" w:type="pct"/>
                  <w:noWrap w:val="0"/>
                  <w:vAlign w:val="center"/>
                </w:tcPr>
                <w:p w14:paraId="27297694">
                  <w:pPr>
                    <w:pStyle w:val="40"/>
                    <w:keepNext w:val="0"/>
                    <w:keepLines w:val="0"/>
                    <w:pageBreakBefore w:val="0"/>
                    <w:widowControl w:val="0"/>
                    <w:kinsoku/>
                    <w:wordWrap/>
                    <w:overflowPunct/>
                    <w:topLinePunct w:val="0"/>
                    <w:autoSpaceDE/>
                    <w:autoSpaceDN/>
                    <w:bidi w:val="0"/>
                    <w:adjustRightInd/>
                    <w:snapToGrid/>
                    <w:textAlignment w:val="auto"/>
                    <w:rPr>
                      <w:rFonts w:hint="default"/>
                    </w:rPr>
                  </w:pPr>
                  <w:r>
                    <w:rPr>
                      <w:rFonts w:hint="eastAsia"/>
                      <w:lang w:val="en-US" w:eastAsia="zh-CN"/>
                    </w:rPr>
                    <w:t>符合</w:t>
                  </w:r>
                </w:p>
              </w:tc>
            </w:tr>
            <w:tr w14:paraId="78807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pct"/>
                  <w:noWrap w:val="0"/>
                  <w:vAlign w:val="center"/>
                </w:tcPr>
                <w:p w14:paraId="0A51065F">
                  <w:pPr>
                    <w:pStyle w:val="40"/>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Fonts w:hint="eastAsia"/>
                    </w:rPr>
                    <w:t>《中华人民共和国水污染防治法》</w:t>
                  </w:r>
                  <w:r>
                    <w:rPr>
                      <w:rFonts w:hint="eastAsia"/>
                      <w:lang w:eastAsia="zh-CN"/>
                    </w:rPr>
                    <w:t>（</w:t>
                  </w:r>
                  <w:r>
                    <w:rPr>
                      <w:rFonts w:hint="eastAsia"/>
                      <w:lang w:val="en-US" w:eastAsia="zh-CN"/>
                    </w:rPr>
                    <w:t>2018-01-01</w:t>
                  </w:r>
                  <w:r>
                    <w:rPr>
                      <w:rFonts w:hint="eastAsia"/>
                      <w:lang w:eastAsia="zh-CN"/>
                    </w:rPr>
                    <w:t>）</w:t>
                  </w:r>
                </w:p>
              </w:tc>
              <w:tc>
                <w:tcPr>
                  <w:tcW w:w="1680" w:type="pct"/>
                  <w:noWrap w:val="0"/>
                  <w:vAlign w:val="center"/>
                </w:tcPr>
                <w:p w14:paraId="196A1A6F">
                  <w:pPr>
                    <w:pStyle w:val="40"/>
                    <w:keepNext w:val="0"/>
                    <w:keepLines w:val="0"/>
                    <w:pageBreakBefore w:val="0"/>
                    <w:widowControl w:val="0"/>
                    <w:kinsoku/>
                    <w:wordWrap/>
                    <w:overflowPunct/>
                    <w:topLinePunct w:val="0"/>
                    <w:autoSpaceDE/>
                    <w:autoSpaceDN/>
                    <w:bidi w:val="0"/>
                    <w:adjustRightInd/>
                    <w:snapToGrid/>
                    <w:jc w:val="both"/>
                    <w:textAlignment w:val="auto"/>
                    <w:rPr>
                      <w:rFonts w:hint="default"/>
                    </w:rPr>
                  </w:pPr>
                  <w:r>
                    <w:rPr>
                      <w:rFonts w:hint="eastAsia"/>
                    </w:rPr>
                    <w:t>第五十条</w:t>
                  </w:r>
                  <w:r>
                    <w:rPr>
                      <w:rFonts w:hint="eastAsia"/>
                      <w:lang w:eastAsia="zh-CN"/>
                    </w:rPr>
                    <w:t>：</w:t>
                  </w:r>
                  <w:r>
                    <w:rPr>
                      <w:rFonts w:hint="eastAsia"/>
                    </w:rPr>
                    <w:t>向城镇污水集中处理设施排放水污染物，应当符合国家或者地方规定的水污染物排放标准。</w:t>
                  </w:r>
                </w:p>
              </w:tc>
              <w:tc>
                <w:tcPr>
                  <w:tcW w:w="1705" w:type="pct"/>
                  <w:noWrap w:val="0"/>
                  <w:vAlign w:val="center"/>
                </w:tcPr>
                <w:p w14:paraId="390A7055">
                  <w:pPr>
                    <w:pStyle w:val="40"/>
                    <w:keepNext w:val="0"/>
                    <w:keepLines w:val="0"/>
                    <w:pageBreakBefore w:val="0"/>
                    <w:widowControl w:val="0"/>
                    <w:kinsoku/>
                    <w:wordWrap/>
                    <w:overflowPunct/>
                    <w:topLinePunct w:val="0"/>
                    <w:autoSpaceDE/>
                    <w:autoSpaceDN/>
                    <w:bidi w:val="0"/>
                    <w:adjustRightInd/>
                    <w:snapToGrid/>
                    <w:jc w:val="both"/>
                    <w:textAlignment w:val="auto"/>
                    <w:rPr>
                      <w:rFonts w:hint="default"/>
                      <w:lang w:val="en-US" w:eastAsia="zh-CN"/>
                    </w:rPr>
                  </w:pPr>
                  <w:r>
                    <w:rPr>
                      <w:rFonts w:hint="eastAsia"/>
                      <w:lang w:val="en-US" w:eastAsia="zh-CN"/>
                    </w:rPr>
                    <w:t>本项目生产废水循环使用或者回用于生产，不外排；生活污水经化粪池处理后拉运至若羌县城镇污水处理厂进行集中处理。</w:t>
                  </w:r>
                </w:p>
              </w:tc>
              <w:tc>
                <w:tcPr>
                  <w:tcW w:w="473" w:type="pct"/>
                  <w:noWrap w:val="0"/>
                  <w:vAlign w:val="center"/>
                </w:tcPr>
                <w:p w14:paraId="0EA9A231">
                  <w:pPr>
                    <w:pStyle w:val="40"/>
                    <w:keepNext w:val="0"/>
                    <w:keepLines w:val="0"/>
                    <w:pageBreakBefore w:val="0"/>
                    <w:widowControl w:val="0"/>
                    <w:kinsoku/>
                    <w:wordWrap/>
                    <w:overflowPunct/>
                    <w:topLinePunct w:val="0"/>
                    <w:autoSpaceDE/>
                    <w:autoSpaceDN/>
                    <w:bidi w:val="0"/>
                    <w:adjustRightInd/>
                    <w:snapToGrid/>
                    <w:textAlignment w:val="auto"/>
                    <w:rPr>
                      <w:rFonts w:hint="default"/>
                    </w:rPr>
                  </w:pPr>
                  <w:r>
                    <w:rPr>
                      <w:rFonts w:hint="eastAsia"/>
                      <w:lang w:val="en-US" w:eastAsia="zh-CN"/>
                    </w:rPr>
                    <w:t>符合</w:t>
                  </w:r>
                </w:p>
              </w:tc>
            </w:tr>
            <w:tr w14:paraId="55C9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pct"/>
                  <w:noWrap w:val="0"/>
                  <w:vAlign w:val="center"/>
                </w:tcPr>
                <w:p w14:paraId="1C023E04">
                  <w:pPr>
                    <w:pStyle w:val="40"/>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《新疆维吾尔自治区2025年</w:t>
                  </w:r>
                </w:p>
                <w:p w14:paraId="6BCACC9F">
                  <w:pPr>
                    <w:pStyle w:val="40"/>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空气质量持续改善行动实施方案》</w:t>
                  </w:r>
                </w:p>
              </w:tc>
              <w:tc>
                <w:tcPr>
                  <w:tcW w:w="1680" w:type="pct"/>
                  <w:noWrap w:val="0"/>
                  <w:vAlign w:val="center"/>
                </w:tcPr>
                <w:p w14:paraId="238F93F8">
                  <w:pPr>
                    <w:pStyle w:val="40"/>
                    <w:keepNext w:val="0"/>
                    <w:keepLines w:val="0"/>
                    <w:pageBreakBefore w:val="0"/>
                    <w:widowControl w:val="0"/>
                    <w:kinsoku/>
                    <w:wordWrap/>
                    <w:overflowPunct/>
                    <w:topLinePunct w:val="0"/>
                    <w:autoSpaceDE/>
                    <w:autoSpaceDN/>
                    <w:bidi w:val="0"/>
                    <w:adjustRightInd/>
                    <w:snapToGrid/>
                    <w:jc w:val="both"/>
                    <w:textAlignment w:val="auto"/>
                    <w:rPr>
                      <w:rFonts w:hint="eastAsia"/>
                      <w:lang w:eastAsia="zh-CN"/>
                    </w:rPr>
                  </w:pPr>
                  <w:r>
                    <w:rPr>
                      <w:rFonts w:hint="eastAsia"/>
                      <w:lang w:eastAsia="zh-CN"/>
                    </w:rPr>
                    <w:t>（一）坚决遏制高耗能、高排放、低水平项目盲目上马。（</w:t>
                  </w:r>
                  <w:r>
                    <w:rPr>
                      <w:rFonts w:hint="eastAsia"/>
                      <w:lang w:val="en-US" w:eastAsia="zh-CN"/>
                    </w:rPr>
                    <w:t>二</w:t>
                  </w:r>
                  <w:r>
                    <w:rPr>
                      <w:rFonts w:hint="eastAsia"/>
                      <w:lang w:eastAsia="zh-CN"/>
                    </w:rPr>
                    <w:t>）持续开展重点行业污染深度治理。高质量推进钢铁、水泥、焦化等行业超低排放改造，到2025年底，全区钢铁行业80%的产能完成超低排放改造，联防联控区水泥、焦化行业基本完成超低排放改造。</w:t>
                  </w:r>
                </w:p>
              </w:tc>
              <w:tc>
                <w:tcPr>
                  <w:tcW w:w="1705" w:type="pct"/>
                  <w:noWrap w:val="0"/>
                  <w:vAlign w:val="center"/>
                </w:tcPr>
                <w:p w14:paraId="5B056688">
                  <w:pPr>
                    <w:pStyle w:val="40"/>
                    <w:keepNext w:val="0"/>
                    <w:keepLines w:val="0"/>
                    <w:pageBreakBefore w:val="0"/>
                    <w:widowControl w:val="0"/>
                    <w:kinsoku/>
                    <w:wordWrap/>
                    <w:overflowPunct/>
                    <w:topLinePunct w:val="0"/>
                    <w:autoSpaceDE/>
                    <w:autoSpaceDN/>
                    <w:bidi w:val="0"/>
                    <w:adjustRightInd/>
                    <w:snapToGrid/>
                    <w:jc w:val="both"/>
                    <w:textAlignment w:val="auto"/>
                    <w:rPr>
                      <w:rFonts w:hint="default"/>
                      <w:lang w:val="en-US"/>
                    </w:rPr>
                  </w:pPr>
                  <w:r>
                    <w:rPr>
                      <w:rFonts w:hint="eastAsia"/>
                      <w:lang w:val="en-US" w:eastAsia="zh-CN"/>
                    </w:rPr>
                    <w:t>本项目为水泥制品制造，不属于高耗能、高排放、低水平项目。</w:t>
                  </w:r>
                </w:p>
              </w:tc>
              <w:tc>
                <w:tcPr>
                  <w:tcW w:w="473" w:type="pct"/>
                  <w:noWrap w:val="0"/>
                  <w:vAlign w:val="center"/>
                </w:tcPr>
                <w:p w14:paraId="46F8F029">
                  <w:pPr>
                    <w:pStyle w:val="40"/>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符合</w:t>
                  </w:r>
                </w:p>
              </w:tc>
            </w:tr>
            <w:tr w14:paraId="49EF3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pct"/>
                  <w:noWrap w:val="0"/>
                  <w:vAlign w:val="center"/>
                </w:tcPr>
                <w:p w14:paraId="02222832">
                  <w:pPr>
                    <w:pStyle w:val="40"/>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Fonts w:hint="eastAsia"/>
                    </w:rPr>
                    <w:t>《巴音郭楞蒙古自治州大气污染防治</w:t>
                  </w:r>
                  <w:r>
                    <w:rPr>
                      <w:rFonts w:hint="eastAsia"/>
                      <w:lang w:val="en-US" w:eastAsia="zh-CN"/>
                    </w:rPr>
                    <w:t>办</w:t>
                  </w:r>
                  <w:r>
                    <w:rPr>
                      <w:rFonts w:hint="eastAsia"/>
                    </w:rPr>
                    <w:t>法》</w:t>
                  </w:r>
                  <w:r>
                    <w:rPr>
                      <w:rFonts w:hint="eastAsia"/>
                      <w:lang w:eastAsia="zh-CN"/>
                    </w:rPr>
                    <w:t>（</w:t>
                  </w:r>
                  <w:r>
                    <w:rPr>
                      <w:rFonts w:hint="eastAsia"/>
                      <w:lang w:val="en-US" w:eastAsia="zh-CN"/>
                    </w:rPr>
                    <w:t>2019年10月1日起施行</w:t>
                  </w:r>
                  <w:r>
                    <w:rPr>
                      <w:rFonts w:hint="eastAsia"/>
                      <w:lang w:eastAsia="zh-CN"/>
                    </w:rPr>
                    <w:t>）</w:t>
                  </w:r>
                </w:p>
              </w:tc>
              <w:tc>
                <w:tcPr>
                  <w:tcW w:w="1680" w:type="pct"/>
                  <w:noWrap w:val="0"/>
                  <w:vAlign w:val="center"/>
                </w:tcPr>
                <w:p w14:paraId="576D84A1">
                  <w:pPr>
                    <w:pStyle w:val="40"/>
                    <w:keepNext w:val="0"/>
                    <w:keepLines w:val="0"/>
                    <w:pageBreakBefore w:val="0"/>
                    <w:widowControl w:val="0"/>
                    <w:kinsoku/>
                    <w:wordWrap/>
                    <w:overflowPunct/>
                    <w:topLinePunct w:val="0"/>
                    <w:autoSpaceDE/>
                    <w:autoSpaceDN/>
                    <w:bidi w:val="0"/>
                    <w:adjustRightInd/>
                    <w:snapToGrid/>
                    <w:jc w:val="both"/>
                    <w:textAlignment w:val="auto"/>
                    <w:rPr>
                      <w:rFonts w:hint="default"/>
                    </w:rPr>
                  </w:pPr>
                  <w:r>
                    <w:rPr>
                      <w:rFonts w:hint="eastAsia"/>
                    </w:rPr>
                    <w:t>第十八条</w:t>
                  </w:r>
                  <w:r>
                    <w:rPr>
                      <w:rFonts w:hint="eastAsia"/>
                      <w:lang w:eastAsia="zh-CN"/>
                    </w:rPr>
                    <w:t>：</w:t>
                  </w:r>
                  <w:r>
                    <w:rPr>
                      <w:rFonts w:hint="eastAsia"/>
                    </w:rPr>
                    <w:t>堆放易产生扬尘污染物料的堆场以及预拌混凝土和预拌砂浆等生产企业应当符合下列要求：</w:t>
                  </w:r>
                </w:p>
                <w:p w14:paraId="4053D68B">
                  <w:pPr>
                    <w:pStyle w:val="40"/>
                    <w:keepNext w:val="0"/>
                    <w:keepLines w:val="0"/>
                    <w:pageBreakBefore w:val="0"/>
                    <w:widowControl w:val="0"/>
                    <w:kinsoku/>
                    <w:wordWrap/>
                    <w:overflowPunct/>
                    <w:topLinePunct w:val="0"/>
                    <w:autoSpaceDE/>
                    <w:autoSpaceDN/>
                    <w:bidi w:val="0"/>
                    <w:adjustRightInd/>
                    <w:snapToGrid/>
                    <w:jc w:val="both"/>
                    <w:textAlignment w:val="auto"/>
                    <w:rPr>
                      <w:rFonts w:hint="default"/>
                    </w:rPr>
                  </w:pPr>
                  <w:r>
                    <w:rPr>
                      <w:rFonts w:hint="eastAsia"/>
                      <w:lang w:eastAsia="zh-CN"/>
                    </w:rPr>
                    <w:t>（</w:t>
                  </w:r>
                  <w:r>
                    <w:rPr>
                      <w:rFonts w:hint="default"/>
                    </w:rPr>
                    <w:t>一</w:t>
                  </w:r>
                  <w:r>
                    <w:rPr>
                      <w:rFonts w:hint="eastAsia"/>
                      <w:lang w:eastAsia="zh-CN"/>
                    </w:rPr>
                    <w:t>）</w:t>
                  </w:r>
                  <w:r>
                    <w:rPr>
                      <w:rFonts w:hint="default"/>
                    </w:rPr>
                    <w:t>采用围挡或者其他封闭仓储设施</w:t>
                  </w:r>
                  <w:r>
                    <w:rPr>
                      <w:rFonts w:hint="eastAsia"/>
                    </w:rPr>
                    <w:t>，</w:t>
                  </w:r>
                  <w:r>
                    <w:rPr>
                      <w:rFonts w:hint="default"/>
                    </w:rPr>
                    <w:t>配备喷淋或者其他抑尘设备</w:t>
                  </w:r>
                  <w:r>
                    <w:rPr>
                      <w:rFonts w:hint="eastAsia"/>
                    </w:rPr>
                    <w:t>；</w:t>
                  </w:r>
                  <w:r>
                    <w:rPr>
                      <w:rFonts w:hint="eastAsia"/>
                      <w:lang w:eastAsia="zh-CN"/>
                    </w:rPr>
                    <w:t>（</w:t>
                  </w:r>
                  <w:r>
                    <w:rPr>
                      <w:rFonts w:hint="default"/>
                    </w:rPr>
                    <w:t>二</w:t>
                  </w:r>
                  <w:r>
                    <w:rPr>
                      <w:rFonts w:hint="eastAsia"/>
                      <w:lang w:eastAsia="zh-CN"/>
                    </w:rPr>
                    <w:t>）</w:t>
                  </w:r>
                  <w:r>
                    <w:rPr>
                      <w:rFonts w:hint="default"/>
                    </w:rPr>
                    <w:t>生产用原料需要频繁装卸作业的</w:t>
                  </w:r>
                  <w:r>
                    <w:rPr>
                      <w:rFonts w:hint="eastAsia"/>
                    </w:rPr>
                    <w:t>，</w:t>
                  </w:r>
                  <w:r>
                    <w:rPr>
                      <w:rFonts w:hint="default"/>
                    </w:rPr>
                    <w:t>在密闭车间进行</w:t>
                  </w:r>
                  <w:r>
                    <w:rPr>
                      <w:rFonts w:hint="eastAsia"/>
                    </w:rPr>
                    <w:t>，</w:t>
                  </w:r>
                  <w:r>
                    <w:rPr>
                      <w:rFonts w:hint="default"/>
                    </w:rPr>
                    <w:t>堆场露天装卸作业的</w:t>
                  </w:r>
                  <w:r>
                    <w:rPr>
                      <w:rFonts w:hint="eastAsia"/>
                    </w:rPr>
                    <w:t>，</w:t>
                  </w:r>
                  <w:r>
                    <w:rPr>
                      <w:rFonts w:hint="default"/>
                    </w:rPr>
                    <w:t>采取洒水等抑尘措施</w:t>
                  </w:r>
                  <w:r>
                    <w:rPr>
                      <w:rFonts w:hint="eastAsia"/>
                    </w:rPr>
                    <w:t>；</w:t>
                  </w:r>
                  <w:r>
                    <w:rPr>
                      <w:rFonts w:hint="eastAsia"/>
                      <w:lang w:eastAsia="zh-CN"/>
                    </w:rPr>
                    <w:t>（</w:t>
                  </w:r>
                  <w:r>
                    <w:rPr>
                      <w:rFonts w:hint="default"/>
                    </w:rPr>
                    <w:t>三</w:t>
                  </w:r>
                  <w:r>
                    <w:rPr>
                      <w:rFonts w:hint="eastAsia"/>
                      <w:lang w:eastAsia="zh-CN"/>
                    </w:rPr>
                    <w:t>）</w:t>
                  </w:r>
                  <w:r>
                    <w:rPr>
                      <w:rFonts w:hint="default"/>
                    </w:rPr>
                    <w:t>采用密闭输送设备作业的</w:t>
                  </w:r>
                  <w:r>
                    <w:rPr>
                      <w:rFonts w:hint="eastAsia"/>
                    </w:rPr>
                    <w:t>，</w:t>
                  </w:r>
                  <w:r>
                    <w:rPr>
                      <w:rFonts w:hint="default"/>
                    </w:rPr>
                    <w:t>在装料､卸料处配备吸尘</w:t>
                  </w:r>
                  <w:r>
                    <w:rPr>
                      <w:rFonts w:hint="eastAsia"/>
                    </w:rPr>
                    <w:t>、</w:t>
                  </w:r>
                  <w:r>
                    <w:rPr>
                      <w:rFonts w:hint="default"/>
                    </w:rPr>
                    <w:t>喷淋等防尘设施</w:t>
                  </w:r>
                  <w:r>
                    <w:rPr>
                      <w:rFonts w:hint="eastAsia"/>
                    </w:rPr>
                    <w:t>，</w:t>
                  </w:r>
                  <w:r>
                    <w:rPr>
                      <w:rFonts w:hint="default"/>
                    </w:rPr>
                    <w:t>并保持防尘设施的正常使用。</w:t>
                  </w:r>
                </w:p>
              </w:tc>
              <w:tc>
                <w:tcPr>
                  <w:tcW w:w="1705" w:type="pct"/>
                  <w:noWrap w:val="0"/>
                  <w:vAlign w:val="center"/>
                </w:tcPr>
                <w:p w14:paraId="28B6525B">
                  <w:pPr>
                    <w:pStyle w:val="40"/>
                    <w:keepNext w:val="0"/>
                    <w:keepLines w:val="0"/>
                    <w:pageBreakBefore w:val="0"/>
                    <w:widowControl w:val="0"/>
                    <w:kinsoku/>
                    <w:wordWrap/>
                    <w:overflowPunct/>
                    <w:topLinePunct w:val="0"/>
                    <w:autoSpaceDE/>
                    <w:autoSpaceDN/>
                    <w:bidi w:val="0"/>
                    <w:adjustRightInd/>
                    <w:snapToGrid/>
                    <w:jc w:val="both"/>
                    <w:textAlignment w:val="auto"/>
                    <w:rPr>
                      <w:rFonts w:hint="default"/>
                      <w:lang w:val="en-US" w:eastAsia="zh-CN"/>
                    </w:rPr>
                  </w:pPr>
                  <w:r>
                    <w:rPr>
                      <w:rFonts w:hint="eastAsia"/>
                    </w:rPr>
                    <w:t>本项目</w:t>
                  </w:r>
                  <w:r>
                    <w:rPr>
                      <w:rFonts w:hint="default"/>
                    </w:rPr>
                    <w:t>原料堆放在封闭式物料仓库</w:t>
                  </w:r>
                  <w:r>
                    <w:rPr>
                      <w:rFonts w:hint="eastAsia"/>
                    </w:rPr>
                    <w:t>内</w:t>
                  </w:r>
                  <w:r>
                    <w:rPr>
                      <w:rFonts w:hint="eastAsia"/>
                      <w:lang w:eastAsia="zh-CN"/>
                    </w:rPr>
                    <w:t>，</w:t>
                  </w:r>
                  <w:r>
                    <w:rPr>
                      <w:rFonts w:hint="eastAsia"/>
                      <w:lang w:val="en-US" w:eastAsia="zh-CN"/>
                    </w:rPr>
                    <w:t>水泥、粉煤灰入料仓时产生的粉尘经仓顶脉冲式布袋除尘器处理后无组织排放；</w:t>
                  </w:r>
                  <w:r>
                    <w:rPr>
                      <w:rFonts w:hint="eastAsia"/>
                      <w:lang w:eastAsia="zh-CN"/>
                    </w:rPr>
                    <w:t>生产过程中产生的颗粒物经袋式除尘器处理后经15m高排气筒进行达标排放。</w:t>
                  </w:r>
                  <w:r>
                    <w:rPr>
                      <w:rFonts w:hint="eastAsia"/>
                      <w:lang w:val="en-US" w:eastAsia="zh-CN"/>
                    </w:rPr>
                    <w:t>本项目产生的无组织颗粒物通过加强厂房密闭的措施降低无组织颗粒物的排放。</w:t>
                  </w:r>
                </w:p>
              </w:tc>
              <w:tc>
                <w:tcPr>
                  <w:tcW w:w="473" w:type="pct"/>
                  <w:noWrap w:val="0"/>
                  <w:vAlign w:val="center"/>
                </w:tcPr>
                <w:p w14:paraId="54A158CB">
                  <w:pPr>
                    <w:pStyle w:val="40"/>
                    <w:keepNext w:val="0"/>
                    <w:keepLines w:val="0"/>
                    <w:pageBreakBefore w:val="0"/>
                    <w:widowControl w:val="0"/>
                    <w:kinsoku/>
                    <w:wordWrap/>
                    <w:overflowPunct/>
                    <w:topLinePunct w:val="0"/>
                    <w:autoSpaceDE/>
                    <w:autoSpaceDN/>
                    <w:bidi w:val="0"/>
                    <w:adjustRightInd/>
                    <w:snapToGrid/>
                    <w:textAlignment w:val="auto"/>
                    <w:rPr>
                      <w:rFonts w:hint="default"/>
                    </w:rPr>
                  </w:pPr>
                  <w:r>
                    <w:rPr>
                      <w:rFonts w:hint="eastAsia"/>
                      <w:lang w:val="en-US" w:eastAsia="zh-CN"/>
                    </w:rPr>
                    <w:t>符合</w:t>
                  </w:r>
                </w:p>
              </w:tc>
            </w:tr>
            <w:tr w14:paraId="2B016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pct"/>
                  <w:noWrap w:val="0"/>
                  <w:vAlign w:val="center"/>
                </w:tcPr>
                <w:p w14:paraId="0D3DEAA9">
                  <w:pPr>
                    <w:pStyle w:val="40"/>
                    <w:keepNext w:val="0"/>
                    <w:keepLines w:val="0"/>
                    <w:pageBreakBefore w:val="0"/>
                    <w:widowControl w:val="0"/>
                    <w:kinsoku/>
                    <w:wordWrap/>
                    <w:overflowPunct/>
                    <w:topLinePunct w:val="0"/>
                    <w:autoSpaceDE/>
                    <w:autoSpaceDN/>
                    <w:bidi w:val="0"/>
                    <w:adjustRightInd/>
                    <w:snapToGrid/>
                    <w:textAlignment w:val="auto"/>
                    <w:rPr>
                      <w:rFonts w:hint="eastAsia"/>
                    </w:rPr>
                  </w:pPr>
                  <w:r>
                    <w:rPr>
                      <w:rFonts w:hint="default"/>
                      <w:lang w:val="en-US" w:eastAsia="zh-CN"/>
                    </w:rPr>
                    <w:t>《自治州大气污染防治三年攻坚行动方案</w:t>
                  </w:r>
                  <w:r>
                    <w:rPr>
                      <w:rFonts w:hint="eastAsia"/>
                      <w:lang w:val="en-US" w:eastAsia="zh-CN"/>
                    </w:rPr>
                    <w:t>》（2023-2025年）</w:t>
                  </w:r>
                </w:p>
              </w:tc>
              <w:tc>
                <w:tcPr>
                  <w:tcW w:w="1680" w:type="pct"/>
                  <w:noWrap w:val="0"/>
                  <w:vAlign w:val="center"/>
                </w:tcPr>
                <w:p w14:paraId="5B61C31A">
                  <w:pPr>
                    <w:pStyle w:val="40"/>
                    <w:keepNext w:val="0"/>
                    <w:keepLines w:val="0"/>
                    <w:pageBreakBefore w:val="0"/>
                    <w:widowControl w:val="0"/>
                    <w:kinsoku/>
                    <w:wordWrap/>
                    <w:overflowPunct/>
                    <w:topLinePunct w:val="0"/>
                    <w:autoSpaceDE/>
                    <w:autoSpaceDN/>
                    <w:bidi w:val="0"/>
                    <w:adjustRightInd/>
                    <w:snapToGrid/>
                    <w:jc w:val="both"/>
                    <w:textAlignment w:val="auto"/>
                    <w:rPr>
                      <w:rFonts w:hint="default"/>
                      <w:lang w:val="en-US" w:eastAsia="zh-CN"/>
                    </w:rPr>
                  </w:pPr>
                  <w:r>
                    <w:rPr>
                      <w:rFonts w:hint="eastAsia"/>
                      <w:lang w:val="en-US" w:eastAsia="zh-CN"/>
                    </w:rPr>
                    <w:t>严格项目准入关。坚决遏制高耗能、高排放、低水平项目盲目发展，严把高耗能高排放项目准入关口，依法依规淘汰落后产能和化解过剩产能。严禁新增水泥熟料、平板玻璃等产能。</w:t>
                  </w:r>
                </w:p>
              </w:tc>
              <w:tc>
                <w:tcPr>
                  <w:tcW w:w="1705" w:type="pct"/>
                  <w:noWrap w:val="0"/>
                  <w:vAlign w:val="center"/>
                </w:tcPr>
                <w:p w14:paraId="03DBF4AE">
                  <w:pPr>
                    <w:pStyle w:val="40"/>
                    <w:keepNext w:val="0"/>
                    <w:keepLines w:val="0"/>
                    <w:pageBreakBefore w:val="0"/>
                    <w:widowControl w:val="0"/>
                    <w:kinsoku/>
                    <w:wordWrap/>
                    <w:overflowPunct/>
                    <w:topLinePunct w:val="0"/>
                    <w:autoSpaceDE/>
                    <w:autoSpaceDN/>
                    <w:bidi w:val="0"/>
                    <w:adjustRightInd/>
                    <w:snapToGrid/>
                    <w:jc w:val="both"/>
                    <w:textAlignment w:val="auto"/>
                    <w:rPr>
                      <w:rFonts w:hint="default"/>
                    </w:rPr>
                  </w:pPr>
                  <w:r>
                    <w:rPr>
                      <w:rFonts w:hint="default"/>
                      <w:lang w:val="en-US" w:eastAsia="zh-CN"/>
                    </w:rPr>
                    <w:t>本工程不属于《产业结构调整指导目录（2024年本）》中鼓励类、限制类与淘汰类，为允许类</w:t>
                  </w:r>
                  <w:r>
                    <w:rPr>
                      <w:rFonts w:hint="eastAsia"/>
                      <w:lang w:val="en-US" w:eastAsia="zh-CN"/>
                    </w:rPr>
                    <w:t>；不属于高耗水、高污染、高耗能项目。</w:t>
                  </w:r>
                </w:p>
              </w:tc>
              <w:tc>
                <w:tcPr>
                  <w:tcW w:w="473" w:type="pct"/>
                  <w:noWrap w:val="0"/>
                  <w:vAlign w:val="center"/>
                </w:tcPr>
                <w:p w14:paraId="4787097F">
                  <w:pPr>
                    <w:pStyle w:val="40"/>
                    <w:keepNext w:val="0"/>
                    <w:keepLines w:val="0"/>
                    <w:pageBreakBefore w:val="0"/>
                    <w:widowControl w:val="0"/>
                    <w:kinsoku/>
                    <w:wordWrap/>
                    <w:overflowPunct/>
                    <w:topLinePunct w:val="0"/>
                    <w:autoSpaceDE/>
                    <w:autoSpaceDN/>
                    <w:bidi w:val="0"/>
                    <w:adjustRightInd/>
                    <w:snapToGrid/>
                    <w:textAlignment w:val="auto"/>
                    <w:rPr>
                      <w:rFonts w:hint="default"/>
                    </w:rPr>
                  </w:pPr>
                  <w:r>
                    <w:rPr>
                      <w:rFonts w:hint="eastAsia"/>
                      <w:lang w:val="en-US" w:eastAsia="zh-CN"/>
                    </w:rPr>
                    <w:t>符合</w:t>
                  </w:r>
                </w:p>
              </w:tc>
            </w:tr>
            <w:tr w14:paraId="4CD9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0" w:type="pct"/>
                  <w:noWrap w:val="0"/>
                  <w:vAlign w:val="center"/>
                </w:tcPr>
                <w:p w14:paraId="49FFAF70">
                  <w:pPr>
                    <w:pStyle w:val="40"/>
                    <w:keepNext w:val="0"/>
                    <w:keepLines w:val="0"/>
                    <w:pageBreakBefore w:val="0"/>
                    <w:widowControl w:val="0"/>
                    <w:kinsoku/>
                    <w:wordWrap/>
                    <w:overflowPunct/>
                    <w:topLinePunct w:val="0"/>
                    <w:autoSpaceDE/>
                    <w:autoSpaceDN/>
                    <w:bidi w:val="0"/>
                    <w:adjustRightInd/>
                    <w:snapToGrid/>
                    <w:textAlignment w:val="auto"/>
                    <w:rPr>
                      <w:rFonts w:hint="default"/>
                    </w:rPr>
                  </w:pPr>
                  <w:r>
                    <w:rPr>
                      <w:rFonts w:hint="eastAsia"/>
                      <w:lang w:val="en-US" w:eastAsia="zh-CN"/>
                    </w:rPr>
                    <w:t>《国务院关于印发空气质量持续改善行动计划的通知》（国发</w:t>
                  </w:r>
                  <w:r>
                    <w:rPr>
                      <w:rFonts w:hint="default"/>
                      <w:lang w:val="en-US" w:eastAsia="zh-CN"/>
                    </w:rPr>
                    <w:t>〔2023〕24</w:t>
                  </w:r>
                  <w:r>
                    <w:rPr>
                      <w:rFonts w:hint="eastAsia"/>
                      <w:lang w:val="en-US" w:eastAsia="zh-CN"/>
                    </w:rPr>
                    <w:t>号）</w:t>
                  </w:r>
                </w:p>
              </w:tc>
              <w:tc>
                <w:tcPr>
                  <w:tcW w:w="1680" w:type="pct"/>
                  <w:noWrap w:val="0"/>
                  <w:vAlign w:val="center"/>
                </w:tcPr>
                <w:p w14:paraId="32E636FC">
                  <w:pPr>
                    <w:pStyle w:val="40"/>
                    <w:keepNext w:val="0"/>
                    <w:keepLines w:val="0"/>
                    <w:pageBreakBefore w:val="0"/>
                    <w:widowControl w:val="0"/>
                    <w:kinsoku/>
                    <w:wordWrap/>
                    <w:overflowPunct/>
                    <w:topLinePunct w:val="0"/>
                    <w:autoSpaceDE/>
                    <w:autoSpaceDN/>
                    <w:bidi w:val="0"/>
                    <w:adjustRightInd/>
                    <w:snapToGrid/>
                    <w:jc w:val="both"/>
                    <w:textAlignment w:val="auto"/>
                    <w:rPr>
                      <w:rFonts w:hint="default"/>
                    </w:rPr>
                  </w:pPr>
                  <w:r>
                    <w:rPr>
                      <w:rFonts w:hint="default"/>
                    </w:rPr>
                    <w:t>（四）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1705" w:type="pct"/>
                  <w:noWrap w:val="0"/>
                  <w:vAlign w:val="center"/>
                </w:tcPr>
                <w:p w14:paraId="0490267C">
                  <w:pPr>
                    <w:pStyle w:val="40"/>
                    <w:keepNext w:val="0"/>
                    <w:keepLines w:val="0"/>
                    <w:pageBreakBefore w:val="0"/>
                    <w:widowControl w:val="0"/>
                    <w:kinsoku/>
                    <w:wordWrap/>
                    <w:overflowPunct/>
                    <w:topLinePunct w:val="0"/>
                    <w:autoSpaceDE/>
                    <w:autoSpaceDN/>
                    <w:bidi w:val="0"/>
                    <w:adjustRightInd/>
                    <w:snapToGrid/>
                    <w:jc w:val="both"/>
                    <w:textAlignment w:val="auto"/>
                    <w:rPr>
                      <w:rFonts w:hint="default"/>
                    </w:rPr>
                  </w:pPr>
                  <w:r>
                    <w:rPr>
                      <w:rFonts w:hint="default"/>
                    </w:rPr>
                    <w:t>本项目</w:t>
                  </w:r>
                  <w:r>
                    <w:rPr>
                      <w:rFonts w:hint="eastAsia"/>
                      <w:lang w:val="en-US" w:eastAsia="zh-CN"/>
                    </w:rPr>
                    <w:t>为水泥制品制造，不属于高耗能、高排放、低水平项目</w:t>
                  </w:r>
                  <w:r>
                    <w:rPr>
                      <w:rFonts w:hint="default"/>
                    </w:rPr>
                    <w:t>。</w:t>
                  </w:r>
                </w:p>
              </w:tc>
              <w:tc>
                <w:tcPr>
                  <w:tcW w:w="473" w:type="pct"/>
                  <w:noWrap w:val="0"/>
                  <w:vAlign w:val="center"/>
                </w:tcPr>
                <w:p w14:paraId="2EBE901F">
                  <w:pPr>
                    <w:pStyle w:val="40"/>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符合</w:t>
                  </w:r>
                </w:p>
              </w:tc>
            </w:tr>
            <w:tr w14:paraId="7B7E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0" w:type="pct"/>
                  <w:noWrap w:val="0"/>
                  <w:vAlign w:val="center"/>
                </w:tcPr>
                <w:p w14:paraId="46649B5E">
                  <w:pPr>
                    <w:pStyle w:val="40"/>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《工业料堆场扬尘整治规范》（DB65∕T4061-2017）</w:t>
                  </w:r>
                </w:p>
              </w:tc>
              <w:tc>
                <w:tcPr>
                  <w:tcW w:w="1680" w:type="pct"/>
                  <w:noWrap w:val="0"/>
                  <w:vAlign w:val="center"/>
                </w:tcPr>
                <w:p w14:paraId="03EE44DF">
                  <w:pPr>
                    <w:pStyle w:val="40"/>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对于</w:t>
                  </w:r>
                  <w:r>
                    <w:rPr>
                      <w:rFonts w:hint="default" w:ascii="Times New Roman" w:hAnsi="Times New Roman" w:cs="Times New Roman"/>
                    </w:rPr>
                    <w:t>Ⅰ</w:t>
                  </w:r>
                  <w:r>
                    <w:rPr>
                      <w:rFonts w:hint="default" w:ascii="Times New Roman" w:hAnsi="Times New Roman" w:cs="Times New Roman"/>
                      <w:lang w:val="en-US" w:eastAsia="zh-CN"/>
                    </w:rPr>
                    <w:t>类堆场，至少选取（1）、（2）和（3）三种措施之一。</w:t>
                  </w:r>
                </w:p>
                <w:p w14:paraId="5643E24E">
                  <w:pPr>
                    <w:pStyle w:val="40"/>
                    <w:keepNext w:val="0"/>
                    <w:keepLines w:val="0"/>
                    <w:pageBreakBefore w:val="0"/>
                    <w:widowControl w:val="0"/>
                    <w:kinsoku/>
                    <w:wordWrap/>
                    <w:overflowPunct/>
                    <w:topLinePunct w:val="0"/>
                    <w:autoSpaceDE/>
                    <w:autoSpaceDN/>
                    <w:bidi w:val="0"/>
                    <w:adjustRightInd/>
                    <w:snapToGrid/>
                    <w:jc w:val="both"/>
                    <w:textAlignment w:val="auto"/>
                    <w:rPr>
                      <w:rFonts w:hint="default"/>
                      <w:lang w:val="en-US" w:eastAsia="zh-CN"/>
                    </w:rPr>
                  </w:pPr>
                  <w:r>
                    <w:rPr>
                      <w:rFonts w:hint="default" w:ascii="Times New Roman" w:hAnsi="Times New Roman" w:cs="Times New Roman"/>
                      <w:lang w:val="en-US" w:eastAsia="zh-CN"/>
                    </w:rPr>
                    <w:t>（1）筒仓；（2）圆形料仓；（3）其他全封闭性仓库。</w:t>
                  </w:r>
                </w:p>
              </w:tc>
              <w:tc>
                <w:tcPr>
                  <w:tcW w:w="1705" w:type="pct"/>
                  <w:noWrap w:val="0"/>
                  <w:vAlign w:val="center"/>
                </w:tcPr>
                <w:p w14:paraId="33E43302">
                  <w:pPr>
                    <w:pStyle w:val="40"/>
                    <w:keepNext w:val="0"/>
                    <w:keepLines w:val="0"/>
                    <w:pageBreakBefore w:val="0"/>
                    <w:widowControl w:val="0"/>
                    <w:kinsoku/>
                    <w:wordWrap/>
                    <w:overflowPunct/>
                    <w:topLinePunct w:val="0"/>
                    <w:autoSpaceDE/>
                    <w:autoSpaceDN/>
                    <w:bidi w:val="0"/>
                    <w:adjustRightInd/>
                    <w:snapToGrid/>
                    <w:jc w:val="both"/>
                    <w:textAlignment w:val="auto"/>
                    <w:rPr>
                      <w:rFonts w:hint="default" w:eastAsia="宋体"/>
                      <w:vertAlign w:val="baseline"/>
                      <w:lang w:val="en-US" w:eastAsia="zh-CN"/>
                    </w:rPr>
                  </w:pPr>
                  <w:r>
                    <w:rPr>
                      <w:rFonts w:hint="eastAsia"/>
                      <w:lang w:val="en-US" w:eastAsia="zh-CN"/>
                    </w:rPr>
                    <w:t>本项目原料库房属于小型堆场，所在若羌县年平均风速为2～4m/s。储存原料主要为中砂（粒径0.25～0.5mm）及碎石（粒径5～31.5mm），堆场类别为</w:t>
                  </w:r>
                  <w:r>
                    <w:rPr>
                      <w:rFonts w:hint="default" w:ascii="Times New Roman" w:hAnsi="Times New Roman" w:cs="Times New Roman"/>
                      <w:lang w:val="en-US" w:eastAsia="zh-CN"/>
                    </w:rPr>
                    <w:t>Ⅰ</w:t>
                  </w:r>
                  <w:r>
                    <w:rPr>
                      <w:rFonts w:hint="eastAsia"/>
                      <w:lang w:val="en-US" w:eastAsia="zh-CN"/>
                    </w:rPr>
                    <w:t>类堆场。原料仓库采用全封闭结构，粉尘无组织排放得到有效控制，符合相关要求。</w:t>
                  </w:r>
                </w:p>
              </w:tc>
              <w:tc>
                <w:tcPr>
                  <w:tcW w:w="473" w:type="pct"/>
                  <w:noWrap w:val="0"/>
                  <w:vAlign w:val="center"/>
                </w:tcPr>
                <w:p w14:paraId="020D5BB7">
                  <w:pPr>
                    <w:pStyle w:val="40"/>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符合</w:t>
                  </w:r>
                </w:p>
              </w:tc>
            </w:tr>
          </w:tbl>
          <w:p w14:paraId="313F19B0">
            <w:pPr>
              <w:pStyle w:val="8"/>
              <w:bidi w:val="0"/>
              <w:ind w:left="0" w:leftChars="0" w:firstLine="0" w:firstLineChars="0"/>
              <w:rPr>
                <w:rFonts w:hint="default"/>
              </w:rPr>
            </w:pPr>
          </w:p>
        </w:tc>
      </w:tr>
    </w:tbl>
    <w:p w14:paraId="2ADC33D1">
      <w:pPr>
        <w:spacing w:line="360" w:lineRule="auto"/>
        <w:outlineLvl w:val="0"/>
        <w:rPr>
          <w:rFonts w:eastAsia="黑体"/>
          <w:sz w:val="30"/>
        </w:rPr>
        <w:sectPr>
          <w:headerReference r:id="rId6" w:type="default"/>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1859C795">
      <w:pPr>
        <w:pStyle w:val="18"/>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8326"/>
      </w:tblGrid>
      <w:tr w14:paraId="77ACA5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80" w:hRule="atLeast"/>
          <w:jc w:val="center"/>
        </w:trPr>
        <w:tc>
          <w:tcPr>
            <w:tcW w:w="823" w:type="dxa"/>
            <w:noWrap w:val="0"/>
            <w:vAlign w:val="center"/>
          </w:tcPr>
          <w:p w14:paraId="5CB8410A">
            <w:pPr>
              <w:pStyle w:val="18"/>
              <w:keepLines w:val="0"/>
              <w:pageBreakBefore w:val="0"/>
              <w:kinsoku/>
              <w:wordWrap/>
              <w:topLinePunct w:val="0"/>
              <w:autoSpaceDE/>
              <w:autoSpaceDN/>
              <w:bidi w:val="0"/>
              <w:adjustRightInd w:val="0"/>
              <w:snapToGrid w:val="0"/>
              <w:spacing w:before="0" w:beforeAutospacing="0" w:after="0" w:afterAutospacing="0"/>
              <w:jc w:val="center"/>
              <w:textAlignment w:val="auto"/>
              <w:rPr>
                <w:rFonts w:cs="宋体"/>
                <w:sz w:val="21"/>
                <w:szCs w:val="21"/>
              </w:rPr>
            </w:pPr>
            <w:r>
              <w:rPr>
                <w:rFonts w:hint="eastAsia" w:cs="宋体"/>
                <w:sz w:val="21"/>
                <w:szCs w:val="21"/>
              </w:rPr>
              <w:t>建设内容</w:t>
            </w:r>
          </w:p>
        </w:tc>
        <w:tc>
          <w:tcPr>
            <w:tcW w:w="8161" w:type="dxa"/>
            <w:noWrap w:val="0"/>
            <w:vAlign w:val="top"/>
          </w:tcPr>
          <w:p w14:paraId="6F3284FB">
            <w:pPr>
              <w:pStyle w:val="2"/>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1.项目背景</w:t>
            </w:r>
          </w:p>
          <w:p w14:paraId="53672D8B">
            <w:pPr>
              <w:pStyle w:val="8"/>
              <w:keepNext w:val="0"/>
              <w:keepLines w:val="0"/>
              <w:pageBreakBefore w:val="0"/>
              <w:widowControl/>
              <w:kinsoku/>
              <w:wordWrap w:val="0"/>
              <w:overflowPunct/>
              <w:topLinePunct w:val="0"/>
              <w:autoSpaceDE/>
              <w:autoSpaceDN/>
              <w:bidi w:val="0"/>
              <w:adjustRightInd/>
              <w:snapToGrid w:val="0"/>
              <w:spacing w:beforeAutospacing="0" w:afterAutospacing="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新疆羌河新型建材科技有限公司节能装配式建筑及建筑新型材料生产项目原厂址位于若羌县火车站西侧3.3km处，中心地理坐标为：东经88°12′36.622″，38°59′53.151″，项目用地</w:t>
            </w:r>
            <w:r>
              <w:rPr>
                <w:rFonts w:hint="eastAsia" w:ascii="Times New Roman" w:hAnsi="Times New Roman" w:cs="Times New Roman"/>
                <w:lang w:val="en-US" w:eastAsia="zh-CN"/>
              </w:rPr>
              <w:t>性质</w:t>
            </w:r>
            <w:r>
              <w:rPr>
                <w:rFonts w:hint="default" w:ascii="Times New Roman" w:hAnsi="Times New Roman" w:cs="Times New Roman"/>
                <w:lang w:val="en-US" w:eastAsia="zh-CN"/>
              </w:rPr>
              <w:t>为临时用地，</w:t>
            </w:r>
            <w:r>
              <w:rPr>
                <w:rFonts w:hint="eastAsia" w:ascii="Times New Roman" w:hAnsi="Times New Roman" w:cs="Times New Roman"/>
                <w:lang w:val="en-US" w:eastAsia="zh-CN"/>
              </w:rPr>
              <w:t>使用期限至</w:t>
            </w:r>
            <w:r>
              <w:rPr>
                <w:rFonts w:hint="default" w:ascii="Times New Roman" w:hAnsi="Times New Roman" w:cs="Times New Roman"/>
                <w:lang w:val="en-US" w:eastAsia="zh-CN"/>
              </w:rPr>
              <w:t>2026年6月15日</w:t>
            </w:r>
            <w:r>
              <w:rPr>
                <w:rFonts w:hint="eastAsia" w:ascii="Times New Roman" w:hAnsi="Times New Roman" w:cs="Times New Roman"/>
                <w:lang w:val="en-US" w:eastAsia="zh-CN"/>
              </w:rPr>
              <w:t>。</w:t>
            </w:r>
            <w:r>
              <w:rPr>
                <w:rFonts w:hint="default" w:ascii="Times New Roman" w:hAnsi="Times New Roman" w:cs="Times New Roman"/>
                <w:lang w:val="en-US" w:eastAsia="zh-CN"/>
              </w:rPr>
              <w:t>由于原址临时</w:t>
            </w:r>
            <w:r>
              <w:rPr>
                <w:rFonts w:hint="eastAsia" w:ascii="Times New Roman" w:hAnsi="Times New Roman" w:cs="Times New Roman"/>
                <w:lang w:val="en-US" w:eastAsia="zh-CN"/>
              </w:rPr>
              <w:t>用地</w:t>
            </w:r>
            <w:r>
              <w:rPr>
                <w:rFonts w:hint="default" w:ascii="Times New Roman" w:hAnsi="Times New Roman" w:cs="Times New Roman"/>
                <w:lang w:val="en-US" w:eastAsia="zh-CN"/>
              </w:rPr>
              <w:t>即将到期，现将项目搬迁至新址</w:t>
            </w:r>
            <w:r>
              <w:rPr>
                <w:rFonts w:hint="eastAsia" w:ascii="Times New Roman" w:hAnsi="Times New Roman" w:cs="Times New Roman"/>
                <w:lang w:val="en-US" w:eastAsia="zh-CN"/>
              </w:rPr>
              <w:t>：</w:t>
            </w:r>
            <w:r>
              <w:rPr>
                <w:rFonts w:hint="default" w:ascii="Times New Roman" w:hAnsi="Times New Roman" w:cs="Times New Roman"/>
                <w:lang w:val="en-US" w:eastAsia="zh-CN"/>
              </w:rPr>
              <w:t>若羌县城东，315国道以北，中心地理坐标为：东经88°14′27.733″，北纬：</w:t>
            </w:r>
            <w:r>
              <w:rPr>
                <w:rFonts w:hint="eastAsia" w:ascii="Times New Roman" w:hAnsi="Times New Roman" w:cs="Times New Roman"/>
                <w:lang w:val="en-US" w:eastAsia="zh-CN"/>
              </w:rPr>
              <w:t>3</w:t>
            </w:r>
            <w:r>
              <w:rPr>
                <w:rFonts w:hint="default" w:ascii="Times New Roman" w:hAnsi="Times New Roman" w:cs="Times New Roman"/>
                <w:lang w:val="en-US" w:eastAsia="zh-CN"/>
              </w:rPr>
              <w:t>9°0′58.199″。</w:t>
            </w:r>
          </w:p>
          <w:p w14:paraId="28E1E44C">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项目拟建设年产800套装配式建筑房屋生产线5条、年产5万立方米现代化加气块生产线2条、年产1000万块预制水泥砖生产线2条、年产3000套检查井、消防池和钢筋砼组合式化粪池生产线1条，配套自建年产8万方混凝土双线拌和站1座，全面投产后可形成覆盖装配式建筑主体、墙体材料、市政构件、配套混凝土的一站式供给能力，既满足本地及周边工程建设需求，又推动区域建材产业绿色升级、节能增效，具备显著的政策契合度、市场必要性与产业带动性。</w:t>
            </w:r>
          </w:p>
          <w:p w14:paraId="6D649038">
            <w:pPr>
              <w:pStyle w:val="2"/>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2.编制依据</w:t>
            </w:r>
          </w:p>
          <w:p w14:paraId="75567BD5">
            <w:pPr>
              <w:pStyle w:val="8"/>
              <w:keepLines w:val="0"/>
              <w:pageBreakBefore w:val="0"/>
              <w:kinsoku/>
              <w:wordWrap/>
              <w:topLinePunct w:val="0"/>
              <w:autoSpaceDE/>
              <w:autoSpaceDN/>
              <w:bidi w:val="0"/>
              <w:spacing w:beforeAutospacing="0" w:afterAutospacing="0"/>
              <w:textAlignment w:val="auto"/>
              <w:rPr>
                <w:rFonts w:hint="default"/>
              </w:rPr>
            </w:pPr>
            <w:r>
              <w:rPr>
                <w:rFonts w:hint="eastAsia"/>
              </w:rPr>
              <w:t>按照《中华人民共和国环境保护法</w:t>
            </w:r>
            <w:r>
              <w:rPr>
                <w:rFonts w:hint="eastAsia"/>
                <w:lang w:eastAsia="zh-CN"/>
              </w:rPr>
              <w:t>》《</w:t>
            </w:r>
            <w:r>
              <w:rPr>
                <w:rFonts w:hint="eastAsia"/>
              </w:rPr>
              <w:t>建设项目环境保护管理条例》和《建设项目环境影响评价分类管理名录》等有关</w:t>
            </w:r>
            <w:r>
              <w:rPr>
                <w:rFonts w:hint="eastAsia"/>
                <w:lang w:eastAsia="zh-CN"/>
              </w:rPr>
              <w:t>法律法规</w:t>
            </w:r>
            <w:r>
              <w:rPr>
                <w:rFonts w:hint="eastAsia"/>
              </w:rPr>
              <w:t>规定，项目属《名录》所列</w:t>
            </w:r>
            <w:r>
              <w:rPr>
                <w:rFonts w:hint="eastAsia"/>
                <w:lang w:eastAsia="zh-CN"/>
              </w:rPr>
              <w:t>“</w:t>
            </w:r>
            <w:r>
              <w:rPr>
                <w:rFonts w:hint="eastAsia"/>
                <w:lang w:val="en-US" w:eastAsia="zh-CN"/>
              </w:rPr>
              <w:t>二十七、非金属矿物制品业 30-石膏、水泥制品及类似制品制造302-水泥制品制造；砖瓦、石材等建筑材料制造303-粘土砖瓦及建筑砌块制造”</w:t>
            </w:r>
            <w:r>
              <w:rPr>
                <w:rFonts w:hint="eastAsia"/>
              </w:rPr>
              <w:t>，应编制环境影响报告表</w:t>
            </w:r>
            <w:r>
              <w:rPr>
                <w:rFonts w:hint="default"/>
              </w:rPr>
              <w:t>。</w:t>
            </w:r>
            <w:r>
              <w:rPr>
                <w:rFonts w:hint="eastAsia"/>
              </w:rPr>
              <w:t>受建设单位委托，新疆领畅环保科技有限公司承担了本项目的环境影响评价工作。接受委托后，环评单位在现场踏勘和资料收集的基础上，编制完成了</w:t>
            </w:r>
            <w:r>
              <w:rPr>
                <w:rFonts w:hint="eastAsia"/>
                <w:highlight w:val="none"/>
              </w:rPr>
              <w:t>《</w:t>
            </w:r>
            <w:r>
              <w:rPr>
                <w:rFonts w:hint="eastAsia"/>
                <w:highlight w:val="none"/>
                <w:lang w:val="en-US" w:eastAsia="zh-CN"/>
              </w:rPr>
              <w:t>新疆羌河新型建材科技有限公司节能装配式建筑及建筑新型材料生产项目</w:t>
            </w:r>
            <w:r>
              <w:rPr>
                <w:rFonts w:hint="eastAsia"/>
                <w:highlight w:val="none"/>
              </w:rPr>
              <w:t>环境影响报告表》</w:t>
            </w:r>
            <w:r>
              <w:rPr>
                <w:rFonts w:hint="eastAsia"/>
              </w:rPr>
              <w:t>，审批后作为</w:t>
            </w:r>
            <w:r>
              <w:rPr>
                <w:rFonts w:hint="eastAsia"/>
                <w:lang w:val="en-US" w:eastAsia="zh-CN"/>
              </w:rPr>
              <w:t>生态环境主管部门</w:t>
            </w:r>
            <w:r>
              <w:rPr>
                <w:rFonts w:hint="eastAsia"/>
              </w:rPr>
              <w:t>和该企业进行环境管理的依据。</w:t>
            </w:r>
          </w:p>
          <w:p w14:paraId="69A75B33">
            <w:pPr>
              <w:pStyle w:val="2"/>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3.项目位置</w:t>
            </w:r>
          </w:p>
          <w:p w14:paraId="0C163C7C">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本项目位于新疆维吾尔自治区巴音郭楞蒙古自治州若羌县城东，315国道以北，中心地理坐标为</w:t>
            </w:r>
            <w:r>
              <w:rPr>
                <w:rFonts w:hint="default"/>
                <w:lang w:val="en-US" w:eastAsia="zh-CN"/>
              </w:rPr>
              <w:t>E：88°14′27.733″，N：39°0′58.199″</w:t>
            </w:r>
            <w:r>
              <w:rPr>
                <w:rFonts w:hint="eastAsia"/>
                <w:lang w:val="en-US" w:eastAsia="zh-CN"/>
              </w:rPr>
              <w:t>。地理位置见</w:t>
            </w:r>
            <w:r>
              <w:rPr>
                <w:rFonts w:hint="eastAsia"/>
                <w:highlight w:val="none"/>
                <w:lang w:val="en-US" w:eastAsia="zh-CN"/>
              </w:rPr>
              <w:t>附图1</w:t>
            </w:r>
            <w:r>
              <w:rPr>
                <w:rFonts w:hint="eastAsia"/>
                <w:lang w:val="en-US" w:eastAsia="zh-CN"/>
              </w:rPr>
              <w:t>。</w:t>
            </w:r>
          </w:p>
          <w:p w14:paraId="39FACF4C">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项目区西侧为空地，北侧为闲置厂房，东侧为弩支路，南侧为楼兰大道；周边环境关系</w:t>
            </w:r>
            <w:r>
              <w:rPr>
                <w:rFonts w:hint="eastAsia"/>
                <w:highlight w:val="none"/>
                <w:lang w:val="en-US" w:eastAsia="zh-CN"/>
              </w:rPr>
              <w:t>见附图3。</w:t>
            </w:r>
          </w:p>
          <w:p w14:paraId="3909F539">
            <w:pPr>
              <w:pStyle w:val="2"/>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4.建设内容与规模</w:t>
            </w:r>
          </w:p>
          <w:p w14:paraId="137C0736">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项目规划用地面积36713m</w:t>
            </w:r>
            <w:r>
              <w:rPr>
                <w:rFonts w:hint="eastAsia"/>
                <w:vertAlign w:val="superscript"/>
                <w:lang w:val="en-US" w:eastAsia="zh-CN"/>
              </w:rPr>
              <w:t>2</w:t>
            </w:r>
            <w:r>
              <w:rPr>
                <w:rFonts w:hint="eastAsia"/>
                <w:lang w:val="en-US" w:eastAsia="zh-CN"/>
              </w:rPr>
              <w:t>，建筑面积17320.853m</w:t>
            </w:r>
            <w:r>
              <w:rPr>
                <w:rFonts w:hint="eastAsia"/>
                <w:vertAlign w:val="superscript"/>
                <w:lang w:val="en-US" w:eastAsia="zh-CN"/>
              </w:rPr>
              <w:t>2</w:t>
            </w:r>
            <w:r>
              <w:rPr>
                <w:rFonts w:hint="eastAsia"/>
                <w:vertAlign w:val="baseline"/>
                <w:lang w:val="en-US" w:eastAsia="zh-CN"/>
              </w:rPr>
              <w:t>。建设6栋建筑，1-3#钢结构厂房，4-6#装配式建筑；同时</w:t>
            </w:r>
            <w:r>
              <w:rPr>
                <w:rFonts w:hint="eastAsia"/>
                <w:lang w:val="en-US" w:eastAsia="zh-CN"/>
              </w:rPr>
              <w:t>建设年产800套装配式建筑房屋生产线5条、年产5万立方米现代化加气块生产线2条、年产1000万块预制水泥砖生产线2条、年产3000套检查井、消防池和钢筋砼组合式化粪池生产线1条，并配套自建年产8万方混凝土双线拌和站1座。工程组成见表2-1。</w:t>
            </w:r>
          </w:p>
          <w:p w14:paraId="134C97F2">
            <w:pPr>
              <w:pStyle w:val="42"/>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表2-1    项目组成一览表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507"/>
              <w:gridCol w:w="515"/>
              <w:gridCol w:w="1068"/>
              <w:gridCol w:w="910"/>
              <w:gridCol w:w="3724"/>
              <w:gridCol w:w="691"/>
            </w:tblGrid>
            <w:tr w14:paraId="74F1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52" w:type="pct"/>
                  <w:gridSpan w:val="3"/>
                  <w:noWrap w:val="0"/>
                  <w:vAlign w:val="center"/>
                </w:tcPr>
                <w:p w14:paraId="4B4F834C">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工程内容</w:t>
                  </w:r>
                </w:p>
              </w:tc>
              <w:tc>
                <w:tcPr>
                  <w:tcW w:w="3520" w:type="pct"/>
                  <w:gridSpan w:val="3"/>
                  <w:noWrap w:val="0"/>
                  <w:vAlign w:val="center"/>
                </w:tcPr>
                <w:p w14:paraId="776434E7">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项目组成</w:t>
                  </w:r>
                </w:p>
              </w:tc>
              <w:tc>
                <w:tcPr>
                  <w:tcW w:w="426" w:type="pct"/>
                  <w:noWrap w:val="0"/>
                  <w:vAlign w:val="center"/>
                </w:tcPr>
                <w:p w14:paraId="7314FC05">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备注</w:t>
                  </w:r>
                </w:p>
              </w:tc>
            </w:tr>
            <w:tr w14:paraId="4807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21" w:type="pct"/>
                  <w:vMerge w:val="restart"/>
                  <w:noWrap w:val="0"/>
                  <w:vAlign w:val="center"/>
                </w:tcPr>
                <w:p w14:paraId="3D9A0D9D">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主体工程</w:t>
                  </w:r>
                </w:p>
              </w:tc>
              <w:tc>
                <w:tcPr>
                  <w:tcW w:w="630" w:type="pct"/>
                  <w:gridSpan w:val="2"/>
                  <w:noWrap w:val="0"/>
                  <w:vAlign w:val="center"/>
                </w:tcPr>
                <w:p w14:paraId="318CF979">
                  <w:pPr>
                    <w:pStyle w:val="40"/>
                    <w:bidi w:val="0"/>
                    <w:rPr>
                      <w:rFonts w:hint="default"/>
                      <w:lang w:val="en-US" w:eastAsia="zh-CN"/>
                    </w:rPr>
                  </w:pPr>
                  <w:r>
                    <w:rPr>
                      <w:rFonts w:hint="eastAsia"/>
                      <w:lang w:val="en-US" w:eastAsia="zh-CN"/>
                    </w:rPr>
                    <w:t>1</w:t>
                  </w:r>
                  <w:r>
                    <w:rPr>
                      <w:rFonts w:hint="default"/>
                      <w:lang w:val="en-US" w:eastAsia="zh-CN"/>
                    </w:rPr>
                    <w:t>#厂房</w:t>
                  </w:r>
                </w:p>
              </w:tc>
              <w:tc>
                <w:tcPr>
                  <w:tcW w:w="3520" w:type="pct"/>
                  <w:gridSpan w:val="3"/>
                  <w:noWrap w:val="0"/>
                  <w:vAlign w:val="center"/>
                </w:tcPr>
                <w:p w14:paraId="5762A65B">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占地3767.733m</w:t>
                  </w:r>
                  <w:r>
                    <w:rPr>
                      <w:rFonts w:hint="eastAsia"/>
                      <w:highlight w:val="none"/>
                      <w:vertAlign w:val="superscript"/>
                      <w:lang w:val="en-US" w:eastAsia="zh-CN"/>
                    </w:rPr>
                    <w:t>2</w:t>
                  </w:r>
                  <w:r>
                    <w:rPr>
                      <w:rFonts w:hint="eastAsia"/>
                      <w:highlight w:val="none"/>
                      <w:lang w:val="en-US" w:eastAsia="zh-CN"/>
                    </w:rPr>
                    <w:t>，厂房高度约8m，内设年产5万立方米现代化加气块生产线2条。</w:t>
                  </w:r>
                </w:p>
              </w:tc>
              <w:tc>
                <w:tcPr>
                  <w:tcW w:w="426" w:type="pct"/>
                  <w:noWrap w:val="0"/>
                  <w:vAlign w:val="center"/>
                </w:tcPr>
                <w:p w14:paraId="57F2D892">
                  <w:pPr>
                    <w:pStyle w:val="40"/>
                    <w:bidi w:val="0"/>
                    <w:rPr>
                      <w:rFonts w:hint="eastAsia"/>
                      <w:lang w:val="en-US" w:eastAsia="zh-CN"/>
                    </w:rPr>
                  </w:pPr>
                  <w:r>
                    <w:rPr>
                      <w:rFonts w:hint="eastAsia"/>
                      <w:lang w:val="en-US" w:eastAsia="zh-CN"/>
                    </w:rPr>
                    <w:t>新建</w:t>
                  </w:r>
                </w:p>
              </w:tc>
            </w:tr>
            <w:tr w14:paraId="2AFD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21" w:type="pct"/>
                  <w:vMerge w:val="continue"/>
                  <w:noWrap w:val="0"/>
                  <w:vAlign w:val="center"/>
                </w:tcPr>
                <w:p w14:paraId="0B3E44E5">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630" w:type="pct"/>
                  <w:gridSpan w:val="2"/>
                  <w:noWrap w:val="0"/>
                  <w:vAlign w:val="center"/>
                </w:tcPr>
                <w:p w14:paraId="5F31C41D">
                  <w:pPr>
                    <w:pStyle w:val="40"/>
                    <w:bidi w:val="0"/>
                    <w:rPr>
                      <w:rFonts w:hint="eastAsia"/>
                      <w:lang w:val="en-US" w:eastAsia="zh-CN"/>
                    </w:rPr>
                  </w:pPr>
                  <w:r>
                    <w:rPr>
                      <w:rFonts w:hint="eastAsia"/>
                      <w:lang w:val="en-US" w:eastAsia="zh-CN"/>
                    </w:rPr>
                    <w:t>2#厂房</w:t>
                  </w:r>
                </w:p>
              </w:tc>
              <w:tc>
                <w:tcPr>
                  <w:tcW w:w="3520" w:type="pct"/>
                  <w:gridSpan w:val="3"/>
                  <w:noWrap w:val="0"/>
                  <w:vAlign w:val="center"/>
                </w:tcPr>
                <w:p w14:paraId="30594688">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占地4513.6m</w:t>
                  </w:r>
                  <w:r>
                    <w:rPr>
                      <w:rFonts w:hint="eastAsia"/>
                      <w:highlight w:val="none"/>
                      <w:vertAlign w:val="superscript"/>
                      <w:lang w:val="en-US" w:eastAsia="zh-CN"/>
                    </w:rPr>
                    <w:t>2</w:t>
                  </w:r>
                  <w:r>
                    <w:rPr>
                      <w:rFonts w:hint="eastAsia"/>
                      <w:highlight w:val="none"/>
                      <w:lang w:val="en-US" w:eastAsia="zh-CN"/>
                    </w:rPr>
                    <w:t>，厂房高度约8m，内设年产800套装配式建筑房屋生产线5条。</w:t>
                  </w:r>
                </w:p>
              </w:tc>
              <w:tc>
                <w:tcPr>
                  <w:tcW w:w="426" w:type="pct"/>
                  <w:noWrap w:val="0"/>
                  <w:vAlign w:val="center"/>
                </w:tcPr>
                <w:p w14:paraId="53129C83">
                  <w:pPr>
                    <w:pStyle w:val="40"/>
                    <w:bidi w:val="0"/>
                    <w:rPr>
                      <w:rFonts w:hint="eastAsia"/>
                      <w:lang w:val="en-US" w:eastAsia="zh-CN"/>
                    </w:rPr>
                  </w:pPr>
                  <w:r>
                    <w:rPr>
                      <w:rFonts w:hint="eastAsia"/>
                      <w:lang w:val="en-US" w:eastAsia="zh-CN"/>
                    </w:rPr>
                    <w:t>新建</w:t>
                  </w:r>
                </w:p>
              </w:tc>
            </w:tr>
            <w:tr w14:paraId="6D2AE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21" w:type="pct"/>
                  <w:vMerge w:val="continue"/>
                  <w:noWrap w:val="0"/>
                  <w:vAlign w:val="center"/>
                </w:tcPr>
                <w:p w14:paraId="091D8B89">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630" w:type="pct"/>
                  <w:gridSpan w:val="2"/>
                  <w:noWrap w:val="0"/>
                  <w:vAlign w:val="center"/>
                </w:tcPr>
                <w:p w14:paraId="11F60309">
                  <w:pPr>
                    <w:pStyle w:val="40"/>
                    <w:bidi w:val="0"/>
                    <w:rPr>
                      <w:rFonts w:hint="eastAsia"/>
                      <w:lang w:val="en-US" w:eastAsia="zh-CN"/>
                    </w:rPr>
                  </w:pPr>
                  <w:r>
                    <w:rPr>
                      <w:rFonts w:hint="eastAsia"/>
                      <w:lang w:val="en-US" w:eastAsia="zh-CN"/>
                    </w:rPr>
                    <w:t>3</w:t>
                  </w:r>
                  <w:r>
                    <w:rPr>
                      <w:rFonts w:hint="default"/>
                      <w:lang w:val="en-US" w:eastAsia="zh-CN"/>
                    </w:rPr>
                    <w:t>#厂房</w:t>
                  </w:r>
                </w:p>
              </w:tc>
              <w:tc>
                <w:tcPr>
                  <w:tcW w:w="3520" w:type="pct"/>
                  <w:gridSpan w:val="3"/>
                  <w:noWrap w:val="0"/>
                  <w:vAlign w:val="center"/>
                </w:tcPr>
                <w:p w14:paraId="4F38F80A">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占地4513.6m</w:t>
                  </w:r>
                  <w:r>
                    <w:rPr>
                      <w:rFonts w:hint="eastAsia"/>
                      <w:highlight w:val="none"/>
                      <w:vertAlign w:val="superscript"/>
                      <w:lang w:val="en-US" w:eastAsia="zh-CN"/>
                    </w:rPr>
                    <w:t>2</w:t>
                  </w:r>
                  <w:r>
                    <w:rPr>
                      <w:rFonts w:hint="eastAsia"/>
                      <w:highlight w:val="none"/>
                      <w:lang w:val="en-US" w:eastAsia="zh-CN"/>
                    </w:rPr>
                    <w:t>，厂房高度约8m，内设年产1000万块预制水泥砖生产线2条、年产3000套检查井、消防池和钢筋砼组合式化粪池生产线1条、年产8万方混凝土双线拌和站1座。</w:t>
                  </w:r>
                </w:p>
              </w:tc>
              <w:tc>
                <w:tcPr>
                  <w:tcW w:w="426" w:type="pct"/>
                  <w:noWrap w:val="0"/>
                  <w:vAlign w:val="center"/>
                </w:tcPr>
                <w:p w14:paraId="45855D47">
                  <w:pPr>
                    <w:pStyle w:val="40"/>
                    <w:bidi w:val="0"/>
                    <w:rPr>
                      <w:rFonts w:hint="eastAsia"/>
                      <w:lang w:val="en-US" w:eastAsia="zh-CN"/>
                    </w:rPr>
                  </w:pPr>
                  <w:r>
                    <w:rPr>
                      <w:rFonts w:hint="eastAsia"/>
                      <w:lang w:val="en-US" w:eastAsia="zh-CN"/>
                    </w:rPr>
                    <w:t>新建</w:t>
                  </w:r>
                </w:p>
              </w:tc>
            </w:tr>
            <w:tr w14:paraId="0D195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21" w:type="pct"/>
                  <w:vMerge w:val="restart"/>
                  <w:noWrap w:val="0"/>
                  <w:vAlign w:val="center"/>
                </w:tcPr>
                <w:p w14:paraId="083AE246">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储运工程</w:t>
                  </w:r>
                </w:p>
              </w:tc>
              <w:tc>
                <w:tcPr>
                  <w:tcW w:w="630" w:type="pct"/>
                  <w:gridSpan w:val="2"/>
                  <w:shd w:val="clear" w:color="auto" w:fill="auto"/>
                  <w:noWrap w:val="0"/>
                  <w:vAlign w:val="center"/>
                </w:tcPr>
                <w:p w14:paraId="304ED62C">
                  <w:pPr>
                    <w:pStyle w:val="40"/>
                    <w:bidi w:val="0"/>
                    <w:rPr>
                      <w:rFonts w:hint="default" w:ascii="Times New Roman" w:hAnsi="Times New Roman" w:eastAsia="宋体" w:cs="Times New Roman"/>
                      <w:kern w:val="2"/>
                      <w:sz w:val="21"/>
                      <w:szCs w:val="21"/>
                      <w:lang w:val="en-US" w:eastAsia="zh-CN" w:bidi="ar-SA"/>
                    </w:rPr>
                  </w:pPr>
                  <w:r>
                    <w:rPr>
                      <w:rFonts w:hint="eastAsia"/>
                      <w:lang w:val="en-US" w:eastAsia="zh-CN"/>
                    </w:rPr>
                    <w:t>5</w:t>
                  </w:r>
                  <w:r>
                    <w:rPr>
                      <w:rFonts w:hint="default"/>
                      <w:lang w:val="en-US" w:eastAsia="zh-CN"/>
                    </w:rPr>
                    <w:t>#</w:t>
                  </w:r>
                  <w:r>
                    <w:rPr>
                      <w:rFonts w:hint="eastAsia"/>
                      <w:lang w:val="en-US" w:eastAsia="zh-CN"/>
                    </w:rPr>
                    <w:t>成品库房</w:t>
                  </w:r>
                </w:p>
              </w:tc>
              <w:tc>
                <w:tcPr>
                  <w:tcW w:w="3520" w:type="pct"/>
                  <w:gridSpan w:val="3"/>
                  <w:noWrap w:val="0"/>
                  <w:vAlign w:val="center"/>
                </w:tcPr>
                <w:p w14:paraId="7F56B85D">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占地495.04m</w:t>
                  </w:r>
                  <w:r>
                    <w:rPr>
                      <w:rFonts w:hint="eastAsia"/>
                      <w:highlight w:val="none"/>
                      <w:vertAlign w:val="superscript"/>
                      <w:lang w:val="en-US" w:eastAsia="zh-CN"/>
                    </w:rPr>
                    <w:t>2</w:t>
                  </w:r>
                  <w:r>
                    <w:rPr>
                      <w:rFonts w:hint="eastAsia"/>
                      <w:highlight w:val="none"/>
                      <w:lang w:val="en-US" w:eastAsia="zh-CN"/>
                    </w:rPr>
                    <w:t>，存放加气块、预制水泥砖、检查井等预制构件。</w:t>
                  </w:r>
                </w:p>
              </w:tc>
              <w:tc>
                <w:tcPr>
                  <w:tcW w:w="426" w:type="pct"/>
                  <w:noWrap w:val="0"/>
                  <w:vAlign w:val="center"/>
                </w:tcPr>
                <w:p w14:paraId="599C50CB">
                  <w:pPr>
                    <w:pStyle w:val="40"/>
                    <w:bidi w:val="0"/>
                    <w:rPr>
                      <w:rFonts w:hint="default"/>
                      <w:lang w:val="en-US" w:eastAsia="zh-CN"/>
                    </w:rPr>
                  </w:pPr>
                  <w:r>
                    <w:rPr>
                      <w:rFonts w:hint="eastAsia"/>
                      <w:lang w:val="en-US" w:eastAsia="zh-CN"/>
                    </w:rPr>
                    <w:t>新建</w:t>
                  </w:r>
                </w:p>
              </w:tc>
            </w:tr>
            <w:tr w14:paraId="7094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21" w:type="pct"/>
                  <w:vMerge w:val="continue"/>
                  <w:noWrap w:val="0"/>
                  <w:vAlign w:val="center"/>
                </w:tcPr>
                <w:p w14:paraId="14A36AC4">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630" w:type="pct"/>
                  <w:gridSpan w:val="2"/>
                  <w:shd w:val="clear" w:color="auto" w:fill="auto"/>
                  <w:noWrap w:val="0"/>
                  <w:vAlign w:val="center"/>
                </w:tcPr>
                <w:p w14:paraId="061B929A">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6</w:t>
                  </w:r>
                  <w:r>
                    <w:rPr>
                      <w:rFonts w:hint="default"/>
                      <w:lang w:val="en-US" w:eastAsia="zh-CN"/>
                    </w:rPr>
                    <w:t>#</w:t>
                  </w:r>
                  <w:r>
                    <w:rPr>
                      <w:rFonts w:hint="eastAsia"/>
                      <w:lang w:val="en-US" w:eastAsia="zh-CN"/>
                    </w:rPr>
                    <w:t>原料</w:t>
                  </w:r>
                  <w:r>
                    <w:rPr>
                      <w:rFonts w:hint="default"/>
                      <w:lang w:val="en-US" w:eastAsia="zh-CN"/>
                    </w:rPr>
                    <w:t>库房</w:t>
                  </w:r>
                </w:p>
              </w:tc>
              <w:tc>
                <w:tcPr>
                  <w:tcW w:w="3520" w:type="pct"/>
                  <w:gridSpan w:val="3"/>
                  <w:noWrap w:val="0"/>
                  <w:vAlign w:val="center"/>
                </w:tcPr>
                <w:p w14:paraId="1DA5AB10">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占地495.04m</w:t>
                  </w:r>
                  <w:r>
                    <w:rPr>
                      <w:rFonts w:hint="eastAsia"/>
                      <w:highlight w:val="none"/>
                      <w:vertAlign w:val="superscript"/>
                      <w:lang w:val="en-US" w:eastAsia="zh-CN"/>
                    </w:rPr>
                    <w:t>2</w:t>
                  </w:r>
                  <w:r>
                    <w:rPr>
                      <w:rFonts w:hint="eastAsia"/>
                      <w:highlight w:val="none"/>
                      <w:lang w:val="en-US" w:eastAsia="zh-CN"/>
                    </w:rPr>
                    <w:t>，贮存砂子、石子、外加剂等原料，全封闭式厂房。</w:t>
                  </w:r>
                </w:p>
              </w:tc>
              <w:tc>
                <w:tcPr>
                  <w:tcW w:w="426" w:type="pct"/>
                  <w:noWrap w:val="0"/>
                  <w:vAlign w:val="center"/>
                </w:tcPr>
                <w:p w14:paraId="4F534DF8">
                  <w:pPr>
                    <w:pStyle w:val="40"/>
                    <w:bidi w:val="0"/>
                    <w:rPr>
                      <w:rFonts w:hint="eastAsia"/>
                      <w:lang w:val="en-US" w:eastAsia="zh-CN"/>
                    </w:rPr>
                  </w:pPr>
                  <w:r>
                    <w:rPr>
                      <w:rFonts w:hint="eastAsia"/>
                      <w:lang w:val="en-US" w:eastAsia="zh-CN"/>
                    </w:rPr>
                    <w:t>新建</w:t>
                  </w:r>
                </w:p>
              </w:tc>
            </w:tr>
            <w:tr w14:paraId="293D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421" w:type="pct"/>
                  <w:vMerge w:val="continue"/>
                  <w:noWrap w:val="0"/>
                  <w:vAlign w:val="center"/>
                </w:tcPr>
                <w:p w14:paraId="61E248A1">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630" w:type="pct"/>
                  <w:gridSpan w:val="2"/>
                  <w:noWrap w:val="0"/>
                  <w:vAlign w:val="center"/>
                </w:tcPr>
                <w:p w14:paraId="13248E72">
                  <w:pPr>
                    <w:pStyle w:val="40"/>
                    <w:keepLines w:val="0"/>
                    <w:pageBreakBefore w:val="0"/>
                    <w:kinsoku/>
                    <w:wordWrap/>
                    <w:topLinePunct w:val="0"/>
                    <w:autoSpaceDE/>
                    <w:autoSpaceDN/>
                    <w:bidi w:val="0"/>
                    <w:spacing w:beforeAutospacing="0" w:afterAutospacing="0"/>
                    <w:jc w:val="center"/>
                    <w:textAlignment w:val="auto"/>
                    <w:rPr>
                      <w:rFonts w:hint="default"/>
                      <w:highlight w:val="none"/>
                      <w:lang w:val="en-US" w:eastAsia="zh-CN"/>
                    </w:rPr>
                  </w:pPr>
                  <w:r>
                    <w:rPr>
                      <w:rFonts w:hint="eastAsia"/>
                      <w:highlight w:val="none"/>
                      <w:lang w:val="en-US" w:eastAsia="zh-CN"/>
                    </w:rPr>
                    <w:t>水泥筒仓</w:t>
                  </w:r>
                </w:p>
              </w:tc>
              <w:tc>
                <w:tcPr>
                  <w:tcW w:w="3520" w:type="pct"/>
                  <w:gridSpan w:val="3"/>
                  <w:noWrap w:val="0"/>
                  <w:vAlign w:val="center"/>
                </w:tcPr>
                <w:p w14:paraId="5B1CB25D">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设置50t水泥筒仓3个。</w:t>
                  </w:r>
                </w:p>
              </w:tc>
              <w:tc>
                <w:tcPr>
                  <w:tcW w:w="426" w:type="pct"/>
                  <w:noWrap w:val="0"/>
                  <w:vAlign w:val="center"/>
                </w:tcPr>
                <w:p w14:paraId="0C34D6C9">
                  <w:pPr>
                    <w:pStyle w:val="40"/>
                    <w:bidi w:val="0"/>
                    <w:rPr>
                      <w:rFonts w:hint="default"/>
                      <w:lang w:val="en-US" w:eastAsia="zh-CN"/>
                    </w:rPr>
                  </w:pPr>
                  <w:r>
                    <w:rPr>
                      <w:rFonts w:hint="eastAsia"/>
                      <w:lang w:val="en-US" w:eastAsia="zh-CN"/>
                    </w:rPr>
                    <w:t>新建</w:t>
                  </w:r>
                </w:p>
              </w:tc>
            </w:tr>
            <w:tr w14:paraId="5686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421" w:type="pct"/>
                  <w:vMerge w:val="continue"/>
                  <w:noWrap w:val="0"/>
                  <w:vAlign w:val="center"/>
                </w:tcPr>
                <w:p w14:paraId="285F2A53">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630" w:type="pct"/>
                  <w:gridSpan w:val="2"/>
                  <w:noWrap w:val="0"/>
                  <w:vAlign w:val="center"/>
                </w:tcPr>
                <w:p w14:paraId="2A2E948A">
                  <w:pPr>
                    <w:pStyle w:val="40"/>
                    <w:keepLines w:val="0"/>
                    <w:pageBreakBefore w:val="0"/>
                    <w:kinsoku/>
                    <w:wordWrap/>
                    <w:topLinePunct w:val="0"/>
                    <w:autoSpaceDE/>
                    <w:autoSpaceDN/>
                    <w:bidi w:val="0"/>
                    <w:spacing w:beforeAutospacing="0" w:afterAutospacing="0"/>
                    <w:jc w:val="center"/>
                    <w:textAlignment w:val="auto"/>
                    <w:rPr>
                      <w:rFonts w:hint="default"/>
                      <w:highlight w:val="none"/>
                      <w:lang w:val="en-US" w:eastAsia="zh-CN"/>
                    </w:rPr>
                  </w:pPr>
                  <w:r>
                    <w:rPr>
                      <w:rFonts w:hint="eastAsia"/>
                      <w:highlight w:val="none"/>
                      <w:lang w:val="en-US" w:eastAsia="zh-CN"/>
                    </w:rPr>
                    <w:t>粉煤灰筒仓</w:t>
                  </w:r>
                </w:p>
              </w:tc>
              <w:tc>
                <w:tcPr>
                  <w:tcW w:w="3520" w:type="pct"/>
                  <w:gridSpan w:val="3"/>
                  <w:noWrap w:val="0"/>
                  <w:vAlign w:val="center"/>
                </w:tcPr>
                <w:p w14:paraId="385114DA">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设置50t粉煤灰筒仓3个。</w:t>
                  </w:r>
                </w:p>
              </w:tc>
              <w:tc>
                <w:tcPr>
                  <w:tcW w:w="426" w:type="pct"/>
                  <w:noWrap w:val="0"/>
                  <w:vAlign w:val="center"/>
                </w:tcPr>
                <w:p w14:paraId="2C061206">
                  <w:pPr>
                    <w:pStyle w:val="40"/>
                    <w:bidi w:val="0"/>
                    <w:rPr>
                      <w:rFonts w:hint="eastAsia"/>
                      <w:lang w:val="en-US" w:eastAsia="zh-CN"/>
                    </w:rPr>
                  </w:pPr>
                  <w:r>
                    <w:rPr>
                      <w:rFonts w:hint="eastAsia"/>
                      <w:lang w:val="en-US" w:eastAsia="zh-CN"/>
                    </w:rPr>
                    <w:t>新建</w:t>
                  </w:r>
                </w:p>
              </w:tc>
            </w:tr>
            <w:tr w14:paraId="2395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421" w:type="pct"/>
                  <w:vMerge w:val="restart"/>
                  <w:noWrap w:val="0"/>
                  <w:vAlign w:val="center"/>
                </w:tcPr>
                <w:p w14:paraId="2C84D15B">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辅助工程</w:t>
                  </w:r>
                </w:p>
              </w:tc>
              <w:tc>
                <w:tcPr>
                  <w:tcW w:w="630" w:type="pct"/>
                  <w:gridSpan w:val="2"/>
                  <w:noWrap w:val="0"/>
                  <w:vAlign w:val="center"/>
                </w:tcPr>
                <w:p w14:paraId="7FCA6470">
                  <w:pPr>
                    <w:pStyle w:val="40"/>
                    <w:keepLines w:val="0"/>
                    <w:pageBreakBefore w:val="0"/>
                    <w:kinsoku/>
                    <w:wordWrap/>
                    <w:topLinePunct w:val="0"/>
                    <w:autoSpaceDE/>
                    <w:autoSpaceDN/>
                    <w:bidi w:val="0"/>
                    <w:spacing w:beforeAutospacing="0" w:afterAutospacing="0"/>
                    <w:textAlignment w:val="auto"/>
                    <w:rPr>
                      <w:rFonts w:hint="eastAsia" w:eastAsia="宋体"/>
                      <w:highlight w:val="none"/>
                      <w:lang w:val="en-US" w:eastAsia="zh-CN"/>
                    </w:rPr>
                  </w:pPr>
                  <w:r>
                    <w:rPr>
                      <w:rFonts w:hint="eastAsia"/>
                      <w:lang w:val="en-US" w:eastAsia="zh-CN"/>
                    </w:rPr>
                    <w:t>4</w:t>
                  </w:r>
                  <w:r>
                    <w:rPr>
                      <w:rFonts w:hint="default"/>
                      <w:lang w:val="en-US" w:eastAsia="zh-CN"/>
                    </w:rPr>
                    <w:t>#</w:t>
                  </w:r>
                  <w:r>
                    <w:rPr>
                      <w:rFonts w:hint="eastAsia"/>
                      <w:lang w:val="en-US" w:eastAsia="zh-CN"/>
                    </w:rPr>
                    <w:t>办公楼</w:t>
                  </w:r>
                </w:p>
              </w:tc>
              <w:tc>
                <w:tcPr>
                  <w:tcW w:w="3520" w:type="pct"/>
                  <w:gridSpan w:val="3"/>
                  <w:noWrap w:val="0"/>
                  <w:vAlign w:val="center"/>
                </w:tcPr>
                <w:p w14:paraId="4ACD5990">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占地495.04m</w:t>
                  </w:r>
                  <w:r>
                    <w:rPr>
                      <w:rFonts w:hint="eastAsia"/>
                      <w:highlight w:val="none"/>
                      <w:vertAlign w:val="superscript"/>
                      <w:lang w:val="en-US" w:eastAsia="zh-CN"/>
                    </w:rPr>
                    <w:t>2</w:t>
                  </w:r>
                  <w:r>
                    <w:rPr>
                      <w:rFonts w:hint="eastAsia"/>
                      <w:highlight w:val="none"/>
                      <w:lang w:val="en-US" w:eastAsia="zh-CN"/>
                    </w:rPr>
                    <w:t>，作为员工办公生活区。</w:t>
                  </w:r>
                </w:p>
              </w:tc>
              <w:tc>
                <w:tcPr>
                  <w:tcW w:w="426" w:type="pct"/>
                  <w:noWrap w:val="0"/>
                  <w:vAlign w:val="center"/>
                </w:tcPr>
                <w:p w14:paraId="758DE0AA">
                  <w:pPr>
                    <w:pStyle w:val="40"/>
                    <w:bidi w:val="0"/>
                    <w:rPr>
                      <w:rFonts w:hint="eastAsia"/>
                      <w:lang w:val="en-US" w:eastAsia="zh-CN"/>
                    </w:rPr>
                  </w:pPr>
                  <w:r>
                    <w:rPr>
                      <w:rFonts w:hint="eastAsia"/>
                      <w:lang w:val="en-US" w:eastAsia="zh-CN"/>
                    </w:rPr>
                    <w:t>新建</w:t>
                  </w:r>
                </w:p>
              </w:tc>
            </w:tr>
            <w:tr w14:paraId="1309A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421" w:type="pct"/>
                  <w:vMerge w:val="continue"/>
                  <w:noWrap w:val="0"/>
                  <w:vAlign w:val="center"/>
                </w:tcPr>
                <w:p w14:paraId="7A37C4F8">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p>
              </w:tc>
              <w:tc>
                <w:tcPr>
                  <w:tcW w:w="630" w:type="pct"/>
                  <w:gridSpan w:val="2"/>
                  <w:noWrap w:val="0"/>
                  <w:vAlign w:val="center"/>
                </w:tcPr>
                <w:p w14:paraId="01732B1F">
                  <w:pPr>
                    <w:pStyle w:val="40"/>
                    <w:keepLines w:val="0"/>
                    <w:pageBreakBefore w:val="0"/>
                    <w:kinsoku/>
                    <w:wordWrap/>
                    <w:topLinePunct w:val="0"/>
                    <w:autoSpaceDE/>
                    <w:autoSpaceDN/>
                    <w:bidi w:val="0"/>
                    <w:spacing w:beforeAutospacing="0" w:afterAutospacing="0"/>
                    <w:textAlignment w:val="auto"/>
                    <w:rPr>
                      <w:rFonts w:hint="eastAsia" w:eastAsia="宋体"/>
                      <w:highlight w:val="none"/>
                      <w:lang w:val="en-US" w:eastAsia="zh-CN"/>
                    </w:rPr>
                  </w:pPr>
                  <w:r>
                    <w:rPr>
                      <w:rFonts w:hint="eastAsia"/>
                      <w:highlight w:val="none"/>
                      <w:lang w:val="en-US" w:eastAsia="zh-CN"/>
                    </w:rPr>
                    <w:t>化粪池</w:t>
                  </w:r>
                </w:p>
              </w:tc>
              <w:tc>
                <w:tcPr>
                  <w:tcW w:w="3520" w:type="pct"/>
                  <w:gridSpan w:val="3"/>
                  <w:noWrap w:val="0"/>
                  <w:vAlign w:val="center"/>
                </w:tcPr>
                <w:p w14:paraId="30C3A032">
                  <w:pPr>
                    <w:pStyle w:val="40"/>
                    <w:keepLines w:val="0"/>
                    <w:pageBreakBefore w:val="0"/>
                    <w:kinsoku/>
                    <w:wordWrap/>
                    <w:topLinePunct w:val="0"/>
                    <w:autoSpaceDE/>
                    <w:autoSpaceDN/>
                    <w:bidi w:val="0"/>
                    <w:spacing w:beforeAutospacing="0" w:afterAutospacing="0"/>
                    <w:textAlignment w:val="auto"/>
                    <w:rPr>
                      <w:rFonts w:hint="default"/>
                      <w:highlight w:val="none"/>
                      <w:lang w:val="en-US"/>
                    </w:rPr>
                  </w:pPr>
                  <w:r>
                    <w:rPr>
                      <w:rFonts w:hint="eastAsia"/>
                      <w:highlight w:val="none"/>
                      <w:lang w:val="en-US" w:eastAsia="zh-CN"/>
                    </w:rPr>
                    <w:t>防渗化粪池容积为10m</w:t>
                  </w:r>
                  <w:r>
                    <w:rPr>
                      <w:rFonts w:hint="eastAsia"/>
                      <w:highlight w:val="none"/>
                      <w:vertAlign w:val="superscript"/>
                      <w:lang w:val="en-US" w:eastAsia="zh-CN"/>
                    </w:rPr>
                    <w:t>3</w:t>
                  </w:r>
                  <w:r>
                    <w:rPr>
                      <w:rFonts w:hint="eastAsia"/>
                      <w:highlight w:val="none"/>
                      <w:vertAlign w:val="baseline"/>
                      <w:lang w:val="en-US" w:eastAsia="zh-CN"/>
                    </w:rPr>
                    <w:t>。</w:t>
                  </w:r>
                </w:p>
              </w:tc>
              <w:tc>
                <w:tcPr>
                  <w:tcW w:w="426" w:type="pct"/>
                  <w:noWrap w:val="0"/>
                  <w:vAlign w:val="center"/>
                </w:tcPr>
                <w:p w14:paraId="40AC27DA">
                  <w:pPr>
                    <w:pStyle w:val="40"/>
                    <w:bidi w:val="0"/>
                    <w:rPr>
                      <w:rFonts w:hint="default"/>
                      <w:lang w:val="en-US" w:eastAsia="zh-CN"/>
                    </w:rPr>
                  </w:pPr>
                  <w:r>
                    <w:rPr>
                      <w:rFonts w:hint="eastAsia"/>
                      <w:lang w:val="en-US" w:eastAsia="zh-CN"/>
                    </w:rPr>
                    <w:t>新建</w:t>
                  </w:r>
                </w:p>
              </w:tc>
            </w:tr>
            <w:tr w14:paraId="30DD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421" w:type="pct"/>
                  <w:vMerge w:val="continue"/>
                  <w:noWrap w:val="0"/>
                  <w:vAlign w:val="center"/>
                </w:tcPr>
                <w:p w14:paraId="3606091E">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630" w:type="pct"/>
                  <w:gridSpan w:val="2"/>
                  <w:noWrap w:val="0"/>
                  <w:vAlign w:val="center"/>
                </w:tcPr>
                <w:p w14:paraId="09C6D0CC">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沉淀池</w:t>
                  </w:r>
                </w:p>
              </w:tc>
              <w:tc>
                <w:tcPr>
                  <w:tcW w:w="3520" w:type="pct"/>
                  <w:gridSpan w:val="3"/>
                  <w:noWrap w:val="0"/>
                  <w:vAlign w:val="center"/>
                </w:tcPr>
                <w:p w14:paraId="763BB802">
                  <w:pPr>
                    <w:pStyle w:val="40"/>
                    <w:keepLines w:val="0"/>
                    <w:pageBreakBefore w:val="0"/>
                    <w:kinsoku/>
                    <w:wordWrap/>
                    <w:topLinePunct w:val="0"/>
                    <w:autoSpaceDE/>
                    <w:autoSpaceDN/>
                    <w:bidi w:val="0"/>
                    <w:spacing w:beforeAutospacing="0" w:afterAutospacing="0"/>
                    <w:textAlignment w:val="auto"/>
                    <w:rPr>
                      <w:rFonts w:hint="default" w:eastAsia="宋体"/>
                      <w:highlight w:val="none"/>
                      <w:lang w:val="en-US" w:eastAsia="zh-CN"/>
                    </w:rPr>
                  </w:pPr>
                  <w:r>
                    <w:rPr>
                      <w:rFonts w:hint="default" w:eastAsia="宋体"/>
                      <w:highlight w:val="none"/>
                      <w:lang w:val="en-US" w:eastAsia="zh-CN"/>
                    </w:rPr>
                    <w:t>容积为</w:t>
                  </w:r>
                  <w:r>
                    <w:rPr>
                      <w:rFonts w:hint="eastAsia"/>
                      <w:highlight w:val="none"/>
                      <w:lang w:val="en-US" w:eastAsia="zh-CN"/>
                    </w:rPr>
                    <w:t>10</w:t>
                  </w:r>
                  <w:r>
                    <w:rPr>
                      <w:rFonts w:hint="default" w:eastAsia="宋体"/>
                      <w:highlight w:val="none"/>
                      <w:lang w:val="en-US" w:eastAsia="zh-CN"/>
                    </w:rPr>
                    <w:t>m</w:t>
                  </w:r>
                  <w:r>
                    <w:rPr>
                      <w:rFonts w:hint="eastAsia"/>
                      <w:highlight w:val="none"/>
                      <w:vertAlign w:val="superscript"/>
                      <w:lang w:val="en-US" w:eastAsia="zh-CN"/>
                    </w:rPr>
                    <w:t>3</w:t>
                  </w:r>
                </w:p>
              </w:tc>
              <w:tc>
                <w:tcPr>
                  <w:tcW w:w="426" w:type="pct"/>
                  <w:noWrap w:val="0"/>
                  <w:vAlign w:val="center"/>
                </w:tcPr>
                <w:p w14:paraId="2BBF58F0">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新建</w:t>
                  </w:r>
                </w:p>
              </w:tc>
            </w:tr>
            <w:tr w14:paraId="441B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pct"/>
                  <w:vMerge w:val="restart"/>
                  <w:noWrap w:val="0"/>
                  <w:vAlign w:val="center"/>
                </w:tcPr>
                <w:p w14:paraId="5A6DB9E0">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highlight w:val="none"/>
                    </w:rPr>
                    <w:t>公用工程</w:t>
                  </w:r>
                </w:p>
              </w:tc>
              <w:tc>
                <w:tcPr>
                  <w:tcW w:w="630" w:type="pct"/>
                  <w:gridSpan w:val="2"/>
                  <w:noWrap w:val="0"/>
                  <w:vAlign w:val="center"/>
                </w:tcPr>
                <w:p w14:paraId="306BEF41">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highlight w:val="none"/>
                    </w:rPr>
                    <w:t>供水</w:t>
                  </w:r>
                </w:p>
              </w:tc>
              <w:tc>
                <w:tcPr>
                  <w:tcW w:w="3520" w:type="pct"/>
                  <w:gridSpan w:val="3"/>
                  <w:noWrap w:val="0"/>
                  <w:vAlign w:val="center"/>
                </w:tcPr>
                <w:p w14:paraId="61DA7F5A">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市政管网供水</w:t>
                  </w:r>
                </w:p>
              </w:tc>
              <w:tc>
                <w:tcPr>
                  <w:tcW w:w="426" w:type="pct"/>
                  <w:noWrap w:val="0"/>
                  <w:vAlign w:val="center"/>
                </w:tcPr>
                <w:p w14:paraId="63443576">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14:paraId="081E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421" w:type="pct"/>
                  <w:vMerge w:val="continue"/>
                  <w:noWrap w:val="0"/>
                  <w:vAlign w:val="center"/>
                </w:tcPr>
                <w:p w14:paraId="690BD435">
                  <w:pPr>
                    <w:pStyle w:val="40"/>
                    <w:keepLines w:val="0"/>
                    <w:pageBreakBefore w:val="0"/>
                    <w:kinsoku/>
                    <w:wordWrap/>
                    <w:topLinePunct w:val="0"/>
                    <w:autoSpaceDE/>
                    <w:autoSpaceDN/>
                    <w:bidi w:val="0"/>
                    <w:spacing w:beforeAutospacing="0" w:afterAutospacing="0"/>
                    <w:textAlignment w:val="auto"/>
                    <w:rPr>
                      <w:rFonts w:hint="default"/>
                      <w:highlight w:val="none"/>
                    </w:rPr>
                  </w:pPr>
                </w:p>
              </w:tc>
              <w:tc>
                <w:tcPr>
                  <w:tcW w:w="630" w:type="pct"/>
                  <w:gridSpan w:val="2"/>
                  <w:noWrap w:val="0"/>
                  <w:vAlign w:val="center"/>
                </w:tcPr>
                <w:p w14:paraId="22F4838E">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highlight w:val="none"/>
                    </w:rPr>
                    <w:t>排水</w:t>
                  </w:r>
                </w:p>
              </w:tc>
              <w:tc>
                <w:tcPr>
                  <w:tcW w:w="3520" w:type="pct"/>
                  <w:gridSpan w:val="3"/>
                  <w:noWrap w:val="0"/>
                  <w:vAlign w:val="center"/>
                </w:tcPr>
                <w:p w14:paraId="1C03F779">
                  <w:pPr>
                    <w:keepLines w:val="0"/>
                    <w:pageBreakBefore w:val="0"/>
                    <w:kinsoku/>
                    <w:wordWrap/>
                    <w:topLinePunct w:val="0"/>
                    <w:autoSpaceDE/>
                    <w:autoSpaceDN/>
                    <w:bidi w:val="0"/>
                    <w:spacing w:beforeAutospacing="0" w:afterAutospacing="0"/>
                    <w:jc w:val="center"/>
                    <w:textAlignment w:val="auto"/>
                    <w:rPr>
                      <w:rFonts w:hint="default"/>
                      <w:highlight w:val="none"/>
                      <w:lang w:val="en-US" w:eastAsia="zh-CN"/>
                    </w:rPr>
                  </w:pPr>
                  <w:r>
                    <w:rPr>
                      <w:rFonts w:hint="eastAsia"/>
                      <w:lang w:val="en-US" w:eastAsia="zh-CN"/>
                    </w:rPr>
                    <w:t>生产废水回用，生活污水</w:t>
                  </w:r>
                  <w:r>
                    <w:rPr>
                      <w:rFonts w:hint="eastAsia"/>
                      <w:highlight w:val="none"/>
                      <w:lang w:val="en-US" w:eastAsia="zh-CN"/>
                    </w:rPr>
                    <w:t>经化粪池预处理后拉运至若羌县城镇污水处理厂进行集中处理。</w:t>
                  </w:r>
                </w:p>
              </w:tc>
              <w:tc>
                <w:tcPr>
                  <w:tcW w:w="426" w:type="pct"/>
                  <w:noWrap w:val="0"/>
                  <w:vAlign w:val="center"/>
                </w:tcPr>
                <w:p w14:paraId="7B169AFD">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14:paraId="30BB8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pct"/>
                  <w:vMerge w:val="continue"/>
                  <w:noWrap w:val="0"/>
                  <w:vAlign w:val="center"/>
                </w:tcPr>
                <w:p w14:paraId="099D4EAE">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630" w:type="pct"/>
                  <w:gridSpan w:val="2"/>
                  <w:noWrap w:val="0"/>
                  <w:vAlign w:val="center"/>
                </w:tcPr>
                <w:p w14:paraId="55979362">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highlight w:val="none"/>
                    </w:rPr>
                    <w:t>供电</w:t>
                  </w:r>
                </w:p>
              </w:tc>
              <w:tc>
                <w:tcPr>
                  <w:tcW w:w="3520" w:type="pct"/>
                  <w:gridSpan w:val="3"/>
                  <w:noWrap w:val="0"/>
                  <w:vAlign w:val="center"/>
                </w:tcPr>
                <w:p w14:paraId="3023291D">
                  <w:pPr>
                    <w:keepLines w:val="0"/>
                    <w:pageBreakBefore w:val="0"/>
                    <w:kinsoku/>
                    <w:wordWrap/>
                    <w:topLinePunct w:val="0"/>
                    <w:autoSpaceDE/>
                    <w:autoSpaceDN/>
                    <w:bidi w:val="0"/>
                    <w:spacing w:beforeAutospacing="0" w:afterAutospacing="0"/>
                    <w:jc w:val="center"/>
                    <w:textAlignment w:val="auto"/>
                    <w:rPr>
                      <w:rFonts w:hint="default"/>
                      <w:highlight w:val="none"/>
                      <w:lang w:val="en-US" w:eastAsia="zh-CN"/>
                    </w:rPr>
                  </w:pPr>
                  <w:r>
                    <w:rPr>
                      <w:rFonts w:hint="eastAsia"/>
                      <w:highlight w:val="none"/>
                      <w:lang w:val="en-US" w:eastAsia="zh-CN"/>
                    </w:rPr>
                    <w:t>市政供电</w:t>
                  </w:r>
                </w:p>
              </w:tc>
              <w:tc>
                <w:tcPr>
                  <w:tcW w:w="426" w:type="pct"/>
                  <w:noWrap w:val="0"/>
                  <w:vAlign w:val="center"/>
                </w:tcPr>
                <w:p w14:paraId="26B24EAC">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14:paraId="5FCC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pct"/>
                  <w:vMerge w:val="continue"/>
                  <w:noWrap w:val="0"/>
                  <w:vAlign w:val="center"/>
                </w:tcPr>
                <w:p w14:paraId="56C993FA">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630" w:type="pct"/>
                  <w:gridSpan w:val="2"/>
                  <w:noWrap w:val="0"/>
                  <w:vAlign w:val="center"/>
                </w:tcPr>
                <w:p w14:paraId="31A0E29B">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highlight w:val="none"/>
                    </w:rPr>
                    <w:t>供暖</w:t>
                  </w:r>
                </w:p>
              </w:tc>
              <w:tc>
                <w:tcPr>
                  <w:tcW w:w="3520" w:type="pct"/>
                  <w:gridSpan w:val="3"/>
                  <w:noWrap w:val="0"/>
                  <w:vAlign w:val="center"/>
                </w:tcPr>
                <w:p w14:paraId="1809D907">
                  <w:pPr>
                    <w:pStyle w:val="40"/>
                    <w:keepLines w:val="0"/>
                    <w:pageBreakBefore w:val="0"/>
                    <w:kinsoku/>
                    <w:wordWrap/>
                    <w:topLinePunct w:val="0"/>
                    <w:autoSpaceDE/>
                    <w:autoSpaceDN/>
                    <w:bidi w:val="0"/>
                    <w:spacing w:beforeAutospacing="0" w:afterAutospacing="0"/>
                    <w:textAlignment w:val="auto"/>
                    <w:rPr>
                      <w:rFonts w:hint="default" w:eastAsia="宋体"/>
                      <w:highlight w:val="none"/>
                      <w:lang w:val="en-US" w:eastAsia="zh-CN"/>
                    </w:rPr>
                  </w:pPr>
                  <w:r>
                    <w:rPr>
                      <w:rFonts w:hint="eastAsia"/>
                      <w:highlight w:val="none"/>
                      <w:lang w:val="en-US" w:eastAsia="zh-CN"/>
                    </w:rPr>
                    <w:t>采用电供暖</w:t>
                  </w:r>
                </w:p>
              </w:tc>
              <w:tc>
                <w:tcPr>
                  <w:tcW w:w="426" w:type="pct"/>
                  <w:noWrap w:val="0"/>
                  <w:vAlign w:val="center"/>
                </w:tcPr>
                <w:p w14:paraId="6EC90679">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14:paraId="756D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21" w:type="pct"/>
                  <w:vMerge w:val="restart"/>
                  <w:noWrap w:val="0"/>
                  <w:vAlign w:val="center"/>
                </w:tcPr>
                <w:p w14:paraId="45866E35">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highlight w:val="none"/>
                    </w:rPr>
                    <w:t>环保工程</w:t>
                  </w:r>
                </w:p>
              </w:tc>
              <w:tc>
                <w:tcPr>
                  <w:tcW w:w="313" w:type="pct"/>
                  <w:vMerge w:val="restart"/>
                  <w:noWrap w:val="0"/>
                  <w:vAlign w:val="center"/>
                </w:tcPr>
                <w:p w14:paraId="088F80A9">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施工期</w:t>
                  </w:r>
                </w:p>
              </w:tc>
              <w:tc>
                <w:tcPr>
                  <w:tcW w:w="317" w:type="pct"/>
                  <w:noWrap w:val="0"/>
                  <w:vAlign w:val="center"/>
                </w:tcPr>
                <w:p w14:paraId="03555D80">
                  <w:pPr>
                    <w:pStyle w:val="40"/>
                    <w:keepLines w:val="0"/>
                    <w:pageBreakBefore w:val="0"/>
                    <w:kinsoku/>
                    <w:wordWrap/>
                    <w:topLinePunct w:val="0"/>
                    <w:autoSpaceDE/>
                    <w:autoSpaceDN/>
                    <w:bidi w:val="0"/>
                    <w:spacing w:beforeAutospacing="0" w:afterAutospacing="0"/>
                    <w:textAlignment w:val="auto"/>
                    <w:rPr>
                      <w:highlight w:val="none"/>
                    </w:rPr>
                  </w:pPr>
                  <w:r>
                    <w:rPr>
                      <w:highlight w:val="none"/>
                    </w:rPr>
                    <w:t>废气</w:t>
                  </w:r>
                </w:p>
              </w:tc>
              <w:tc>
                <w:tcPr>
                  <w:tcW w:w="659" w:type="pct"/>
                  <w:noWrap w:val="0"/>
                  <w:vAlign w:val="center"/>
                </w:tcPr>
                <w:p w14:paraId="40C5119C">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扬尘</w:t>
                  </w:r>
                </w:p>
              </w:tc>
              <w:tc>
                <w:tcPr>
                  <w:tcW w:w="2861" w:type="pct"/>
                  <w:gridSpan w:val="2"/>
                  <w:noWrap w:val="0"/>
                  <w:vAlign w:val="center"/>
                </w:tcPr>
                <w:p w14:paraId="443736A9">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定期对路面和施工场区洒水、材料运输中要采取遮盖措施。</w:t>
                  </w:r>
                </w:p>
              </w:tc>
              <w:tc>
                <w:tcPr>
                  <w:tcW w:w="426" w:type="pct"/>
                  <w:noWrap w:val="0"/>
                  <w:vAlign w:val="center"/>
                </w:tcPr>
                <w:p w14:paraId="622366B0">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14:paraId="5CAC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21" w:type="pct"/>
                  <w:vMerge w:val="continue"/>
                  <w:noWrap w:val="0"/>
                  <w:vAlign w:val="center"/>
                </w:tcPr>
                <w:p w14:paraId="2CEBB6AF">
                  <w:pPr>
                    <w:pStyle w:val="40"/>
                    <w:keepLines w:val="0"/>
                    <w:pageBreakBefore w:val="0"/>
                    <w:kinsoku/>
                    <w:wordWrap/>
                    <w:topLinePunct w:val="0"/>
                    <w:autoSpaceDE/>
                    <w:autoSpaceDN/>
                    <w:bidi w:val="0"/>
                    <w:spacing w:beforeAutospacing="0" w:afterAutospacing="0"/>
                    <w:textAlignment w:val="auto"/>
                    <w:rPr>
                      <w:highlight w:val="none"/>
                    </w:rPr>
                  </w:pPr>
                </w:p>
              </w:tc>
              <w:tc>
                <w:tcPr>
                  <w:tcW w:w="313" w:type="pct"/>
                  <w:vMerge w:val="continue"/>
                  <w:noWrap w:val="0"/>
                  <w:vAlign w:val="center"/>
                </w:tcPr>
                <w:p w14:paraId="3C6615DB">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317" w:type="pct"/>
                  <w:noWrap w:val="0"/>
                  <w:vAlign w:val="center"/>
                </w:tcPr>
                <w:p w14:paraId="2029EA38">
                  <w:pPr>
                    <w:pStyle w:val="40"/>
                    <w:keepLines w:val="0"/>
                    <w:pageBreakBefore w:val="0"/>
                    <w:kinsoku/>
                    <w:wordWrap/>
                    <w:topLinePunct w:val="0"/>
                    <w:autoSpaceDE/>
                    <w:autoSpaceDN/>
                    <w:bidi w:val="0"/>
                    <w:spacing w:beforeAutospacing="0" w:afterAutospacing="0"/>
                    <w:textAlignment w:val="auto"/>
                    <w:rPr>
                      <w:highlight w:val="none"/>
                    </w:rPr>
                  </w:pPr>
                  <w:r>
                    <w:rPr>
                      <w:highlight w:val="none"/>
                    </w:rPr>
                    <w:t>废水</w:t>
                  </w:r>
                </w:p>
              </w:tc>
              <w:tc>
                <w:tcPr>
                  <w:tcW w:w="659" w:type="pct"/>
                  <w:noWrap w:val="0"/>
                  <w:vAlign w:val="center"/>
                </w:tcPr>
                <w:p w14:paraId="4130101A">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施工废水</w:t>
                  </w:r>
                </w:p>
              </w:tc>
              <w:tc>
                <w:tcPr>
                  <w:tcW w:w="2861" w:type="pct"/>
                  <w:gridSpan w:val="2"/>
                  <w:noWrap w:val="0"/>
                  <w:vAlign w:val="center"/>
                </w:tcPr>
                <w:p w14:paraId="1E489200">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设置临时沉淀池，经过沉淀池沉淀后，用于洒水抑尘。</w:t>
                  </w:r>
                </w:p>
              </w:tc>
              <w:tc>
                <w:tcPr>
                  <w:tcW w:w="426" w:type="pct"/>
                  <w:noWrap w:val="0"/>
                  <w:vAlign w:val="center"/>
                </w:tcPr>
                <w:p w14:paraId="10B7DA92">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14:paraId="5180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21" w:type="pct"/>
                  <w:vMerge w:val="continue"/>
                  <w:noWrap w:val="0"/>
                  <w:vAlign w:val="center"/>
                </w:tcPr>
                <w:p w14:paraId="139AE8EC">
                  <w:pPr>
                    <w:pStyle w:val="40"/>
                    <w:keepLines w:val="0"/>
                    <w:pageBreakBefore w:val="0"/>
                    <w:kinsoku/>
                    <w:wordWrap/>
                    <w:topLinePunct w:val="0"/>
                    <w:autoSpaceDE/>
                    <w:autoSpaceDN/>
                    <w:bidi w:val="0"/>
                    <w:spacing w:beforeAutospacing="0" w:afterAutospacing="0"/>
                    <w:textAlignment w:val="auto"/>
                    <w:rPr>
                      <w:highlight w:val="none"/>
                    </w:rPr>
                  </w:pPr>
                </w:p>
              </w:tc>
              <w:tc>
                <w:tcPr>
                  <w:tcW w:w="313" w:type="pct"/>
                  <w:vMerge w:val="continue"/>
                  <w:noWrap w:val="0"/>
                  <w:vAlign w:val="center"/>
                </w:tcPr>
                <w:p w14:paraId="6DB1D439">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317" w:type="pct"/>
                  <w:noWrap w:val="0"/>
                  <w:vAlign w:val="center"/>
                </w:tcPr>
                <w:p w14:paraId="4CC8F22D">
                  <w:pPr>
                    <w:pStyle w:val="40"/>
                    <w:keepLines w:val="0"/>
                    <w:pageBreakBefore w:val="0"/>
                    <w:kinsoku/>
                    <w:wordWrap/>
                    <w:topLinePunct w:val="0"/>
                    <w:autoSpaceDE/>
                    <w:autoSpaceDN/>
                    <w:bidi w:val="0"/>
                    <w:spacing w:beforeAutospacing="0" w:afterAutospacing="0"/>
                    <w:textAlignment w:val="auto"/>
                    <w:rPr>
                      <w:highlight w:val="none"/>
                    </w:rPr>
                  </w:pPr>
                  <w:r>
                    <w:rPr>
                      <w:highlight w:val="none"/>
                    </w:rPr>
                    <w:t>固废</w:t>
                  </w:r>
                </w:p>
              </w:tc>
              <w:tc>
                <w:tcPr>
                  <w:tcW w:w="659" w:type="pct"/>
                  <w:noWrap w:val="0"/>
                  <w:vAlign w:val="center"/>
                </w:tcPr>
                <w:p w14:paraId="0582AC82">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建筑垃圾</w:t>
                  </w:r>
                </w:p>
              </w:tc>
              <w:tc>
                <w:tcPr>
                  <w:tcW w:w="2861" w:type="pct"/>
                  <w:gridSpan w:val="2"/>
                  <w:noWrap w:val="0"/>
                  <w:vAlign w:val="center"/>
                </w:tcPr>
                <w:p w14:paraId="16DBD5B5">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收集后堆放于指定地点，由施工方统一清运至当地建筑垃圾填埋场统一处理。</w:t>
                  </w:r>
                </w:p>
              </w:tc>
              <w:tc>
                <w:tcPr>
                  <w:tcW w:w="426" w:type="pct"/>
                  <w:noWrap w:val="0"/>
                  <w:vAlign w:val="center"/>
                </w:tcPr>
                <w:p w14:paraId="1CF72E39">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14:paraId="5875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21" w:type="pct"/>
                  <w:vMerge w:val="continue"/>
                  <w:noWrap w:val="0"/>
                  <w:vAlign w:val="center"/>
                </w:tcPr>
                <w:p w14:paraId="5DB4B53F">
                  <w:pPr>
                    <w:pStyle w:val="40"/>
                    <w:keepLines w:val="0"/>
                    <w:pageBreakBefore w:val="0"/>
                    <w:kinsoku/>
                    <w:wordWrap/>
                    <w:topLinePunct w:val="0"/>
                    <w:autoSpaceDE/>
                    <w:autoSpaceDN/>
                    <w:bidi w:val="0"/>
                    <w:spacing w:beforeAutospacing="0" w:afterAutospacing="0"/>
                    <w:textAlignment w:val="auto"/>
                    <w:rPr>
                      <w:highlight w:val="none"/>
                    </w:rPr>
                  </w:pPr>
                </w:p>
              </w:tc>
              <w:tc>
                <w:tcPr>
                  <w:tcW w:w="313" w:type="pct"/>
                  <w:vMerge w:val="continue"/>
                  <w:noWrap w:val="0"/>
                  <w:vAlign w:val="center"/>
                </w:tcPr>
                <w:p w14:paraId="776C25D1">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317" w:type="pct"/>
                  <w:noWrap w:val="0"/>
                  <w:vAlign w:val="center"/>
                </w:tcPr>
                <w:p w14:paraId="1D177439">
                  <w:pPr>
                    <w:pStyle w:val="40"/>
                    <w:keepLines w:val="0"/>
                    <w:pageBreakBefore w:val="0"/>
                    <w:kinsoku/>
                    <w:wordWrap/>
                    <w:topLinePunct w:val="0"/>
                    <w:autoSpaceDE/>
                    <w:autoSpaceDN/>
                    <w:bidi w:val="0"/>
                    <w:spacing w:beforeAutospacing="0" w:afterAutospacing="0"/>
                    <w:textAlignment w:val="auto"/>
                    <w:rPr>
                      <w:highlight w:val="none"/>
                    </w:rPr>
                  </w:pPr>
                  <w:r>
                    <w:rPr>
                      <w:highlight w:val="none"/>
                    </w:rPr>
                    <w:t>噪声</w:t>
                  </w:r>
                </w:p>
              </w:tc>
              <w:tc>
                <w:tcPr>
                  <w:tcW w:w="659" w:type="pct"/>
                  <w:noWrap w:val="0"/>
                  <w:vAlign w:val="center"/>
                </w:tcPr>
                <w:p w14:paraId="3159FE01">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施工机械和运输噪声</w:t>
                  </w:r>
                </w:p>
              </w:tc>
              <w:tc>
                <w:tcPr>
                  <w:tcW w:w="2861" w:type="pct"/>
                  <w:gridSpan w:val="2"/>
                  <w:noWrap w:val="0"/>
                  <w:vAlign w:val="center"/>
                </w:tcPr>
                <w:p w14:paraId="53284403">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采用低噪声设备、定期进行维修和养护。</w:t>
                  </w:r>
                </w:p>
              </w:tc>
              <w:tc>
                <w:tcPr>
                  <w:tcW w:w="426" w:type="pct"/>
                  <w:noWrap w:val="0"/>
                  <w:vAlign w:val="center"/>
                </w:tcPr>
                <w:p w14:paraId="46D88CAB">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14:paraId="2D46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21" w:type="pct"/>
                  <w:vMerge w:val="continue"/>
                  <w:noWrap w:val="0"/>
                  <w:vAlign w:val="center"/>
                </w:tcPr>
                <w:p w14:paraId="6619D611">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313" w:type="pct"/>
                  <w:vMerge w:val="restart"/>
                  <w:noWrap w:val="0"/>
                  <w:vAlign w:val="center"/>
                </w:tcPr>
                <w:p w14:paraId="5284614A">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运营期</w:t>
                  </w:r>
                </w:p>
              </w:tc>
              <w:tc>
                <w:tcPr>
                  <w:tcW w:w="317" w:type="pct"/>
                  <w:vMerge w:val="restart"/>
                  <w:noWrap w:val="0"/>
                  <w:vAlign w:val="center"/>
                </w:tcPr>
                <w:p w14:paraId="4669077A">
                  <w:pPr>
                    <w:pStyle w:val="40"/>
                    <w:keepLines w:val="0"/>
                    <w:pageBreakBefore w:val="0"/>
                    <w:kinsoku/>
                    <w:wordWrap/>
                    <w:topLinePunct w:val="0"/>
                    <w:autoSpaceDE/>
                    <w:autoSpaceDN/>
                    <w:bidi w:val="0"/>
                    <w:spacing w:beforeAutospacing="0" w:afterAutospacing="0"/>
                    <w:textAlignment w:val="auto"/>
                    <w:rPr>
                      <w:highlight w:val="none"/>
                    </w:rPr>
                  </w:pPr>
                  <w:r>
                    <w:rPr>
                      <w:highlight w:val="none"/>
                    </w:rPr>
                    <w:t>废气</w:t>
                  </w:r>
                </w:p>
              </w:tc>
              <w:tc>
                <w:tcPr>
                  <w:tcW w:w="659" w:type="pct"/>
                  <w:vMerge w:val="restart"/>
                  <w:noWrap w:val="0"/>
                  <w:vAlign w:val="center"/>
                </w:tcPr>
                <w:p w14:paraId="16D41AA9">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无组织粉尘</w:t>
                  </w:r>
                </w:p>
              </w:tc>
              <w:tc>
                <w:tcPr>
                  <w:tcW w:w="562" w:type="pct"/>
                  <w:noWrap w:val="0"/>
                  <w:vAlign w:val="center"/>
                </w:tcPr>
                <w:p w14:paraId="178CF76E">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default"/>
                      <w:highlight w:val="none"/>
                      <w:lang w:val="en-US" w:eastAsia="zh-CN"/>
                    </w:rPr>
                    <w:t>原料堆存粉尘</w:t>
                  </w:r>
                </w:p>
              </w:tc>
              <w:tc>
                <w:tcPr>
                  <w:tcW w:w="2298" w:type="pct"/>
                  <w:noWrap w:val="0"/>
                  <w:vAlign w:val="center"/>
                </w:tcPr>
                <w:p w14:paraId="1B2E7EAB">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原料库房全密闭。</w:t>
                  </w:r>
                </w:p>
              </w:tc>
              <w:tc>
                <w:tcPr>
                  <w:tcW w:w="426" w:type="pct"/>
                  <w:noWrap w:val="0"/>
                  <w:vAlign w:val="center"/>
                </w:tcPr>
                <w:p w14:paraId="37DB71CE">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新建</w:t>
                  </w:r>
                </w:p>
              </w:tc>
            </w:tr>
            <w:tr w14:paraId="619B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421" w:type="pct"/>
                  <w:vMerge w:val="continue"/>
                  <w:noWrap w:val="0"/>
                  <w:vAlign w:val="center"/>
                </w:tcPr>
                <w:p w14:paraId="5BBFFAA7">
                  <w:pPr>
                    <w:pStyle w:val="40"/>
                    <w:keepLines w:val="0"/>
                    <w:pageBreakBefore w:val="0"/>
                    <w:kinsoku/>
                    <w:wordWrap/>
                    <w:topLinePunct w:val="0"/>
                    <w:autoSpaceDE/>
                    <w:autoSpaceDN/>
                    <w:bidi w:val="0"/>
                    <w:spacing w:beforeAutospacing="0" w:afterAutospacing="0"/>
                    <w:textAlignment w:val="auto"/>
                    <w:rPr>
                      <w:highlight w:val="none"/>
                    </w:rPr>
                  </w:pPr>
                </w:p>
              </w:tc>
              <w:tc>
                <w:tcPr>
                  <w:tcW w:w="313" w:type="pct"/>
                  <w:vMerge w:val="continue"/>
                  <w:noWrap w:val="0"/>
                  <w:vAlign w:val="center"/>
                </w:tcPr>
                <w:p w14:paraId="2489E5F3">
                  <w:pPr>
                    <w:pStyle w:val="40"/>
                    <w:keepLines w:val="0"/>
                    <w:pageBreakBefore w:val="0"/>
                    <w:kinsoku/>
                    <w:wordWrap/>
                    <w:topLinePunct w:val="0"/>
                    <w:autoSpaceDE/>
                    <w:autoSpaceDN/>
                    <w:bidi w:val="0"/>
                    <w:spacing w:beforeAutospacing="0" w:afterAutospacing="0"/>
                    <w:textAlignment w:val="auto"/>
                    <w:rPr>
                      <w:highlight w:val="none"/>
                    </w:rPr>
                  </w:pPr>
                </w:p>
              </w:tc>
              <w:tc>
                <w:tcPr>
                  <w:tcW w:w="317" w:type="pct"/>
                  <w:vMerge w:val="continue"/>
                  <w:noWrap w:val="0"/>
                  <w:vAlign w:val="center"/>
                </w:tcPr>
                <w:p w14:paraId="38829A22">
                  <w:pPr>
                    <w:pStyle w:val="40"/>
                    <w:keepLines w:val="0"/>
                    <w:pageBreakBefore w:val="0"/>
                    <w:kinsoku/>
                    <w:wordWrap/>
                    <w:topLinePunct w:val="0"/>
                    <w:autoSpaceDE/>
                    <w:autoSpaceDN/>
                    <w:bidi w:val="0"/>
                    <w:spacing w:beforeAutospacing="0" w:afterAutospacing="0"/>
                    <w:textAlignment w:val="auto"/>
                    <w:rPr>
                      <w:highlight w:val="none"/>
                    </w:rPr>
                  </w:pPr>
                </w:p>
              </w:tc>
              <w:tc>
                <w:tcPr>
                  <w:tcW w:w="659" w:type="pct"/>
                  <w:vMerge w:val="continue"/>
                  <w:noWrap w:val="0"/>
                  <w:vAlign w:val="center"/>
                </w:tcPr>
                <w:p w14:paraId="5683DD7D">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p>
              </w:tc>
              <w:tc>
                <w:tcPr>
                  <w:tcW w:w="562" w:type="pct"/>
                  <w:noWrap w:val="0"/>
                  <w:vAlign w:val="center"/>
                </w:tcPr>
                <w:p w14:paraId="55B063B2">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筒仓粉尘</w:t>
                  </w:r>
                </w:p>
              </w:tc>
              <w:tc>
                <w:tcPr>
                  <w:tcW w:w="2298" w:type="pct"/>
                  <w:noWrap w:val="0"/>
                  <w:vAlign w:val="center"/>
                </w:tcPr>
                <w:p w14:paraId="0E0B3530">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水泥、粉煤灰</w:t>
                  </w:r>
                  <w:r>
                    <w:rPr>
                      <w:rFonts w:hint="default"/>
                      <w:highlight w:val="none"/>
                      <w:lang w:val="en-US" w:eastAsia="zh-CN"/>
                    </w:rPr>
                    <w:t>入料仓时产生的粉尘经仓顶</w:t>
                  </w:r>
                  <w:r>
                    <w:rPr>
                      <w:rFonts w:hint="eastAsia"/>
                      <w:highlight w:val="none"/>
                      <w:lang w:val="en-US" w:eastAsia="zh-CN"/>
                    </w:rPr>
                    <w:t>脉冲式布袋除尘器</w:t>
                  </w:r>
                  <w:r>
                    <w:rPr>
                      <w:rFonts w:hint="default"/>
                      <w:highlight w:val="none"/>
                      <w:lang w:val="en-US" w:eastAsia="zh-CN"/>
                    </w:rPr>
                    <w:t>处理后无组织排放</w:t>
                  </w:r>
                  <w:r>
                    <w:rPr>
                      <w:rFonts w:hint="eastAsia"/>
                      <w:highlight w:val="none"/>
                      <w:lang w:val="en-US" w:eastAsia="zh-CN"/>
                    </w:rPr>
                    <w:t>。</w:t>
                  </w:r>
                </w:p>
              </w:tc>
              <w:tc>
                <w:tcPr>
                  <w:tcW w:w="426" w:type="pct"/>
                  <w:noWrap w:val="0"/>
                  <w:vAlign w:val="center"/>
                </w:tcPr>
                <w:p w14:paraId="4A89F9F7">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新建</w:t>
                  </w:r>
                </w:p>
              </w:tc>
            </w:tr>
            <w:tr w14:paraId="10E09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pct"/>
                  <w:vMerge w:val="continue"/>
                  <w:noWrap w:val="0"/>
                  <w:vAlign w:val="center"/>
                </w:tcPr>
                <w:p w14:paraId="284FEC5B">
                  <w:pPr>
                    <w:pStyle w:val="40"/>
                    <w:keepLines w:val="0"/>
                    <w:pageBreakBefore w:val="0"/>
                    <w:kinsoku/>
                    <w:wordWrap/>
                    <w:topLinePunct w:val="0"/>
                    <w:autoSpaceDE/>
                    <w:autoSpaceDN/>
                    <w:bidi w:val="0"/>
                    <w:spacing w:beforeAutospacing="0" w:afterAutospacing="0"/>
                    <w:textAlignment w:val="auto"/>
                    <w:rPr>
                      <w:highlight w:val="none"/>
                    </w:rPr>
                  </w:pPr>
                </w:p>
              </w:tc>
              <w:tc>
                <w:tcPr>
                  <w:tcW w:w="313" w:type="pct"/>
                  <w:vMerge w:val="continue"/>
                  <w:noWrap w:val="0"/>
                  <w:vAlign w:val="center"/>
                </w:tcPr>
                <w:p w14:paraId="5622F5CB">
                  <w:pPr>
                    <w:pStyle w:val="40"/>
                    <w:keepLines w:val="0"/>
                    <w:pageBreakBefore w:val="0"/>
                    <w:kinsoku/>
                    <w:wordWrap/>
                    <w:topLinePunct w:val="0"/>
                    <w:autoSpaceDE/>
                    <w:autoSpaceDN/>
                    <w:bidi w:val="0"/>
                    <w:spacing w:beforeAutospacing="0" w:afterAutospacing="0"/>
                    <w:textAlignment w:val="auto"/>
                    <w:rPr>
                      <w:highlight w:val="none"/>
                    </w:rPr>
                  </w:pPr>
                </w:p>
              </w:tc>
              <w:tc>
                <w:tcPr>
                  <w:tcW w:w="317" w:type="pct"/>
                  <w:vMerge w:val="continue"/>
                  <w:noWrap w:val="0"/>
                  <w:vAlign w:val="center"/>
                </w:tcPr>
                <w:p w14:paraId="014DDB80">
                  <w:pPr>
                    <w:pStyle w:val="40"/>
                    <w:keepLines w:val="0"/>
                    <w:pageBreakBefore w:val="0"/>
                    <w:kinsoku/>
                    <w:wordWrap/>
                    <w:topLinePunct w:val="0"/>
                    <w:autoSpaceDE/>
                    <w:autoSpaceDN/>
                    <w:bidi w:val="0"/>
                    <w:spacing w:beforeAutospacing="0" w:afterAutospacing="0"/>
                    <w:textAlignment w:val="auto"/>
                    <w:rPr>
                      <w:highlight w:val="none"/>
                    </w:rPr>
                  </w:pPr>
                </w:p>
              </w:tc>
              <w:tc>
                <w:tcPr>
                  <w:tcW w:w="659" w:type="pct"/>
                  <w:vMerge w:val="continue"/>
                  <w:noWrap w:val="0"/>
                  <w:vAlign w:val="center"/>
                </w:tcPr>
                <w:p w14:paraId="03B086A8">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p>
              </w:tc>
              <w:tc>
                <w:tcPr>
                  <w:tcW w:w="562" w:type="pct"/>
                  <w:noWrap w:val="0"/>
                  <w:vAlign w:val="center"/>
                </w:tcPr>
                <w:p w14:paraId="6B7BC68C">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焊接烟尘</w:t>
                  </w:r>
                </w:p>
              </w:tc>
              <w:tc>
                <w:tcPr>
                  <w:tcW w:w="2298" w:type="pct"/>
                  <w:noWrap w:val="0"/>
                  <w:vAlign w:val="center"/>
                </w:tcPr>
                <w:p w14:paraId="6D9AC761">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经移动式烟尘净化器处理后无组织排放。</w:t>
                  </w:r>
                </w:p>
              </w:tc>
              <w:tc>
                <w:tcPr>
                  <w:tcW w:w="426" w:type="pct"/>
                  <w:noWrap w:val="0"/>
                  <w:vAlign w:val="center"/>
                </w:tcPr>
                <w:p w14:paraId="1252172C">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新建</w:t>
                  </w:r>
                </w:p>
              </w:tc>
            </w:tr>
            <w:tr w14:paraId="2D1C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21" w:type="pct"/>
                  <w:vMerge w:val="continue"/>
                  <w:noWrap w:val="0"/>
                  <w:vAlign w:val="center"/>
                </w:tcPr>
                <w:p w14:paraId="18110FF5">
                  <w:pPr>
                    <w:pStyle w:val="40"/>
                    <w:keepLines w:val="0"/>
                    <w:pageBreakBefore w:val="0"/>
                    <w:kinsoku/>
                    <w:wordWrap/>
                    <w:topLinePunct w:val="0"/>
                    <w:autoSpaceDE/>
                    <w:autoSpaceDN/>
                    <w:bidi w:val="0"/>
                    <w:spacing w:beforeAutospacing="0" w:afterAutospacing="0"/>
                    <w:textAlignment w:val="auto"/>
                    <w:rPr>
                      <w:highlight w:val="none"/>
                    </w:rPr>
                  </w:pPr>
                </w:p>
              </w:tc>
              <w:tc>
                <w:tcPr>
                  <w:tcW w:w="313" w:type="pct"/>
                  <w:vMerge w:val="continue"/>
                  <w:noWrap w:val="0"/>
                  <w:vAlign w:val="center"/>
                </w:tcPr>
                <w:p w14:paraId="24F95BE9">
                  <w:pPr>
                    <w:pStyle w:val="40"/>
                    <w:keepLines w:val="0"/>
                    <w:pageBreakBefore w:val="0"/>
                    <w:kinsoku/>
                    <w:wordWrap/>
                    <w:topLinePunct w:val="0"/>
                    <w:autoSpaceDE/>
                    <w:autoSpaceDN/>
                    <w:bidi w:val="0"/>
                    <w:spacing w:beforeAutospacing="0" w:afterAutospacing="0"/>
                    <w:textAlignment w:val="auto"/>
                    <w:rPr>
                      <w:highlight w:val="none"/>
                    </w:rPr>
                  </w:pPr>
                </w:p>
              </w:tc>
              <w:tc>
                <w:tcPr>
                  <w:tcW w:w="317" w:type="pct"/>
                  <w:vMerge w:val="continue"/>
                  <w:noWrap w:val="0"/>
                  <w:vAlign w:val="center"/>
                </w:tcPr>
                <w:p w14:paraId="44F9BE7C">
                  <w:pPr>
                    <w:pStyle w:val="40"/>
                    <w:keepLines w:val="0"/>
                    <w:pageBreakBefore w:val="0"/>
                    <w:kinsoku/>
                    <w:wordWrap/>
                    <w:topLinePunct w:val="0"/>
                    <w:autoSpaceDE/>
                    <w:autoSpaceDN/>
                    <w:bidi w:val="0"/>
                    <w:spacing w:beforeAutospacing="0" w:afterAutospacing="0"/>
                    <w:textAlignment w:val="auto"/>
                    <w:rPr>
                      <w:highlight w:val="none"/>
                    </w:rPr>
                  </w:pPr>
                </w:p>
              </w:tc>
              <w:tc>
                <w:tcPr>
                  <w:tcW w:w="659" w:type="pct"/>
                  <w:vMerge w:val="restart"/>
                  <w:noWrap w:val="0"/>
                  <w:vAlign w:val="center"/>
                </w:tcPr>
                <w:p w14:paraId="217B6752">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有组织粉尘</w:t>
                  </w:r>
                </w:p>
              </w:tc>
              <w:tc>
                <w:tcPr>
                  <w:tcW w:w="562" w:type="pct"/>
                  <w:noWrap w:val="0"/>
                  <w:vAlign w:val="center"/>
                </w:tcPr>
                <w:p w14:paraId="02699CB5">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default"/>
                      <w:highlight w:val="none"/>
                      <w:lang w:val="en-US" w:eastAsia="zh-CN"/>
                    </w:rPr>
                    <w:t>投料粉尘</w:t>
                  </w:r>
                </w:p>
              </w:tc>
              <w:tc>
                <w:tcPr>
                  <w:tcW w:w="2298" w:type="pct"/>
                  <w:noWrap w:val="0"/>
                  <w:vAlign w:val="center"/>
                </w:tcPr>
                <w:p w14:paraId="6C1E3025">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集气罩收集后经袋式除尘器处理后由15m高排气筒DA001、DA002、DA003排放。</w:t>
                  </w:r>
                </w:p>
              </w:tc>
              <w:tc>
                <w:tcPr>
                  <w:tcW w:w="426" w:type="pct"/>
                  <w:noWrap w:val="0"/>
                  <w:vAlign w:val="center"/>
                </w:tcPr>
                <w:p w14:paraId="18C807F1">
                  <w:pPr>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新建</w:t>
                  </w:r>
                </w:p>
              </w:tc>
            </w:tr>
            <w:tr w14:paraId="71D6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421" w:type="pct"/>
                  <w:vMerge w:val="continue"/>
                  <w:noWrap w:val="0"/>
                  <w:vAlign w:val="center"/>
                </w:tcPr>
                <w:p w14:paraId="4F13AB00">
                  <w:pPr>
                    <w:pStyle w:val="40"/>
                    <w:keepLines w:val="0"/>
                    <w:pageBreakBefore w:val="0"/>
                    <w:kinsoku/>
                    <w:wordWrap/>
                    <w:topLinePunct w:val="0"/>
                    <w:autoSpaceDE/>
                    <w:autoSpaceDN/>
                    <w:bidi w:val="0"/>
                    <w:spacing w:beforeAutospacing="0" w:afterAutospacing="0"/>
                    <w:textAlignment w:val="auto"/>
                    <w:rPr>
                      <w:highlight w:val="none"/>
                    </w:rPr>
                  </w:pPr>
                </w:p>
              </w:tc>
              <w:tc>
                <w:tcPr>
                  <w:tcW w:w="313" w:type="pct"/>
                  <w:vMerge w:val="continue"/>
                  <w:noWrap w:val="0"/>
                  <w:vAlign w:val="center"/>
                </w:tcPr>
                <w:p w14:paraId="63431047">
                  <w:pPr>
                    <w:pStyle w:val="40"/>
                    <w:keepLines w:val="0"/>
                    <w:pageBreakBefore w:val="0"/>
                    <w:kinsoku/>
                    <w:wordWrap/>
                    <w:topLinePunct w:val="0"/>
                    <w:autoSpaceDE/>
                    <w:autoSpaceDN/>
                    <w:bidi w:val="0"/>
                    <w:spacing w:beforeAutospacing="0" w:afterAutospacing="0"/>
                    <w:textAlignment w:val="auto"/>
                    <w:rPr>
                      <w:highlight w:val="none"/>
                    </w:rPr>
                  </w:pPr>
                </w:p>
              </w:tc>
              <w:tc>
                <w:tcPr>
                  <w:tcW w:w="317" w:type="pct"/>
                  <w:vMerge w:val="continue"/>
                  <w:noWrap w:val="0"/>
                  <w:vAlign w:val="center"/>
                </w:tcPr>
                <w:p w14:paraId="4EF2EF2E">
                  <w:pPr>
                    <w:pStyle w:val="40"/>
                    <w:keepLines w:val="0"/>
                    <w:pageBreakBefore w:val="0"/>
                    <w:kinsoku/>
                    <w:wordWrap/>
                    <w:topLinePunct w:val="0"/>
                    <w:autoSpaceDE/>
                    <w:autoSpaceDN/>
                    <w:bidi w:val="0"/>
                    <w:spacing w:beforeAutospacing="0" w:afterAutospacing="0"/>
                    <w:textAlignment w:val="auto"/>
                    <w:rPr>
                      <w:highlight w:val="none"/>
                    </w:rPr>
                  </w:pPr>
                </w:p>
              </w:tc>
              <w:tc>
                <w:tcPr>
                  <w:tcW w:w="659" w:type="pct"/>
                  <w:vMerge w:val="continue"/>
                  <w:noWrap w:val="0"/>
                  <w:vAlign w:val="center"/>
                </w:tcPr>
                <w:p w14:paraId="1263E0E4">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562" w:type="pct"/>
                  <w:noWrap w:val="0"/>
                  <w:vAlign w:val="center"/>
                </w:tcPr>
                <w:p w14:paraId="5A92C559">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搅拌粉尘</w:t>
                  </w:r>
                </w:p>
              </w:tc>
              <w:tc>
                <w:tcPr>
                  <w:tcW w:w="2298" w:type="pct"/>
                  <w:noWrap w:val="0"/>
                  <w:vAlign w:val="center"/>
                </w:tcPr>
                <w:p w14:paraId="55DC5E60">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集气罩收集后经袋式除尘器处理后由15m高排气筒DA004、DA005、DA006排放。</w:t>
                  </w:r>
                </w:p>
              </w:tc>
              <w:tc>
                <w:tcPr>
                  <w:tcW w:w="426" w:type="pct"/>
                  <w:noWrap w:val="0"/>
                  <w:vAlign w:val="center"/>
                </w:tcPr>
                <w:p w14:paraId="13D3EC72">
                  <w:pPr>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新建</w:t>
                  </w:r>
                </w:p>
              </w:tc>
            </w:tr>
            <w:tr w14:paraId="7249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1" w:type="pct"/>
                  <w:vMerge w:val="continue"/>
                  <w:noWrap w:val="0"/>
                  <w:vAlign w:val="center"/>
                </w:tcPr>
                <w:p w14:paraId="38C518E8">
                  <w:pPr>
                    <w:pStyle w:val="40"/>
                    <w:keepLines w:val="0"/>
                    <w:pageBreakBefore w:val="0"/>
                    <w:kinsoku/>
                    <w:wordWrap/>
                    <w:topLinePunct w:val="0"/>
                    <w:autoSpaceDE/>
                    <w:autoSpaceDN/>
                    <w:bidi w:val="0"/>
                    <w:spacing w:beforeAutospacing="0" w:afterAutospacing="0"/>
                    <w:textAlignment w:val="auto"/>
                    <w:rPr>
                      <w:highlight w:val="none"/>
                    </w:rPr>
                  </w:pPr>
                </w:p>
              </w:tc>
              <w:tc>
                <w:tcPr>
                  <w:tcW w:w="313" w:type="pct"/>
                  <w:vMerge w:val="continue"/>
                  <w:noWrap w:val="0"/>
                  <w:vAlign w:val="center"/>
                </w:tcPr>
                <w:p w14:paraId="000BCEDE">
                  <w:pPr>
                    <w:pStyle w:val="40"/>
                    <w:keepLines w:val="0"/>
                    <w:pageBreakBefore w:val="0"/>
                    <w:kinsoku/>
                    <w:wordWrap/>
                    <w:topLinePunct w:val="0"/>
                    <w:autoSpaceDE/>
                    <w:autoSpaceDN/>
                    <w:bidi w:val="0"/>
                    <w:spacing w:beforeAutospacing="0" w:afterAutospacing="0"/>
                    <w:textAlignment w:val="auto"/>
                    <w:rPr>
                      <w:highlight w:val="none"/>
                    </w:rPr>
                  </w:pPr>
                </w:p>
              </w:tc>
              <w:tc>
                <w:tcPr>
                  <w:tcW w:w="317" w:type="pct"/>
                  <w:vMerge w:val="continue"/>
                  <w:noWrap w:val="0"/>
                  <w:vAlign w:val="center"/>
                </w:tcPr>
                <w:p w14:paraId="1C74AB68">
                  <w:pPr>
                    <w:pStyle w:val="40"/>
                    <w:keepLines w:val="0"/>
                    <w:pageBreakBefore w:val="0"/>
                    <w:kinsoku/>
                    <w:wordWrap/>
                    <w:topLinePunct w:val="0"/>
                    <w:autoSpaceDE/>
                    <w:autoSpaceDN/>
                    <w:bidi w:val="0"/>
                    <w:spacing w:beforeAutospacing="0" w:afterAutospacing="0"/>
                    <w:textAlignment w:val="auto"/>
                    <w:rPr>
                      <w:highlight w:val="none"/>
                    </w:rPr>
                  </w:pPr>
                </w:p>
              </w:tc>
              <w:tc>
                <w:tcPr>
                  <w:tcW w:w="659" w:type="pct"/>
                  <w:noWrap w:val="0"/>
                  <w:vAlign w:val="center"/>
                </w:tcPr>
                <w:p w14:paraId="0F3C8C84">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油烟废气</w:t>
                  </w:r>
                </w:p>
              </w:tc>
              <w:tc>
                <w:tcPr>
                  <w:tcW w:w="2861" w:type="pct"/>
                  <w:gridSpan w:val="2"/>
                  <w:noWrap w:val="0"/>
                  <w:vAlign w:val="center"/>
                </w:tcPr>
                <w:p w14:paraId="5826E3C2">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default"/>
                      <w:highlight w:val="none"/>
                      <w:lang w:val="en-US" w:eastAsia="zh-CN"/>
                    </w:rPr>
                    <w:t>食堂油烟经1台</w:t>
                  </w:r>
                  <w:r>
                    <w:rPr>
                      <w:rFonts w:hint="eastAsia"/>
                      <w:highlight w:val="none"/>
                      <w:lang w:val="en-US" w:eastAsia="zh-CN"/>
                    </w:rPr>
                    <w:t>油烟净化器</w:t>
                  </w:r>
                  <w:r>
                    <w:rPr>
                      <w:rFonts w:hint="default"/>
                      <w:highlight w:val="none"/>
                      <w:lang w:val="en-US" w:eastAsia="zh-CN"/>
                    </w:rPr>
                    <w:t>处理后</w:t>
                  </w:r>
                  <w:r>
                    <w:rPr>
                      <w:rFonts w:hint="eastAsia"/>
                      <w:highlight w:val="none"/>
                      <w:lang w:val="en-US" w:eastAsia="zh-CN"/>
                    </w:rPr>
                    <w:t>经</w:t>
                  </w:r>
                  <w:r>
                    <w:rPr>
                      <w:rFonts w:hint="default"/>
                      <w:highlight w:val="none"/>
                      <w:lang w:val="en-US" w:eastAsia="zh-CN"/>
                    </w:rPr>
                    <w:t>楼顶</w:t>
                  </w:r>
                  <w:r>
                    <w:rPr>
                      <w:rFonts w:hint="eastAsia"/>
                      <w:highlight w:val="none"/>
                      <w:lang w:val="en-US" w:eastAsia="zh-CN"/>
                    </w:rPr>
                    <w:t>烟囱</w:t>
                  </w:r>
                  <w:r>
                    <w:rPr>
                      <w:rFonts w:hint="default"/>
                      <w:highlight w:val="none"/>
                      <w:lang w:val="en-US" w:eastAsia="zh-CN"/>
                    </w:rPr>
                    <w:t>排放</w:t>
                  </w:r>
                  <w:r>
                    <w:rPr>
                      <w:rFonts w:hint="eastAsia"/>
                      <w:highlight w:val="none"/>
                      <w:lang w:val="en-US" w:eastAsia="zh-CN"/>
                    </w:rPr>
                    <w:t>。</w:t>
                  </w:r>
                </w:p>
              </w:tc>
              <w:tc>
                <w:tcPr>
                  <w:tcW w:w="426" w:type="pct"/>
                  <w:noWrap w:val="0"/>
                  <w:vAlign w:val="center"/>
                </w:tcPr>
                <w:p w14:paraId="710DBE4E">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新建</w:t>
                  </w:r>
                </w:p>
              </w:tc>
            </w:tr>
            <w:tr w14:paraId="7D2D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21" w:type="pct"/>
                  <w:vMerge w:val="continue"/>
                  <w:noWrap w:val="0"/>
                  <w:vAlign w:val="center"/>
                </w:tcPr>
                <w:p w14:paraId="48EB7972">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313" w:type="pct"/>
                  <w:vMerge w:val="continue"/>
                  <w:noWrap w:val="0"/>
                  <w:vAlign w:val="center"/>
                </w:tcPr>
                <w:p w14:paraId="1F0FB36F">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p>
              </w:tc>
              <w:tc>
                <w:tcPr>
                  <w:tcW w:w="317" w:type="pct"/>
                  <w:vMerge w:val="restart"/>
                  <w:noWrap w:val="0"/>
                  <w:vAlign w:val="center"/>
                </w:tcPr>
                <w:p w14:paraId="297B18BD">
                  <w:pPr>
                    <w:pStyle w:val="40"/>
                    <w:keepLines w:val="0"/>
                    <w:pageBreakBefore w:val="0"/>
                    <w:kinsoku/>
                    <w:wordWrap/>
                    <w:topLinePunct w:val="0"/>
                    <w:autoSpaceDE/>
                    <w:autoSpaceDN/>
                    <w:bidi w:val="0"/>
                    <w:spacing w:beforeAutospacing="0" w:afterAutospacing="0"/>
                    <w:textAlignment w:val="auto"/>
                    <w:rPr>
                      <w:highlight w:val="none"/>
                    </w:rPr>
                  </w:pPr>
                  <w:r>
                    <w:rPr>
                      <w:highlight w:val="none"/>
                    </w:rPr>
                    <w:t>废水</w:t>
                  </w:r>
                </w:p>
              </w:tc>
              <w:tc>
                <w:tcPr>
                  <w:tcW w:w="659" w:type="pct"/>
                  <w:noWrap w:val="0"/>
                  <w:vAlign w:val="center"/>
                </w:tcPr>
                <w:p w14:paraId="27E23E38">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rPr>
                    <w:t>生活污水</w:t>
                  </w:r>
                </w:p>
              </w:tc>
              <w:tc>
                <w:tcPr>
                  <w:tcW w:w="2861" w:type="pct"/>
                  <w:gridSpan w:val="2"/>
                  <w:noWrap w:val="0"/>
                  <w:vAlign w:val="center"/>
                </w:tcPr>
                <w:p w14:paraId="23BA096B">
                  <w:pPr>
                    <w:pStyle w:val="40"/>
                    <w:keepLines w:val="0"/>
                    <w:pageBreakBefore w:val="0"/>
                    <w:kinsoku/>
                    <w:wordWrap/>
                    <w:topLinePunct w:val="0"/>
                    <w:autoSpaceDE/>
                    <w:autoSpaceDN/>
                    <w:bidi w:val="0"/>
                    <w:spacing w:beforeAutospacing="0" w:afterAutospacing="0"/>
                    <w:textAlignment w:val="auto"/>
                    <w:rPr>
                      <w:rFonts w:hint="eastAsia"/>
                      <w:highlight w:val="none"/>
                    </w:rPr>
                  </w:pPr>
                  <w:r>
                    <w:rPr>
                      <w:rFonts w:hint="eastAsia"/>
                      <w:highlight w:val="none"/>
                      <w:lang w:val="en-US" w:eastAsia="zh-CN"/>
                    </w:rPr>
                    <w:t>经化粪池处理后拉运至若羌县城镇污水处理厂进行集中处理。</w:t>
                  </w:r>
                </w:p>
              </w:tc>
              <w:tc>
                <w:tcPr>
                  <w:tcW w:w="426" w:type="pct"/>
                  <w:noWrap w:val="0"/>
                  <w:vAlign w:val="center"/>
                </w:tcPr>
                <w:p w14:paraId="7CE0A0D6">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14:paraId="2C9B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21" w:type="pct"/>
                  <w:vMerge w:val="continue"/>
                  <w:noWrap w:val="0"/>
                  <w:vAlign w:val="center"/>
                </w:tcPr>
                <w:p w14:paraId="59D0A365">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313" w:type="pct"/>
                  <w:vMerge w:val="continue"/>
                  <w:noWrap w:val="0"/>
                  <w:vAlign w:val="center"/>
                </w:tcPr>
                <w:p w14:paraId="085651FE">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p>
              </w:tc>
              <w:tc>
                <w:tcPr>
                  <w:tcW w:w="317" w:type="pct"/>
                  <w:vMerge w:val="continue"/>
                  <w:noWrap w:val="0"/>
                  <w:vAlign w:val="center"/>
                </w:tcPr>
                <w:p w14:paraId="4D6EE2A1">
                  <w:pPr>
                    <w:pStyle w:val="40"/>
                    <w:keepLines w:val="0"/>
                    <w:pageBreakBefore w:val="0"/>
                    <w:kinsoku/>
                    <w:wordWrap/>
                    <w:topLinePunct w:val="0"/>
                    <w:autoSpaceDE/>
                    <w:autoSpaceDN/>
                    <w:bidi w:val="0"/>
                    <w:spacing w:beforeAutospacing="0" w:afterAutospacing="0"/>
                    <w:textAlignment w:val="auto"/>
                    <w:rPr>
                      <w:highlight w:val="none"/>
                    </w:rPr>
                  </w:pPr>
                </w:p>
              </w:tc>
              <w:tc>
                <w:tcPr>
                  <w:tcW w:w="659" w:type="pct"/>
                  <w:noWrap w:val="0"/>
                  <w:vAlign w:val="center"/>
                </w:tcPr>
                <w:p w14:paraId="3DFB7E26">
                  <w:pPr>
                    <w:pStyle w:val="40"/>
                    <w:keepLines w:val="0"/>
                    <w:pageBreakBefore w:val="0"/>
                    <w:kinsoku/>
                    <w:wordWrap/>
                    <w:topLinePunct w:val="0"/>
                    <w:autoSpaceDE/>
                    <w:autoSpaceDN/>
                    <w:bidi w:val="0"/>
                    <w:spacing w:beforeAutospacing="0" w:afterAutospacing="0"/>
                    <w:textAlignment w:val="auto"/>
                    <w:rPr>
                      <w:rFonts w:hint="eastAsia"/>
                      <w:highlight w:val="none"/>
                    </w:rPr>
                  </w:pPr>
                  <w:r>
                    <w:rPr>
                      <w:rFonts w:hint="eastAsia"/>
                      <w:highlight w:val="none"/>
                      <w:lang w:val="en-US" w:eastAsia="zh-CN"/>
                    </w:rPr>
                    <w:t>生产废水</w:t>
                  </w:r>
                </w:p>
              </w:tc>
              <w:tc>
                <w:tcPr>
                  <w:tcW w:w="2861" w:type="pct"/>
                  <w:gridSpan w:val="2"/>
                  <w:noWrap w:val="0"/>
                  <w:vAlign w:val="center"/>
                </w:tcPr>
                <w:p w14:paraId="76B51C5C">
                  <w:pPr>
                    <w:pStyle w:val="40"/>
                    <w:keepLines w:val="0"/>
                    <w:pageBreakBefore w:val="0"/>
                    <w:kinsoku/>
                    <w:wordWrap/>
                    <w:topLinePunct w:val="0"/>
                    <w:autoSpaceDE/>
                    <w:autoSpaceDN/>
                    <w:bidi w:val="0"/>
                    <w:spacing w:beforeAutospacing="0" w:afterAutospacing="0"/>
                    <w:textAlignment w:val="auto"/>
                    <w:rPr>
                      <w:rFonts w:hint="eastAsia"/>
                      <w:highlight w:val="none"/>
                    </w:rPr>
                  </w:pPr>
                  <w:r>
                    <w:rPr>
                      <w:rFonts w:hint="eastAsia"/>
                      <w:highlight w:val="none"/>
                      <w:lang w:val="en-US" w:eastAsia="zh-CN"/>
                    </w:rPr>
                    <w:t>设备清洗废水和模具清洗废水经沉淀后回用于产品；切割废水经沉淀后，循环利用。</w:t>
                  </w:r>
                </w:p>
              </w:tc>
              <w:tc>
                <w:tcPr>
                  <w:tcW w:w="426" w:type="pct"/>
                  <w:noWrap w:val="0"/>
                  <w:vAlign w:val="center"/>
                </w:tcPr>
                <w:p w14:paraId="3A0D0B51">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新建</w:t>
                  </w:r>
                </w:p>
              </w:tc>
            </w:tr>
            <w:tr w14:paraId="23BB1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pct"/>
                  <w:vMerge w:val="continue"/>
                  <w:noWrap w:val="0"/>
                  <w:vAlign w:val="center"/>
                </w:tcPr>
                <w:p w14:paraId="044C2272">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p>
              </w:tc>
              <w:tc>
                <w:tcPr>
                  <w:tcW w:w="313" w:type="pct"/>
                  <w:vMerge w:val="continue"/>
                  <w:noWrap w:val="0"/>
                  <w:vAlign w:val="center"/>
                </w:tcPr>
                <w:p w14:paraId="34C4C667">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p>
              </w:tc>
              <w:tc>
                <w:tcPr>
                  <w:tcW w:w="317" w:type="pct"/>
                  <w:noWrap w:val="0"/>
                  <w:vAlign w:val="center"/>
                </w:tcPr>
                <w:p w14:paraId="2592B1BA">
                  <w:pPr>
                    <w:pStyle w:val="40"/>
                    <w:keepLines w:val="0"/>
                    <w:pageBreakBefore w:val="0"/>
                    <w:kinsoku/>
                    <w:wordWrap/>
                    <w:topLinePunct w:val="0"/>
                    <w:autoSpaceDE/>
                    <w:autoSpaceDN/>
                    <w:bidi w:val="0"/>
                    <w:spacing w:beforeAutospacing="0" w:afterAutospacing="0"/>
                    <w:textAlignment w:val="auto"/>
                    <w:rPr>
                      <w:highlight w:val="none"/>
                    </w:rPr>
                  </w:pPr>
                  <w:r>
                    <w:rPr>
                      <w:highlight w:val="none"/>
                    </w:rPr>
                    <w:t>固废</w:t>
                  </w:r>
                </w:p>
              </w:tc>
              <w:tc>
                <w:tcPr>
                  <w:tcW w:w="3520" w:type="pct"/>
                  <w:gridSpan w:val="3"/>
                  <w:noWrap w:val="0"/>
                  <w:vAlign w:val="center"/>
                </w:tcPr>
                <w:p w14:paraId="015A02C3">
                  <w:pPr>
                    <w:pStyle w:val="40"/>
                    <w:keepLines w:val="0"/>
                    <w:pageBreakBefore w:val="0"/>
                    <w:kinsoku/>
                    <w:wordWrap/>
                    <w:topLinePunct w:val="0"/>
                    <w:autoSpaceDE/>
                    <w:autoSpaceDN/>
                    <w:bidi w:val="0"/>
                    <w:spacing w:beforeAutospacing="0" w:afterAutospacing="0"/>
                    <w:textAlignment w:val="auto"/>
                    <w:rPr>
                      <w:rFonts w:hint="eastAsia" w:eastAsia="宋体"/>
                      <w:highlight w:val="none"/>
                      <w:lang w:val="en-US" w:eastAsia="zh-CN"/>
                    </w:rPr>
                  </w:pPr>
                  <w:r>
                    <w:rPr>
                      <w:highlight w:val="none"/>
                    </w:rPr>
                    <w:t>生活垃圾分类收集，定期清运；</w:t>
                  </w:r>
                  <w:r>
                    <w:rPr>
                      <w:rFonts w:hint="eastAsia"/>
                      <w:highlight w:val="none"/>
                    </w:rPr>
                    <w:t>除尘</w:t>
                  </w:r>
                  <w:r>
                    <w:rPr>
                      <w:rFonts w:hint="eastAsia"/>
                      <w:highlight w:val="none"/>
                      <w:lang w:val="en-US" w:eastAsia="zh-CN"/>
                    </w:rPr>
                    <w:t>灰和沉淀池沉渣</w:t>
                  </w:r>
                  <w:r>
                    <w:rPr>
                      <w:rFonts w:hint="eastAsia"/>
                      <w:highlight w:val="none"/>
                    </w:rPr>
                    <w:t>回用于生产，</w:t>
                  </w:r>
                  <w:r>
                    <w:rPr>
                      <w:rFonts w:hint="eastAsia"/>
                      <w:highlight w:val="none"/>
                      <w:lang w:val="en-US" w:eastAsia="zh-CN"/>
                    </w:rPr>
                    <w:t>废钢筋收集外售，废包装袋、</w:t>
                  </w:r>
                  <w:r>
                    <w:rPr>
                      <w:rFonts w:hint="eastAsia"/>
                      <w:highlight w:val="none"/>
                    </w:rPr>
                    <w:t>边角料及不合格产品</w:t>
                  </w:r>
                  <w:r>
                    <w:rPr>
                      <w:rFonts w:hint="eastAsia"/>
                      <w:highlight w:val="none"/>
                      <w:lang w:val="en-US" w:eastAsia="zh-CN"/>
                    </w:rPr>
                    <w:t>收集后外售综合利用</w:t>
                  </w:r>
                  <w:r>
                    <w:rPr>
                      <w:rFonts w:hint="eastAsia"/>
                      <w:highlight w:val="none"/>
                      <w:lang w:eastAsia="zh-CN"/>
                    </w:rPr>
                    <w:t>，</w:t>
                  </w:r>
                  <w:r>
                    <w:rPr>
                      <w:rFonts w:hint="eastAsia"/>
                      <w:highlight w:val="none"/>
                      <w:lang w:val="en-US" w:eastAsia="zh-CN"/>
                    </w:rPr>
                    <w:t>废布袋定期由设备厂家进行回收处理；废润滑油、废润滑油桶等危险废物贮存于危废贮存点内，定期交由有资质的单位进行处理。</w:t>
                  </w:r>
                </w:p>
              </w:tc>
              <w:tc>
                <w:tcPr>
                  <w:tcW w:w="426" w:type="pct"/>
                  <w:noWrap w:val="0"/>
                  <w:vAlign w:val="center"/>
                </w:tcPr>
                <w:p w14:paraId="274174F2">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14:paraId="6705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21" w:type="pct"/>
                  <w:vMerge w:val="continue"/>
                  <w:noWrap w:val="0"/>
                  <w:vAlign w:val="center"/>
                </w:tcPr>
                <w:p w14:paraId="74B9353E">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313" w:type="pct"/>
                  <w:vMerge w:val="continue"/>
                  <w:noWrap w:val="0"/>
                  <w:vAlign w:val="center"/>
                </w:tcPr>
                <w:p w14:paraId="6B6DE26C">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p>
              </w:tc>
              <w:tc>
                <w:tcPr>
                  <w:tcW w:w="317" w:type="pct"/>
                  <w:noWrap w:val="0"/>
                  <w:vAlign w:val="center"/>
                </w:tcPr>
                <w:p w14:paraId="686AAB03">
                  <w:pPr>
                    <w:pStyle w:val="40"/>
                    <w:keepLines w:val="0"/>
                    <w:pageBreakBefore w:val="0"/>
                    <w:kinsoku/>
                    <w:wordWrap/>
                    <w:topLinePunct w:val="0"/>
                    <w:autoSpaceDE/>
                    <w:autoSpaceDN/>
                    <w:bidi w:val="0"/>
                    <w:spacing w:beforeAutospacing="0" w:afterAutospacing="0"/>
                    <w:textAlignment w:val="auto"/>
                    <w:rPr>
                      <w:highlight w:val="none"/>
                    </w:rPr>
                  </w:pPr>
                  <w:r>
                    <w:rPr>
                      <w:highlight w:val="none"/>
                    </w:rPr>
                    <w:t>噪声</w:t>
                  </w:r>
                </w:p>
              </w:tc>
              <w:tc>
                <w:tcPr>
                  <w:tcW w:w="3520" w:type="pct"/>
                  <w:gridSpan w:val="3"/>
                  <w:noWrap w:val="0"/>
                  <w:vAlign w:val="center"/>
                </w:tcPr>
                <w:p w14:paraId="23A29290">
                  <w:pPr>
                    <w:pStyle w:val="40"/>
                    <w:keepLines w:val="0"/>
                    <w:pageBreakBefore w:val="0"/>
                    <w:kinsoku/>
                    <w:wordWrap/>
                    <w:topLinePunct w:val="0"/>
                    <w:autoSpaceDE/>
                    <w:autoSpaceDN/>
                    <w:bidi w:val="0"/>
                    <w:spacing w:beforeAutospacing="0" w:afterAutospacing="0"/>
                    <w:textAlignment w:val="auto"/>
                    <w:rPr>
                      <w:rFonts w:hint="eastAsia" w:eastAsia="宋体"/>
                      <w:highlight w:val="none"/>
                      <w:lang w:val="en-US" w:eastAsia="zh-CN"/>
                    </w:rPr>
                  </w:pPr>
                  <w:r>
                    <w:rPr>
                      <w:highlight w:val="none"/>
                    </w:rPr>
                    <w:t>基础减震，定期维护</w:t>
                  </w:r>
                  <w:r>
                    <w:rPr>
                      <w:rFonts w:hint="eastAsia"/>
                      <w:highlight w:val="none"/>
                    </w:rPr>
                    <w:t>，封闭生产</w:t>
                  </w:r>
                  <w:r>
                    <w:rPr>
                      <w:rFonts w:hint="eastAsia"/>
                      <w:highlight w:val="none"/>
                      <w:lang w:eastAsia="zh-CN"/>
                    </w:rPr>
                    <w:t>。</w:t>
                  </w:r>
                </w:p>
              </w:tc>
              <w:tc>
                <w:tcPr>
                  <w:tcW w:w="426" w:type="pct"/>
                  <w:noWrap w:val="0"/>
                  <w:vAlign w:val="center"/>
                </w:tcPr>
                <w:p w14:paraId="1C6B0F1D">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rPr>
                    <w:t>新建</w:t>
                  </w:r>
                </w:p>
              </w:tc>
            </w:tr>
            <w:tr w14:paraId="6D35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52" w:type="pct"/>
                  <w:gridSpan w:val="3"/>
                  <w:noWrap w:val="0"/>
                  <w:vAlign w:val="center"/>
                </w:tcPr>
                <w:p w14:paraId="0776EF10">
                  <w:pPr>
                    <w:pStyle w:val="46"/>
                    <w:keepNext w:val="0"/>
                    <w:keepLines w:val="0"/>
                    <w:suppressLineNumbers w:val="0"/>
                    <w:bidi w:val="0"/>
                    <w:spacing w:before="0" w:beforeAutospacing="0" w:after="0" w:afterAutospacing="0"/>
                    <w:ind w:left="0" w:leftChars="0" w:right="0" w:rightChars="0"/>
                    <w:rPr>
                      <w:highlight w:val="none"/>
                    </w:rPr>
                  </w:pPr>
                  <w:r>
                    <w:rPr>
                      <w:rFonts w:hint="eastAsia" w:cs="Times New Roman"/>
                      <w:highlight w:val="none"/>
                      <w:lang w:val="en-US" w:eastAsia="zh-CN"/>
                    </w:rPr>
                    <w:t>环境风险防范工程</w:t>
                  </w:r>
                </w:p>
              </w:tc>
              <w:tc>
                <w:tcPr>
                  <w:tcW w:w="3520" w:type="pct"/>
                  <w:gridSpan w:val="3"/>
                  <w:noWrap w:val="0"/>
                  <w:vAlign w:val="center"/>
                </w:tcPr>
                <w:p w14:paraId="2EFFF9EC">
                  <w:pPr>
                    <w:pStyle w:val="46"/>
                    <w:keepNext w:val="0"/>
                    <w:keepLines w:val="0"/>
                    <w:suppressLineNumbers w:val="0"/>
                    <w:bidi w:val="0"/>
                    <w:spacing w:before="0" w:beforeAutospacing="0" w:after="0" w:afterAutospacing="0"/>
                    <w:ind w:left="0" w:leftChars="0" w:right="0" w:rightChars="0"/>
                    <w:rPr>
                      <w:highlight w:val="none"/>
                    </w:rPr>
                  </w:pPr>
                  <w:r>
                    <w:rPr>
                      <w:rFonts w:hint="eastAsia"/>
                      <w:highlight w:val="none"/>
                      <w:lang w:val="en-US" w:eastAsia="zh-CN"/>
                    </w:rPr>
                    <w:t>按照《危险废物贮存污染控制标准》（GB18597—2023）标准建设面积为10m</w:t>
                  </w:r>
                  <w:r>
                    <w:rPr>
                      <w:rFonts w:hint="eastAsia"/>
                      <w:highlight w:val="none"/>
                      <w:vertAlign w:val="superscript"/>
                      <w:lang w:val="en-US" w:eastAsia="zh-CN"/>
                    </w:rPr>
                    <w:t>2</w:t>
                  </w:r>
                  <w:r>
                    <w:rPr>
                      <w:rFonts w:hint="eastAsia"/>
                      <w:highlight w:val="none"/>
                      <w:lang w:val="en-US" w:eastAsia="zh-CN"/>
                    </w:rPr>
                    <w:t>危废贮存点。</w:t>
                  </w:r>
                </w:p>
              </w:tc>
              <w:tc>
                <w:tcPr>
                  <w:tcW w:w="426" w:type="pct"/>
                  <w:noWrap w:val="0"/>
                  <w:vAlign w:val="center"/>
                </w:tcPr>
                <w:p w14:paraId="0E94FEA3">
                  <w:pPr>
                    <w:pStyle w:val="40"/>
                    <w:keepLines w:val="0"/>
                    <w:pageBreakBefore w:val="0"/>
                    <w:kinsoku/>
                    <w:wordWrap/>
                    <w:topLinePunct w:val="0"/>
                    <w:autoSpaceDE/>
                    <w:autoSpaceDN/>
                    <w:bidi w:val="0"/>
                    <w:spacing w:beforeAutospacing="0" w:afterAutospacing="0"/>
                    <w:textAlignment w:val="auto"/>
                    <w:rPr>
                      <w:rFonts w:hint="eastAsia" w:eastAsia="宋体"/>
                      <w:highlight w:val="none"/>
                      <w:lang w:val="en-US" w:eastAsia="zh-CN"/>
                    </w:rPr>
                  </w:pPr>
                  <w:r>
                    <w:rPr>
                      <w:rFonts w:hint="eastAsia"/>
                      <w:highlight w:val="none"/>
                      <w:lang w:val="en-US" w:eastAsia="zh-CN"/>
                    </w:rPr>
                    <w:t>新建</w:t>
                  </w:r>
                </w:p>
              </w:tc>
            </w:tr>
          </w:tbl>
          <w:p w14:paraId="0623730F">
            <w:pPr>
              <w:pStyle w:val="2"/>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5.产品方案</w:t>
            </w:r>
          </w:p>
          <w:p w14:paraId="6374A92E">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本项目产品情况详见表2-2</w:t>
            </w:r>
            <w:r>
              <w:t>。</w:t>
            </w:r>
          </w:p>
          <w:p w14:paraId="4094874F">
            <w:pPr>
              <w:pStyle w:val="42"/>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表</w:t>
            </w:r>
            <w:r>
              <w:rPr>
                <w:rFonts w:hint="default"/>
                <w:lang w:val="en-US" w:eastAsia="zh-CN"/>
              </w:rPr>
              <w:t>2-2</w:t>
            </w:r>
            <w:r>
              <w:rPr>
                <w:rFonts w:hint="eastAsia"/>
                <w:lang w:val="en-US" w:eastAsia="zh-CN"/>
              </w:rPr>
              <w:t xml:space="preserve">    项目产品方案一览表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3079"/>
              <w:gridCol w:w="1131"/>
              <w:gridCol w:w="1163"/>
              <w:gridCol w:w="1977"/>
            </w:tblGrid>
            <w:tr w14:paraId="2D7B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noWrap w:val="0"/>
                  <w:vAlign w:val="center"/>
                </w:tcPr>
                <w:p w14:paraId="63827EDC">
                  <w:pPr>
                    <w:keepLines w:val="0"/>
                    <w:pageBreakBefore w:val="0"/>
                    <w:kinsoku/>
                    <w:wordWrap/>
                    <w:topLinePunct w:val="0"/>
                    <w:autoSpaceDE/>
                    <w:autoSpaceDN/>
                    <w:bidi w:val="0"/>
                    <w:adjustRightInd w:val="0"/>
                    <w:snapToGrid w:val="0"/>
                    <w:spacing w:beforeAutospacing="0" w:afterAutospacing="0" w:line="240" w:lineRule="auto"/>
                    <w:jc w:val="center"/>
                    <w:textAlignment w:val="auto"/>
                    <w:rPr>
                      <w:rFonts w:hint="default" w:eastAsia="宋体"/>
                      <w:lang w:val="en-US" w:eastAsia="zh-CN"/>
                    </w:rPr>
                  </w:pPr>
                  <w:r>
                    <w:rPr>
                      <w:color w:val="000000"/>
                      <w:kern w:val="0"/>
                      <w:sz w:val="21"/>
                      <w:szCs w:val="21"/>
                    </w:rPr>
                    <w:t>序号</w:t>
                  </w:r>
                </w:p>
              </w:tc>
              <w:tc>
                <w:tcPr>
                  <w:tcW w:w="3079" w:type="dxa"/>
                  <w:noWrap w:val="0"/>
                  <w:vAlign w:val="center"/>
                </w:tcPr>
                <w:p w14:paraId="523B93D4">
                  <w:pPr>
                    <w:keepLines w:val="0"/>
                    <w:pageBreakBefore w:val="0"/>
                    <w:kinsoku/>
                    <w:wordWrap/>
                    <w:topLinePunct w:val="0"/>
                    <w:autoSpaceDE/>
                    <w:autoSpaceDN/>
                    <w:bidi w:val="0"/>
                    <w:adjustRightInd w:val="0"/>
                    <w:snapToGrid w:val="0"/>
                    <w:spacing w:beforeAutospacing="0" w:afterAutospacing="0" w:line="240" w:lineRule="auto"/>
                    <w:jc w:val="center"/>
                    <w:textAlignment w:val="auto"/>
                    <w:rPr>
                      <w:rFonts w:hint="default"/>
                      <w:lang w:val="en-US" w:eastAsia="zh-CN"/>
                    </w:rPr>
                  </w:pPr>
                  <w:r>
                    <w:rPr>
                      <w:color w:val="000000"/>
                      <w:kern w:val="0"/>
                      <w:sz w:val="21"/>
                      <w:szCs w:val="21"/>
                    </w:rPr>
                    <w:t>名称</w:t>
                  </w:r>
                </w:p>
              </w:tc>
              <w:tc>
                <w:tcPr>
                  <w:tcW w:w="1131" w:type="dxa"/>
                  <w:noWrap w:val="0"/>
                  <w:vAlign w:val="center"/>
                </w:tcPr>
                <w:p w14:paraId="4B6D7E9A">
                  <w:pPr>
                    <w:keepLines w:val="0"/>
                    <w:pageBreakBefore w:val="0"/>
                    <w:kinsoku/>
                    <w:wordWrap/>
                    <w:topLinePunct w:val="0"/>
                    <w:autoSpaceDE/>
                    <w:autoSpaceDN/>
                    <w:bidi w:val="0"/>
                    <w:adjustRightInd w:val="0"/>
                    <w:snapToGrid w:val="0"/>
                    <w:spacing w:beforeAutospacing="0" w:afterAutospacing="0" w:line="240" w:lineRule="auto"/>
                    <w:jc w:val="center"/>
                    <w:textAlignment w:val="auto"/>
                    <w:rPr>
                      <w:rFonts w:hint="default"/>
                      <w:lang w:val="en-US" w:eastAsia="zh-CN"/>
                    </w:rPr>
                  </w:pPr>
                  <w:r>
                    <w:rPr>
                      <w:color w:val="000000"/>
                      <w:kern w:val="0"/>
                      <w:sz w:val="21"/>
                      <w:szCs w:val="21"/>
                    </w:rPr>
                    <w:t>设计产量</w:t>
                  </w:r>
                </w:p>
              </w:tc>
              <w:tc>
                <w:tcPr>
                  <w:tcW w:w="1163" w:type="dxa"/>
                  <w:noWrap w:val="0"/>
                  <w:vAlign w:val="center"/>
                </w:tcPr>
                <w:p w14:paraId="3248098A">
                  <w:pPr>
                    <w:keepLines w:val="0"/>
                    <w:pageBreakBefore w:val="0"/>
                    <w:kinsoku/>
                    <w:wordWrap/>
                    <w:topLinePunct w:val="0"/>
                    <w:autoSpaceDE/>
                    <w:autoSpaceDN/>
                    <w:bidi w:val="0"/>
                    <w:adjustRightInd w:val="0"/>
                    <w:snapToGrid w:val="0"/>
                    <w:spacing w:beforeAutospacing="0" w:afterAutospacing="0" w:line="240" w:lineRule="auto"/>
                    <w:jc w:val="center"/>
                    <w:textAlignment w:val="auto"/>
                    <w:rPr>
                      <w:rFonts w:hint="default"/>
                      <w:lang w:val="en-US" w:eastAsia="zh-CN"/>
                    </w:rPr>
                  </w:pPr>
                  <w:r>
                    <w:rPr>
                      <w:color w:val="000000"/>
                      <w:kern w:val="0"/>
                      <w:sz w:val="21"/>
                      <w:szCs w:val="21"/>
                    </w:rPr>
                    <w:t>单位</w:t>
                  </w:r>
                </w:p>
              </w:tc>
              <w:tc>
                <w:tcPr>
                  <w:tcW w:w="1977" w:type="dxa"/>
                  <w:noWrap w:val="0"/>
                  <w:vAlign w:val="center"/>
                </w:tcPr>
                <w:p w14:paraId="6B4B58C6">
                  <w:pPr>
                    <w:pStyle w:val="40"/>
                    <w:keepNext w:val="0"/>
                    <w:keepLines w:val="0"/>
                    <w:pageBreakBefore w:val="0"/>
                    <w:suppressLineNumbers w:val="0"/>
                    <w:kinsoku/>
                    <w:wordWrap/>
                    <w:topLinePunct w:val="0"/>
                    <w:autoSpaceDE/>
                    <w:autoSpaceDN/>
                    <w:bidi w:val="0"/>
                    <w:spacing w:before="0" w:beforeAutospacing="0" w:after="0" w:afterAutospacing="0"/>
                    <w:ind w:left="0" w:right="0"/>
                    <w:textAlignment w:val="auto"/>
                    <w:rPr>
                      <w:rFonts w:hint="default"/>
                      <w:lang w:val="en-US" w:eastAsia="zh-CN"/>
                    </w:rPr>
                  </w:pPr>
                  <w:r>
                    <w:rPr>
                      <w:rFonts w:hint="default"/>
                    </w:rPr>
                    <w:t>年运行</w:t>
                  </w:r>
                  <w:r>
                    <w:rPr>
                      <w:rFonts w:hint="eastAsia"/>
                      <w:lang w:eastAsia="zh-CN"/>
                    </w:rPr>
                    <w:t>天数、</w:t>
                  </w:r>
                  <w:r>
                    <w:rPr>
                      <w:rFonts w:hint="default"/>
                    </w:rPr>
                    <w:t>时数</w:t>
                  </w:r>
                </w:p>
              </w:tc>
            </w:tr>
            <w:tr w14:paraId="56E0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dxa"/>
                  <w:noWrap w:val="0"/>
                  <w:vAlign w:val="center"/>
                </w:tcPr>
                <w:p w14:paraId="122947BF">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eastAsia"/>
                      <w:lang w:val="en-US" w:eastAsia="zh-CN"/>
                    </w:rPr>
                    <w:t>1</w:t>
                  </w:r>
                </w:p>
              </w:tc>
              <w:tc>
                <w:tcPr>
                  <w:tcW w:w="3079" w:type="dxa"/>
                  <w:noWrap w:val="0"/>
                  <w:vAlign w:val="center"/>
                </w:tcPr>
                <w:p w14:paraId="1836037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eastAsia"/>
                      <w:lang w:val="en-US" w:eastAsia="zh-CN"/>
                    </w:rPr>
                    <w:t>装配式建筑房屋</w:t>
                  </w:r>
                </w:p>
              </w:tc>
              <w:tc>
                <w:tcPr>
                  <w:tcW w:w="1131" w:type="dxa"/>
                  <w:noWrap w:val="0"/>
                  <w:vAlign w:val="center"/>
                </w:tcPr>
                <w:p w14:paraId="4C7F0E4D">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eastAsia"/>
                      <w:lang w:val="en-US" w:eastAsia="zh-CN"/>
                    </w:rPr>
                    <w:t>800</w:t>
                  </w:r>
                </w:p>
              </w:tc>
              <w:tc>
                <w:tcPr>
                  <w:tcW w:w="1163" w:type="dxa"/>
                  <w:noWrap w:val="0"/>
                  <w:vAlign w:val="center"/>
                </w:tcPr>
                <w:p w14:paraId="2A462CE6">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lang w:val="en-US" w:eastAsia="zh-CN"/>
                    </w:rPr>
                  </w:pPr>
                  <w:r>
                    <w:rPr>
                      <w:rFonts w:hint="eastAsia"/>
                      <w:lang w:val="en-US" w:eastAsia="zh-CN"/>
                    </w:rPr>
                    <w:t>套/a</w:t>
                  </w:r>
                </w:p>
              </w:tc>
              <w:tc>
                <w:tcPr>
                  <w:tcW w:w="1977" w:type="dxa"/>
                  <w:vMerge w:val="restart"/>
                  <w:noWrap w:val="0"/>
                  <w:vAlign w:val="center"/>
                </w:tcPr>
                <w:p w14:paraId="3E4DD113">
                  <w:pPr>
                    <w:pStyle w:val="40"/>
                    <w:keepNext w:val="0"/>
                    <w:keepLines w:val="0"/>
                    <w:pageBreakBefore w:val="0"/>
                    <w:suppressLineNumbers w:val="0"/>
                    <w:kinsoku/>
                    <w:wordWrap/>
                    <w:topLinePunct w:val="0"/>
                    <w:autoSpaceDE/>
                    <w:autoSpaceDN/>
                    <w:bidi w:val="0"/>
                    <w:spacing w:before="0" w:beforeAutospacing="0" w:after="0" w:afterAutospacing="0"/>
                    <w:ind w:left="0" w:right="0"/>
                    <w:textAlignment w:val="auto"/>
                    <w:rPr>
                      <w:rFonts w:hint="default" w:eastAsia="宋体"/>
                      <w:lang w:val="en-US" w:eastAsia="zh-CN"/>
                    </w:rPr>
                  </w:pPr>
                  <w:r>
                    <w:rPr>
                      <w:rFonts w:hint="eastAsia"/>
                      <w:lang w:val="en-US" w:eastAsia="zh-CN"/>
                    </w:rPr>
                    <w:t>300天，2400小时</w:t>
                  </w:r>
                </w:p>
              </w:tc>
            </w:tr>
            <w:tr w14:paraId="45170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dxa"/>
                  <w:noWrap w:val="0"/>
                  <w:vAlign w:val="center"/>
                </w:tcPr>
                <w:p w14:paraId="5C298C71">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eastAsia"/>
                      <w:lang w:val="en-US" w:eastAsia="zh-CN"/>
                    </w:rPr>
                    <w:t>2</w:t>
                  </w:r>
                </w:p>
              </w:tc>
              <w:tc>
                <w:tcPr>
                  <w:tcW w:w="3079" w:type="dxa"/>
                  <w:noWrap w:val="0"/>
                  <w:vAlign w:val="center"/>
                </w:tcPr>
                <w:p w14:paraId="653D71B8">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eastAsia"/>
                      <w:lang w:val="en-US" w:eastAsia="zh-CN"/>
                    </w:rPr>
                    <w:t>现代化加气块</w:t>
                  </w:r>
                </w:p>
              </w:tc>
              <w:tc>
                <w:tcPr>
                  <w:tcW w:w="1131" w:type="dxa"/>
                  <w:noWrap w:val="0"/>
                  <w:vAlign w:val="center"/>
                </w:tcPr>
                <w:p w14:paraId="22F2E89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eastAsia"/>
                      <w:lang w:val="en-US" w:eastAsia="zh-CN"/>
                    </w:rPr>
                    <w:t>5</w:t>
                  </w:r>
                </w:p>
              </w:tc>
              <w:tc>
                <w:tcPr>
                  <w:tcW w:w="1163" w:type="dxa"/>
                  <w:noWrap w:val="0"/>
                  <w:vAlign w:val="center"/>
                </w:tcPr>
                <w:p w14:paraId="2AC04D8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eastAsia"/>
                      <w:lang w:val="en-US" w:eastAsia="zh-CN"/>
                    </w:rPr>
                    <w:t>万m</w:t>
                  </w:r>
                  <w:r>
                    <w:rPr>
                      <w:rFonts w:hint="eastAsia"/>
                      <w:vertAlign w:val="superscript"/>
                      <w:lang w:val="en-US" w:eastAsia="zh-CN"/>
                    </w:rPr>
                    <w:t>3</w:t>
                  </w:r>
                  <w:r>
                    <w:rPr>
                      <w:rFonts w:hint="eastAsia"/>
                      <w:lang w:val="en-US" w:eastAsia="zh-CN"/>
                    </w:rPr>
                    <w:t>/a</w:t>
                  </w:r>
                </w:p>
              </w:tc>
              <w:tc>
                <w:tcPr>
                  <w:tcW w:w="1977" w:type="dxa"/>
                  <w:vMerge w:val="continue"/>
                  <w:noWrap w:val="0"/>
                  <w:vAlign w:val="center"/>
                </w:tcPr>
                <w:p w14:paraId="143C006C">
                  <w:pPr>
                    <w:pStyle w:val="40"/>
                    <w:keepNext w:val="0"/>
                    <w:keepLines w:val="0"/>
                    <w:pageBreakBefore w:val="0"/>
                    <w:suppressLineNumbers w:val="0"/>
                    <w:kinsoku/>
                    <w:wordWrap/>
                    <w:topLinePunct w:val="0"/>
                    <w:autoSpaceDE/>
                    <w:autoSpaceDN/>
                    <w:bidi w:val="0"/>
                    <w:spacing w:before="0" w:beforeAutospacing="0" w:after="0" w:afterAutospacing="0"/>
                    <w:ind w:left="0" w:right="0"/>
                    <w:textAlignment w:val="auto"/>
                    <w:rPr>
                      <w:rFonts w:hint="eastAsia"/>
                      <w:lang w:val="en-US" w:eastAsia="zh-CN"/>
                    </w:rPr>
                  </w:pPr>
                </w:p>
              </w:tc>
            </w:tr>
            <w:tr w14:paraId="3DEB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dxa"/>
                  <w:noWrap w:val="0"/>
                  <w:vAlign w:val="center"/>
                </w:tcPr>
                <w:p w14:paraId="572052E3">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eastAsia"/>
                      <w:lang w:val="en-US" w:eastAsia="zh-CN"/>
                    </w:rPr>
                    <w:t>3</w:t>
                  </w:r>
                </w:p>
              </w:tc>
              <w:tc>
                <w:tcPr>
                  <w:tcW w:w="3079" w:type="dxa"/>
                  <w:noWrap w:val="0"/>
                  <w:vAlign w:val="center"/>
                </w:tcPr>
                <w:p w14:paraId="009A3B8B">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default"/>
                      <w:lang w:val="en-US" w:eastAsia="zh-CN"/>
                    </w:rPr>
                    <w:t>预制水泥砖</w:t>
                  </w:r>
                </w:p>
              </w:tc>
              <w:tc>
                <w:tcPr>
                  <w:tcW w:w="1131" w:type="dxa"/>
                  <w:noWrap w:val="0"/>
                  <w:vAlign w:val="center"/>
                </w:tcPr>
                <w:p w14:paraId="38F8BD43">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eastAsia"/>
                      <w:lang w:val="en-US" w:eastAsia="zh-CN"/>
                    </w:rPr>
                    <w:t>1000</w:t>
                  </w:r>
                </w:p>
              </w:tc>
              <w:tc>
                <w:tcPr>
                  <w:tcW w:w="1163" w:type="dxa"/>
                  <w:noWrap w:val="0"/>
                  <w:vAlign w:val="center"/>
                </w:tcPr>
                <w:p w14:paraId="368287BC">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eastAsia"/>
                      <w:lang w:val="en-US" w:eastAsia="zh-CN"/>
                    </w:rPr>
                    <w:t>万块/a</w:t>
                  </w:r>
                </w:p>
              </w:tc>
              <w:tc>
                <w:tcPr>
                  <w:tcW w:w="1977" w:type="dxa"/>
                  <w:vMerge w:val="continue"/>
                  <w:noWrap w:val="0"/>
                  <w:vAlign w:val="center"/>
                </w:tcPr>
                <w:p w14:paraId="3C694D03">
                  <w:pPr>
                    <w:pStyle w:val="40"/>
                    <w:keepNext w:val="0"/>
                    <w:keepLines w:val="0"/>
                    <w:pageBreakBefore w:val="0"/>
                    <w:suppressLineNumbers w:val="0"/>
                    <w:kinsoku/>
                    <w:wordWrap/>
                    <w:topLinePunct w:val="0"/>
                    <w:autoSpaceDE/>
                    <w:autoSpaceDN/>
                    <w:bidi w:val="0"/>
                    <w:spacing w:before="0" w:beforeAutospacing="0" w:after="0" w:afterAutospacing="0"/>
                    <w:ind w:left="0" w:right="0"/>
                    <w:textAlignment w:val="auto"/>
                    <w:rPr>
                      <w:rFonts w:hint="eastAsia"/>
                      <w:lang w:val="en-US" w:eastAsia="zh-CN"/>
                    </w:rPr>
                  </w:pPr>
                </w:p>
              </w:tc>
            </w:tr>
            <w:tr w14:paraId="4E9E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dxa"/>
                  <w:noWrap w:val="0"/>
                  <w:vAlign w:val="center"/>
                </w:tcPr>
                <w:p w14:paraId="545A5082">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eastAsia"/>
                      <w:lang w:val="en-US" w:eastAsia="zh-CN"/>
                    </w:rPr>
                    <w:t>4</w:t>
                  </w:r>
                </w:p>
              </w:tc>
              <w:tc>
                <w:tcPr>
                  <w:tcW w:w="3079" w:type="dxa"/>
                  <w:noWrap w:val="0"/>
                  <w:vAlign w:val="center"/>
                </w:tcPr>
                <w:p w14:paraId="09F804B7">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default"/>
                      <w:lang w:val="en-US" w:eastAsia="zh-CN"/>
                    </w:rPr>
                    <w:t>检查井、消防池和钢筋砼组合式化粪池</w:t>
                  </w:r>
                </w:p>
              </w:tc>
              <w:tc>
                <w:tcPr>
                  <w:tcW w:w="1131" w:type="dxa"/>
                  <w:noWrap w:val="0"/>
                  <w:vAlign w:val="center"/>
                </w:tcPr>
                <w:p w14:paraId="72611CC0">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eastAsia"/>
                      <w:lang w:val="en-US" w:eastAsia="zh-CN"/>
                    </w:rPr>
                    <w:t>3000</w:t>
                  </w:r>
                </w:p>
              </w:tc>
              <w:tc>
                <w:tcPr>
                  <w:tcW w:w="1163" w:type="dxa"/>
                  <w:noWrap w:val="0"/>
                  <w:vAlign w:val="center"/>
                </w:tcPr>
                <w:p w14:paraId="2DE3ED28">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lang w:val="en-US" w:eastAsia="zh-CN"/>
                    </w:rPr>
                  </w:pPr>
                  <w:r>
                    <w:rPr>
                      <w:rFonts w:hint="eastAsia"/>
                      <w:lang w:val="en-US" w:eastAsia="zh-CN"/>
                    </w:rPr>
                    <w:t>套/a</w:t>
                  </w:r>
                </w:p>
              </w:tc>
              <w:tc>
                <w:tcPr>
                  <w:tcW w:w="1977" w:type="dxa"/>
                  <w:vMerge w:val="continue"/>
                  <w:noWrap w:val="0"/>
                  <w:vAlign w:val="center"/>
                </w:tcPr>
                <w:p w14:paraId="00923714">
                  <w:pPr>
                    <w:pStyle w:val="40"/>
                    <w:keepNext w:val="0"/>
                    <w:keepLines w:val="0"/>
                    <w:pageBreakBefore w:val="0"/>
                    <w:suppressLineNumbers w:val="0"/>
                    <w:kinsoku/>
                    <w:wordWrap/>
                    <w:topLinePunct w:val="0"/>
                    <w:autoSpaceDE/>
                    <w:autoSpaceDN/>
                    <w:bidi w:val="0"/>
                    <w:spacing w:before="0" w:beforeAutospacing="0" w:after="0" w:afterAutospacing="0"/>
                    <w:ind w:left="0" w:right="0"/>
                    <w:textAlignment w:val="auto"/>
                    <w:rPr>
                      <w:rFonts w:hint="eastAsia"/>
                      <w:lang w:val="en-US" w:eastAsia="zh-CN"/>
                    </w:rPr>
                  </w:pPr>
                </w:p>
              </w:tc>
            </w:tr>
            <w:tr w14:paraId="08FFF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dxa"/>
                  <w:noWrap w:val="0"/>
                  <w:vAlign w:val="center"/>
                </w:tcPr>
                <w:p w14:paraId="3A8AB785">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eastAsia"/>
                      <w:lang w:val="en-US" w:eastAsia="zh-CN"/>
                    </w:rPr>
                    <w:t>5</w:t>
                  </w:r>
                </w:p>
              </w:tc>
              <w:tc>
                <w:tcPr>
                  <w:tcW w:w="3079" w:type="dxa"/>
                  <w:noWrap w:val="0"/>
                  <w:vAlign w:val="center"/>
                </w:tcPr>
                <w:p w14:paraId="4D3891DF">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eastAsia"/>
                      <w:lang w:val="en-US" w:eastAsia="zh-CN"/>
                    </w:rPr>
                    <w:t>商品混凝土</w:t>
                  </w:r>
                </w:p>
              </w:tc>
              <w:tc>
                <w:tcPr>
                  <w:tcW w:w="1131" w:type="dxa"/>
                  <w:noWrap w:val="0"/>
                  <w:vAlign w:val="center"/>
                </w:tcPr>
                <w:p w14:paraId="029C6BFB">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eastAsia"/>
                      <w:lang w:val="en-US" w:eastAsia="zh-CN"/>
                    </w:rPr>
                    <w:t>8</w:t>
                  </w:r>
                </w:p>
              </w:tc>
              <w:tc>
                <w:tcPr>
                  <w:tcW w:w="1163" w:type="dxa"/>
                  <w:noWrap w:val="0"/>
                  <w:vAlign w:val="center"/>
                </w:tcPr>
                <w:p w14:paraId="1A1ECC01">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eastAsia"/>
                      <w:lang w:val="en-US" w:eastAsia="zh-CN"/>
                    </w:rPr>
                    <w:t>万m</w:t>
                  </w:r>
                  <w:r>
                    <w:rPr>
                      <w:rFonts w:hint="eastAsia"/>
                      <w:vertAlign w:val="superscript"/>
                      <w:lang w:val="en-US" w:eastAsia="zh-CN"/>
                    </w:rPr>
                    <w:t>3</w:t>
                  </w:r>
                  <w:r>
                    <w:rPr>
                      <w:rFonts w:hint="eastAsia"/>
                      <w:lang w:val="en-US" w:eastAsia="zh-CN"/>
                    </w:rPr>
                    <w:t>/a</w:t>
                  </w:r>
                </w:p>
              </w:tc>
              <w:tc>
                <w:tcPr>
                  <w:tcW w:w="1977" w:type="dxa"/>
                  <w:vMerge w:val="continue"/>
                  <w:noWrap w:val="0"/>
                  <w:vAlign w:val="center"/>
                </w:tcPr>
                <w:p w14:paraId="2B9F0821">
                  <w:pPr>
                    <w:pStyle w:val="40"/>
                    <w:keepNext w:val="0"/>
                    <w:keepLines w:val="0"/>
                    <w:pageBreakBefore w:val="0"/>
                    <w:suppressLineNumbers w:val="0"/>
                    <w:kinsoku/>
                    <w:wordWrap/>
                    <w:topLinePunct w:val="0"/>
                    <w:autoSpaceDE/>
                    <w:autoSpaceDN/>
                    <w:bidi w:val="0"/>
                    <w:spacing w:before="0" w:beforeAutospacing="0" w:after="0" w:afterAutospacing="0"/>
                    <w:ind w:left="0" w:right="0"/>
                    <w:textAlignment w:val="auto"/>
                    <w:rPr>
                      <w:rFonts w:hint="eastAsia"/>
                      <w:lang w:val="en-US" w:eastAsia="zh-CN"/>
                    </w:rPr>
                  </w:pPr>
                </w:p>
              </w:tc>
            </w:tr>
            <w:tr w14:paraId="6B3B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97" w:type="dxa"/>
                  <w:gridSpan w:val="5"/>
                  <w:noWrap w:val="0"/>
                  <w:vAlign w:val="center"/>
                </w:tcPr>
                <w:p w14:paraId="3323429F">
                  <w:pPr>
                    <w:pStyle w:val="40"/>
                    <w:keepNext w:val="0"/>
                    <w:keepLines w:val="0"/>
                    <w:pageBreakBefore w:val="0"/>
                    <w:suppressLineNumbers w:val="0"/>
                    <w:kinsoku/>
                    <w:wordWrap/>
                    <w:topLinePunct w:val="0"/>
                    <w:autoSpaceDE/>
                    <w:autoSpaceDN/>
                    <w:bidi w:val="0"/>
                    <w:spacing w:before="0" w:beforeAutospacing="0" w:after="0" w:afterAutospacing="0"/>
                    <w:ind w:left="0" w:right="0"/>
                    <w:textAlignment w:val="auto"/>
                    <w:rPr>
                      <w:rFonts w:hint="default"/>
                      <w:lang w:val="en-US" w:eastAsia="zh-CN"/>
                    </w:rPr>
                  </w:pPr>
                  <w:r>
                    <w:rPr>
                      <w:rFonts w:hint="eastAsia"/>
                      <w:lang w:val="en-US" w:eastAsia="zh-CN"/>
                    </w:rPr>
                    <w:t>注：商品混凝土自用于厂内装配式建筑房屋、检查井、消防池和钢筋砼组合式化粪池生产。</w:t>
                  </w:r>
                </w:p>
              </w:tc>
            </w:tr>
          </w:tbl>
          <w:p w14:paraId="3081A964">
            <w:pPr>
              <w:pStyle w:val="2"/>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6.主要设备</w:t>
            </w:r>
          </w:p>
          <w:p w14:paraId="6E164C69">
            <w:pPr>
              <w:pStyle w:val="8"/>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rPr>
              <w:t>本项目主要</w:t>
            </w:r>
            <w:r>
              <w:rPr>
                <w:rFonts w:hint="eastAsia"/>
                <w:lang w:eastAsia="zh-CN"/>
              </w:rPr>
              <w:t>生产</w:t>
            </w:r>
            <w:r>
              <w:rPr>
                <w:rFonts w:hint="eastAsia"/>
                <w:lang w:val="en-US" w:eastAsia="zh-CN"/>
              </w:rPr>
              <w:t>设</w:t>
            </w:r>
            <w:r>
              <w:rPr>
                <w:rFonts w:hint="eastAsia"/>
                <w:highlight w:val="none"/>
                <w:lang w:val="en-US" w:eastAsia="zh-CN"/>
              </w:rPr>
              <w:t>备见下表2-3。</w:t>
            </w:r>
          </w:p>
          <w:p w14:paraId="163CDE75">
            <w:pPr>
              <w:pStyle w:val="42"/>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eastAsia="zh-CN"/>
              </w:rPr>
              <w:t>表</w:t>
            </w:r>
            <w:r>
              <w:rPr>
                <w:rFonts w:hint="eastAsia"/>
                <w:highlight w:val="none"/>
                <w:lang w:val="en-US" w:eastAsia="zh-CN"/>
              </w:rPr>
              <w:t>2-3    项目主要生产设备一览表</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1713"/>
              <w:gridCol w:w="1662"/>
              <w:gridCol w:w="893"/>
              <w:gridCol w:w="1113"/>
              <w:gridCol w:w="1983"/>
            </w:tblGrid>
            <w:tr w14:paraId="0E148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51" w:type="pct"/>
                  <w:noWrap w:val="0"/>
                  <w:vAlign w:val="center"/>
                </w:tcPr>
                <w:p w14:paraId="36183D1E">
                  <w:pPr>
                    <w:pStyle w:val="40"/>
                    <w:bidi w:val="0"/>
                    <w:rPr>
                      <w:rFonts w:hint="default"/>
                      <w:lang w:val="en-US" w:eastAsia="zh-CN"/>
                    </w:rPr>
                  </w:pPr>
                  <w:r>
                    <w:rPr>
                      <w:rFonts w:hint="eastAsia"/>
                      <w:lang w:val="en-US" w:eastAsia="zh-CN"/>
                    </w:rPr>
                    <w:t>序号</w:t>
                  </w:r>
                </w:p>
              </w:tc>
              <w:tc>
                <w:tcPr>
                  <w:tcW w:w="1058" w:type="pct"/>
                  <w:noWrap w:val="0"/>
                  <w:vAlign w:val="center"/>
                </w:tcPr>
                <w:p w14:paraId="0F6FEA43">
                  <w:pPr>
                    <w:pStyle w:val="40"/>
                    <w:bidi w:val="0"/>
                    <w:rPr>
                      <w:rFonts w:hint="default"/>
                      <w:lang w:val="en-US" w:eastAsia="zh-CN"/>
                    </w:rPr>
                  </w:pPr>
                  <w:r>
                    <w:rPr>
                      <w:rFonts w:hint="eastAsia"/>
                      <w:lang w:val="en-US" w:eastAsia="zh-CN"/>
                    </w:rPr>
                    <w:t>设备</w:t>
                  </w:r>
                  <w:r>
                    <w:rPr>
                      <w:rFonts w:hint="eastAsia"/>
                    </w:rPr>
                    <w:t>名称</w:t>
                  </w:r>
                </w:p>
              </w:tc>
              <w:tc>
                <w:tcPr>
                  <w:tcW w:w="1026" w:type="pct"/>
                  <w:shd w:val="clear" w:color="auto" w:fill="auto"/>
                  <w:noWrap w:val="0"/>
                  <w:vAlign w:val="center"/>
                </w:tcPr>
                <w:p w14:paraId="1524FD04">
                  <w:pPr>
                    <w:pStyle w:val="40"/>
                    <w:bidi w:val="0"/>
                    <w:rPr>
                      <w:rFonts w:hint="default" w:eastAsia="宋体"/>
                      <w:lang w:val="en-US" w:eastAsia="zh-CN"/>
                    </w:rPr>
                  </w:pPr>
                  <w:r>
                    <w:rPr>
                      <w:rFonts w:hint="eastAsia"/>
                      <w:lang w:val="en-US" w:eastAsia="zh-CN"/>
                    </w:rPr>
                    <w:t>规格/型号</w:t>
                  </w:r>
                </w:p>
              </w:tc>
              <w:tc>
                <w:tcPr>
                  <w:tcW w:w="551" w:type="pct"/>
                  <w:shd w:val="clear" w:color="auto" w:fill="auto"/>
                  <w:noWrap w:val="0"/>
                  <w:vAlign w:val="center"/>
                </w:tcPr>
                <w:p w14:paraId="6E5EB90D">
                  <w:pPr>
                    <w:pStyle w:val="40"/>
                    <w:bidi w:val="0"/>
                    <w:rPr>
                      <w:rFonts w:hint="eastAsia"/>
                      <w:lang w:val="en-US" w:eastAsia="zh-CN"/>
                    </w:rPr>
                  </w:pPr>
                  <w:r>
                    <w:rPr>
                      <w:rFonts w:hint="eastAsia"/>
                    </w:rPr>
                    <w:t>数量</w:t>
                  </w:r>
                </w:p>
              </w:tc>
              <w:tc>
                <w:tcPr>
                  <w:tcW w:w="687" w:type="pct"/>
                  <w:shd w:val="clear" w:color="auto" w:fill="auto"/>
                  <w:noWrap w:val="0"/>
                  <w:vAlign w:val="center"/>
                </w:tcPr>
                <w:p w14:paraId="330E8CDA">
                  <w:pPr>
                    <w:pStyle w:val="40"/>
                    <w:bidi w:val="0"/>
                    <w:rPr>
                      <w:rFonts w:hint="eastAsia"/>
                      <w:lang w:val="en-US" w:eastAsia="zh-CN"/>
                    </w:rPr>
                  </w:pPr>
                  <w:r>
                    <w:rPr>
                      <w:rFonts w:hint="eastAsia"/>
                    </w:rPr>
                    <w:t>单位</w:t>
                  </w:r>
                </w:p>
              </w:tc>
              <w:tc>
                <w:tcPr>
                  <w:tcW w:w="1224" w:type="pct"/>
                  <w:noWrap w:val="0"/>
                  <w:vAlign w:val="center"/>
                </w:tcPr>
                <w:p w14:paraId="7199F1A7">
                  <w:pPr>
                    <w:pStyle w:val="40"/>
                    <w:bidi w:val="0"/>
                    <w:rPr>
                      <w:rFonts w:hint="eastAsia"/>
                      <w:lang w:val="en-US" w:eastAsia="zh-CN"/>
                    </w:rPr>
                  </w:pPr>
                  <w:r>
                    <w:rPr>
                      <w:rFonts w:hint="eastAsia"/>
                      <w:lang w:val="en-US" w:eastAsia="zh-CN"/>
                    </w:rPr>
                    <w:t>用途</w:t>
                  </w:r>
                </w:p>
              </w:tc>
            </w:tr>
            <w:tr w14:paraId="0F5A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noWrap w:val="0"/>
                  <w:vAlign w:val="center"/>
                </w:tcPr>
                <w:p w14:paraId="15090D8B">
                  <w:pPr>
                    <w:pStyle w:val="40"/>
                    <w:bidi w:val="0"/>
                    <w:rPr>
                      <w:rFonts w:hint="default"/>
                      <w:lang w:val="en-US" w:eastAsia="zh-CN"/>
                    </w:rPr>
                  </w:pPr>
                  <w:r>
                    <w:rPr>
                      <w:rFonts w:hint="eastAsia"/>
                      <w:lang w:val="en-US" w:eastAsia="zh-CN"/>
                    </w:rPr>
                    <w:t>1</w:t>
                  </w:r>
                </w:p>
              </w:tc>
              <w:tc>
                <w:tcPr>
                  <w:tcW w:w="1058" w:type="pct"/>
                  <w:noWrap w:val="0"/>
                  <w:vAlign w:val="center"/>
                </w:tcPr>
                <w:p w14:paraId="082060CF">
                  <w:pPr>
                    <w:pStyle w:val="40"/>
                    <w:bidi w:val="0"/>
                    <w:rPr>
                      <w:rFonts w:hint="default"/>
                      <w:lang w:val="en-US" w:eastAsia="zh-CN"/>
                    </w:rPr>
                  </w:pPr>
                  <w:r>
                    <w:rPr>
                      <w:rFonts w:hint="eastAsia"/>
                      <w:lang w:val="en-US" w:eastAsia="zh-CN"/>
                    </w:rPr>
                    <w:t>水泥筒仓</w:t>
                  </w:r>
                </w:p>
              </w:tc>
              <w:tc>
                <w:tcPr>
                  <w:tcW w:w="1026" w:type="pct"/>
                  <w:shd w:val="clear" w:color="auto" w:fill="auto"/>
                  <w:noWrap w:val="0"/>
                  <w:vAlign w:val="center"/>
                </w:tcPr>
                <w:p w14:paraId="1057C583">
                  <w:pPr>
                    <w:pStyle w:val="40"/>
                    <w:bidi w:val="0"/>
                    <w:rPr>
                      <w:rFonts w:hint="eastAsia"/>
                      <w:lang w:val="en-US" w:eastAsia="zh-CN"/>
                    </w:rPr>
                  </w:pPr>
                  <w:r>
                    <w:rPr>
                      <w:rFonts w:hint="eastAsia"/>
                      <w:lang w:val="en-US" w:eastAsia="zh-CN"/>
                    </w:rPr>
                    <w:t>50t</w:t>
                  </w:r>
                </w:p>
              </w:tc>
              <w:tc>
                <w:tcPr>
                  <w:tcW w:w="551" w:type="pct"/>
                  <w:shd w:val="clear" w:color="auto" w:fill="auto"/>
                  <w:noWrap w:val="0"/>
                  <w:vAlign w:val="center"/>
                </w:tcPr>
                <w:p w14:paraId="5BD6AA07">
                  <w:pPr>
                    <w:pStyle w:val="40"/>
                    <w:bidi w:val="0"/>
                    <w:rPr>
                      <w:rFonts w:hint="eastAsia"/>
                      <w:lang w:val="en-US" w:eastAsia="zh-CN"/>
                    </w:rPr>
                  </w:pPr>
                  <w:r>
                    <w:rPr>
                      <w:rFonts w:hint="eastAsia"/>
                      <w:lang w:val="en-US" w:eastAsia="zh-CN"/>
                    </w:rPr>
                    <w:t>3</w:t>
                  </w:r>
                </w:p>
              </w:tc>
              <w:tc>
                <w:tcPr>
                  <w:tcW w:w="687" w:type="pct"/>
                  <w:shd w:val="clear" w:color="auto" w:fill="auto"/>
                  <w:noWrap w:val="0"/>
                  <w:vAlign w:val="center"/>
                </w:tcPr>
                <w:p w14:paraId="4FC6EC06">
                  <w:pPr>
                    <w:pStyle w:val="40"/>
                    <w:bidi w:val="0"/>
                    <w:rPr>
                      <w:rFonts w:hint="eastAsia"/>
                      <w:lang w:val="en-US" w:eastAsia="zh-CN"/>
                    </w:rPr>
                  </w:pPr>
                  <w:r>
                    <w:rPr>
                      <w:rFonts w:hint="eastAsia"/>
                      <w:lang w:val="en-US" w:eastAsia="zh-CN"/>
                    </w:rPr>
                    <w:t>座</w:t>
                  </w:r>
                </w:p>
              </w:tc>
              <w:tc>
                <w:tcPr>
                  <w:tcW w:w="1224" w:type="pct"/>
                  <w:vMerge w:val="restart"/>
                  <w:noWrap w:val="0"/>
                  <w:vAlign w:val="center"/>
                </w:tcPr>
                <w:p w14:paraId="08B7DA29">
                  <w:pPr>
                    <w:pStyle w:val="40"/>
                    <w:bidi w:val="0"/>
                    <w:rPr>
                      <w:rFonts w:hint="default"/>
                      <w:lang w:val="en-US" w:eastAsia="zh-CN"/>
                    </w:rPr>
                  </w:pPr>
                  <w:r>
                    <w:rPr>
                      <w:rFonts w:hint="eastAsia"/>
                      <w:lang w:val="en-US" w:eastAsia="zh-CN"/>
                    </w:rPr>
                    <w:t>原料储存</w:t>
                  </w:r>
                </w:p>
              </w:tc>
            </w:tr>
            <w:tr w14:paraId="1E12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451" w:type="pct"/>
                  <w:noWrap w:val="0"/>
                  <w:vAlign w:val="center"/>
                </w:tcPr>
                <w:p w14:paraId="625F6CFF">
                  <w:pPr>
                    <w:pStyle w:val="40"/>
                    <w:bidi w:val="0"/>
                    <w:rPr>
                      <w:rFonts w:hint="default"/>
                      <w:lang w:val="en-US" w:eastAsia="zh-CN"/>
                    </w:rPr>
                  </w:pPr>
                  <w:r>
                    <w:rPr>
                      <w:rFonts w:hint="eastAsia"/>
                      <w:lang w:val="en-US" w:eastAsia="zh-CN"/>
                    </w:rPr>
                    <w:t>2</w:t>
                  </w:r>
                </w:p>
              </w:tc>
              <w:tc>
                <w:tcPr>
                  <w:tcW w:w="1058" w:type="pct"/>
                  <w:noWrap w:val="0"/>
                  <w:vAlign w:val="center"/>
                </w:tcPr>
                <w:p w14:paraId="7EDA8A9A">
                  <w:pPr>
                    <w:pStyle w:val="40"/>
                    <w:bidi w:val="0"/>
                    <w:rPr>
                      <w:rFonts w:hint="default"/>
                      <w:lang w:val="en-US" w:eastAsia="zh-CN"/>
                    </w:rPr>
                  </w:pPr>
                  <w:r>
                    <w:rPr>
                      <w:rFonts w:hint="eastAsia"/>
                      <w:lang w:val="en-US" w:eastAsia="zh-CN"/>
                    </w:rPr>
                    <w:t>粉煤灰筒仓</w:t>
                  </w:r>
                </w:p>
              </w:tc>
              <w:tc>
                <w:tcPr>
                  <w:tcW w:w="1026" w:type="pct"/>
                  <w:shd w:val="clear" w:color="auto" w:fill="auto"/>
                  <w:noWrap w:val="0"/>
                  <w:vAlign w:val="center"/>
                </w:tcPr>
                <w:p w14:paraId="7EA5A446">
                  <w:pPr>
                    <w:pStyle w:val="40"/>
                    <w:bidi w:val="0"/>
                    <w:rPr>
                      <w:rFonts w:hint="eastAsia"/>
                      <w:lang w:val="en-US" w:eastAsia="zh-CN"/>
                    </w:rPr>
                  </w:pPr>
                  <w:r>
                    <w:rPr>
                      <w:rFonts w:hint="eastAsia"/>
                      <w:lang w:val="en-US" w:eastAsia="zh-CN"/>
                    </w:rPr>
                    <w:t>50t</w:t>
                  </w:r>
                </w:p>
              </w:tc>
              <w:tc>
                <w:tcPr>
                  <w:tcW w:w="551" w:type="pct"/>
                  <w:shd w:val="clear" w:color="auto" w:fill="auto"/>
                  <w:noWrap w:val="0"/>
                  <w:vAlign w:val="center"/>
                </w:tcPr>
                <w:p w14:paraId="43BA97CC">
                  <w:pPr>
                    <w:pStyle w:val="40"/>
                    <w:bidi w:val="0"/>
                    <w:rPr>
                      <w:rFonts w:hint="eastAsia"/>
                      <w:lang w:val="en-US" w:eastAsia="zh-CN"/>
                    </w:rPr>
                  </w:pPr>
                  <w:r>
                    <w:rPr>
                      <w:rFonts w:hint="eastAsia"/>
                      <w:lang w:val="en-US" w:eastAsia="zh-CN"/>
                    </w:rPr>
                    <w:t>3</w:t>
                  </w:r>
                </w:p>
              </w:tc>
              <w:tc>
                <w:tcPr>
                  <w:tcW w:w="687" w:type="pct"/>
                  <w:shd w:val="clear" w:color="auto" w:fill="auto"/>
                  <w:noWrap w:val="0"/>
                  <w:vAlign w:val="center"/>
                </w:tcPr>
                <w:p w14:paraId="6EB981F7">
                  <w:pPr>
                    <w:pStyle w:val="40"/>
                    <w:bidi w:val="0"/>
                    <w:rPr>
                      <w:rFonts w:hint="eastAsia"/>
                      <w:lang w:val="en-US" w:eastAsia="zh-CN"/>
                    </w:rPr>
                  </w:pPr>
                  <w:r>
                    <w:rPr>
                      <w:rFonts w:hint="eastAsia"/>
                      <w:lang w:val="en-US" w:eastAsia="zh-CN"/>
                    </w:rPr>
                    <w:t>座</w:t>
                  </w:r>
                </w:p>
              </w:tc>
              <w:tc>
                <w:tcPr>
                  <w:tcW w:w="1224" w:type="pct"/>
                  <w:vMerge w:val="continue"/>
                  <w:noWrap w:val="0"/>
                  <w:vAlign w:val="center"/>
                </w:tcPr>
                <w:p w14:paraId="16CE87FF">
                  <w:pPr>
                    <w:pStyle w:val="40"/>
                    <w:bidi w:val="0"/>
                    <w:rPr>
                      <w:rFonts w:hint="eastAsia"/>
                      <w:lang w:val="en-US" w:eastAsia="zh-CN"/>
                    </w:rPr>
                  </w:pPr>
                </w:p>
              </w:tc>
            </w:tr>
            <w:tr w14:paraId="7417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51" w:type="pct"/>
                  <w:noWrap w:val="0"/>
                  <w:vAlign w:val="center"/>
                </w:tcPr>
                <w:p w14:paraId="7154D0F2">
                  <w:pPr>
                    <w:pStyle w:val="40"/>
                    <w:bidi w:val="0"/>
                    <w:rPr>
                      <w:rFonts w:hint="default"/>
                      <w:lang w:val="en-US" w:eastAsia="zh-CN"/>
                    </w:rPr>
                  </w:pPr>
                  <w:r>
                    <w:rPr>
                      <w:rFonts w:hint="eastAsia"/>
                      <w:lang w:val="en-US" w:eastAsia="zh-CN"/>
                    </w:rPr>
                    <w:t>3</w:t>
                  </w:r>
                </w:p>
              </w:tc>
              <w:tc>
                <w:tcPr>
                  <w:tcW w:w="1058" w:type="pct"/>
                  <w:shd w:val="clear" w:color="auto" w:fill="auto"/>
                  <w:noWrap w:val="0"/>
                  <w:vAlign w:val="center"/>
                </w:tcPr>
                <w:p w14:paraId="2E65691E">
                  <w:pPr>
                    <w:pStyle w:val="40"/>
                    <w:bidi w:val="0"/>
                    <w:rPr>
                      <w:rFonts w:hint="eastAsia"/>
                      <w:lang w:val="en-US" w:eastAsia="zh-CN"/>
                    </w:rPr>
                  </w:pPr>
                  <w:r>
                    <w:rPr>
                      <w:rFonts w:hint="default"/>
                    </w:rPr>
                    <w:t>水称量供给系统</w:t>
                  </w:r>
                </w:p>
              </w:tc>
              <w:tc>
                <w:tcPr>
                  <w:tcW w:w="1026" w:type="pct"/>
                  <w:shd w:val="clear" w:color="auto" w:fill="auto"/>
                  <w:noWrap w:val="0"/>
                  <w:vAlign w:val="bottom"/>
                </w:tcPr>
                <w:p w14:paraId="58F88CF0">
                  <w:pPr>
                    <w:pStyle w:val="40"/>
                    <w:bidi w:val="0"/>
                    <w:rPr>
                      <w:rFonts w:hint="default"/>
                      <w:lang w:val="en-US" w:eastAsia="zh-CN"/>
                    </w:rPr>
                  </w:pPr>
                  <w:r>
                    <w:rPr>
                      <w:rFonts w:hint="eastAsia"/>
                      <w:lang w:val="en-US" w:eastAsia="zh-CN"/>
                    </w:rPr>
                    <w:t>/</w:t>
                  </w:r>
                </w:p>
              </w:tc>
              <w:tc>
                <w:tcPr>
                  <w:tcW w:w="551" w:type="pct"/>
                  <w:shd w:val="clear" w:color="auto" w:fill="auto"/>
                  <w:noWrap w:val="0"/>
                  <w:vAlign w:val="bottom"/>
                </w:tcPr>
                <w:p w14:paraId="34949BB0">
                  <w:pPr>
                    <w:pStyle w:val="40"/>
                    <w:bidi w:val="0"/>
                    <w:rPr>
                      <w:rFonts w:hint="default"/>
                      <w:lang w:val="en-US" w:eastAsia="zh-CN"/>
                    </w:rPr>
                  </w:pPr>
                  <w:r>
                    <w:rPr>
                      <w:rFonts w:hint="eastAsia"/>
                      <w:lang w:val="en-US" w:eastAsia="zh-CN"/>
                    </w:rPr>
                    <w:t>3</w:t>
                  </w:r>
                </w:p>
              </w:tc>
              <w:tc>
                <w:tcPr>
                  <w:tcW w:w="687" w:type="pct"/>
                  <w:shd w:val="clear" w:color="auto" w:fill="auto"/>
                  <w:noWrap w:val="0"/>
                  <w:vAlign w:val="bottom"/>
                </w:tcPr>
                <w:p w14:paraId="361705F5">
                  <w:pPr>
                    <w:pStyle w:val="40"/>
                    <w:bidi w:val="0"/>
                    <w:rPr>
                      <w:rFonts w:hint="default"/>
                      <w:lang w:val="en-US" w:eastAsia="zh-CN"/>
                    </w:rPr>
                  </w:pPr>
                  <w:r>
                    <w:rPr>
                      <w:rFonts w:hint="eastAsia"/>
                      <w:lang w:val="en-US" w:eastAsia="zh-CN"/>
                    </w:rPr>
                    <w:t>套</w:t>
                  </w:r>
                </w:p>
              </w:tc>
              <w:tc>
                <w:tcPr>
                  <w:tcW w:w="1224" w:type="pct"/>
                  <w:vMerge w:val="restart"/>
                  <w:shd w:val="clear" w:color="auto" w:fill="auto"/>
                  <w:noWrap w:val="0"/>
                  <w:vAlign w:val="center"/>
                </w:tcPr>
                <w:p w14:paraId="5A69C65F">
                  <w:pPr>
                    <w:pStyle w:val="40"/>
                    <w:bidi w:val="0"/>
                    <w:rPr>
                      <w:rFonts w:hint="default"/>
                      <w:lang w:val="en-US" w:eastAsia="zh-CN"/>
                    </w:rPr>
                  </w:pPr>
                  <w:r>
                    <w:rPr>
                      <w:rFonts w:hint="eastAsia"/>
                      <w:lang w:val="en-US" w:eastAsia="zh-CN"/>
                    </w:rPr>
                    <w:t>配料系统</w:t>
                  </w:r>
                </w:p>
              </w:tc>
            </w:tr>
            <w:tr w14:paraId="3E91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1" w:type="pct"/>
                  <w:noWrap w:val="0"/>
                  <w:vAlign w:val="center"/>
                </w:tcPr>
                <w:p w14:paraId="5CB679D5">
                  <w:pPr>
                    <w:pStyle w:val="40"/>
                    <w:bidi w:val="0"/>
                    <w:rPr>
                      <w:rFonts w:hint="default"/>
                      <w:lang w:val="en-US" w:eastAsia="zh-CN"/>
                    </w:rPr>
                  </w:pPr>
                  <w:r>
                    <w:rPr>
                      <w:rFonts w:hint="eastAsia"/>
                      <w:lang w:val="en-US" w:eastAsia="zh-CN"/>
                    </w:rPr>
                    <w:t>4</w:t>
                  </w:r>
                </w:p>
              </w:tc>
              <w:tc>
                <w:tcPr>
                  <w:tcW w:w="1058" w:type="pct"/>
                  <w:noWrap w:val="0"/>
                  <w:vAlign w:val="center"/>
                </w:tcPr>
                <w:p w14:paraId="5EE67C58">
                  <w:pPr>
                    <w:pStyle w:val="40"/>
                    <w:bidi w:val="0"/>
                    <w:rPr>
                      <w:rFonts w:hint="default"/>
                      <w:lang w:val="en-US" w:eastAsia="zh-CN"/>
                    </w:rPr>
                  </w:pPr>
                  <w:r>
                    <w:rPr>
                      <w:rFonts w:hint="default"/>
                      <w:lang w:val="en-US" w:eastAsia="zh-CN"/>
                    </w:rPr>
                    <w:t>水泥</w:t>
                  </w:r>
                  <w:r>
                    <w:rPr>
                      <w:rFonts w:hint="default"/>
                    </w:rPr>
                    <w:t>称量供给系统</w:t>
                  </w:r>
                </w:p>
              </w:tc>
              <w:tc>
                <w:tcPr>
                  <w:tcW w:w="1026" w:type="pct"/>
                  <w:shd w:val="clear" w:color="auto" w:fill="auto"/>
                  <w:noWrap w:val="0"/>
                  <w:vAlign w:val="center"/>
                </w:tcPr>
                <w:p w14:paraId="4B5C3FEC">
                  <w:pPr>
                    <w:pStyle w:val="40"/>
                    <w:bidi w:val="0"/>
                    <w:rPr>
                      <w:rFonts w:hint="default"/>
                      <w:lang w:val="en-US" w:eastAsia="zh-CN"/>
                    </w:rPr>
                  </w:pPr>
                  <w:r>
                    <w:rPr>
                      <w:rFonts w:hint="eastAsia"/>
                      <w:lang w:val="en-US" w:eastAsia="zh-CN"/>
                    </w:rPr>
                    <w:t>/</w:t>
                  </w:r>
                </w:p>
              </w:tc>
              <w:tc>
                <w:tcPr>
                  <w:tcW w:w="551" w:type="pct"/>
                  <w:shd w:val="clear" w:color="auto" w:fill="auto"/>
                  <w:noWrap w:val="0"/>
                  <w:vAlign w:val="center"/>
                </w:tcPr>
                <w:p w14:paraId="73C134F3">
                  <w:pPr>
                    <w:pStyle w:val="40"/>
                    <w:bidi w:val="0"/>
                    <w:rPr>
                      <w:rFonts w:hint="default"/>
                      <w:lang w:val="en-US" w:eastAsia="zh-CN"/>
                    </w:rPr>
                  </w:pPr>
                  <w:r>
                    <w:rPr>
                      <w:rFonts w:hint="eastAsia"/>
                      <w:lang w:val="en-US" w:eastAsia="zh-CN"/>
                    </w:rPr>
                    <w:t>3</w:t>
                  </w:r>
                </w:p>
              </w:tc>
              <w:tc>
                <w:tcPr>
                  <w:tcW w:w="687" w:type="pct"/>
                  <w:shd w:val="clear" w:color="auto" w:fill="auto"/>
                  <w:noWrap w:val="0"/>
                  <w:vAlign w:val="center"/>
                </w:tcPr>
                <w:p w14:paraId="0F1E420E">
                  <w:pPr>
                    <w:pStyle w:val="40"/>
                    <w:bidi w:val="0"/>
                    <w:rPr>
                      <w:rFonts w:hint="default"/>
                      <w:lang w:val="en-US" w:eastAsia="zh-CN"/>
                    </w:rPr>
                  </w:pPr>
                  <w:r>
                    <w:rPr>
                      <w:rFonts w:hint="eastAsia"/>
                      <w:lang w:val="en-US" w:eastAsia="zh-CN"/>
                    </w:rPr>
                    <w:t>套</w:t>
                  </w:r>
                </w:p>
              </w:tc>
              <w:tc>
                <w:tcPr>
                  <w:tcW w:w="1224" w:type="pct"/>
                  <w:vMerge w:val="continue"/>
                  <w:noWrap w:val="0"/>
                  <w:vAlign w:val="center"/>
                </w:tcPr>
                <w:p w14:paraId="1E56E490">
                  <w:pPr>
                    <w:pStyle w:val="40"/>
                    <w:bidi w:val="0"/>
                    <w:rPr>
                      <w:rFonts w:hint="default"/>
                      <w:lang w:val="en-US" w:eastAsia="zh-CN"/>
                    </w:rPr>
                  </w:pPr>
                </w:p>
              </w:tc>
            </w:tr>
            <w:tr w14:paraId="7438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1" w:type="pct"/>
                  <w:noWrap w:val="0"/>
                  <w:vAlign w:val="center"/>
                </w:tcPr>
                <w:p w14:paraId="2E88B1CE">
                  <w:pPr>
                    <w:pStyle w:val="40"/>
                    <w:bidi w:val="0"/>
                    <w:rPr>
                      <w:rFonts w:hint="default"/>
                      <w:lang w:val="en-US" w:eastAsia="zh-CN"/>
                    </w:rPr>
                  </w:pPr>
                  <w:r>
                    <w:rPr>
                      <w:rFonts w:hint="eastAsia"/>
                      <w:lang w:val="en-US" w:eastAsia="zh-CN"/>
                    </w:rPr>
                    <w:t>5</w:t>
                  </w:r>
                </w:p>
              </w:tc>
              <w:tc>
                <w:tcPr>
                  <w:tcW w:w="1058" w:type="pct"/>
                  <w:noWrap w:val="0"/>
                  <w:vAlign w:val="center"/>
                </w:tcPr>
                <w:p w14:paraId="45AA4AD2">
                  <w:pPr>
                    <w:pStyle w:val="40"/>
                    <w:bidi w:val="0"/>
                    <w:rPr>
                      <w:rFonts w:hint="default"/>
                      <w:lang w:val="en-US"/>
                    </w:rPr>
                  </w:pPr>
                  <w:r>
                    <w:rPr>
                      <w:rFonts w:hint="default"/>
                      <w:lang w:val="en-US" w:eastAsia="zh-CN"/>
                    </w:rPr>
                    <w:t>粉煤灰</w:t>
                  </w:r>
                  <w:r>
                    <w:rPr>
                      <w:rFonts w:hint="default"/>
                    </w:rPr>
                    <w:t>称量系统</w:t>
                  </w:r>
                </w:p>
              </w:tc>
              <w:tc>
                <w:tcPr>
                  <w:tcW w:w="1026" w:type="pct"/>
                  <w:shd w:val="clear" w:color="auto" w:fill="auto"/>
                  <w:noWrap w:val="0"/>
                  <w:vAlign w:val="center"/>
                </w:tcPr>
                <w:p w14:paraId="3D5ED170">
                  <w:pPr>
                    <w:pStyle w:val="40"/>
                    <w:bidi w:val="0"/>
                    <w:rPr>
                      <w:rFonts w:hint="default"/>
                      <w:lang w:val="en-US" w:eastAsia="zh-CN"/>
                    </w:rPr>
                  </w:pPr>
                  <w:r>
                    <w:rPr>
                      <w:rFonts w:hint="eastAsia"/>
                      <w:lang w:val="en-US" w:eastAsia="zh-CN"/>
                    </w:rPr>
                    <w:t>/</w:t>
                  </w:r>
                </w:p>
              </w:tc>
              <w:tc>
                <w:tcPr>
                  <w:tcW w:w="551" w:type="pct"/>
                  <w:shd w:val="clear" w:color="auto" w:fill="auto"/>
                  <w:noWrap w:val="0"/>
                  <w:vAlign w:val="center"/>
                </w:tcPr>
                <w:p w14:paraId="02BF3A1A">
                  <w:pPr>
                    <w:pStyle w:val="40"/>
                    <w:bidi w:val="0"/>
                    <w:rPr>
                      <w:rFonts w:hint="default"/>
                      <w:lang w:val="en-US" w:eastAsia="zh-CN"/>
                    </w:rPr>
                  </w:pPr>
                  <w:r>
                    <w:rPr>
                      <w:rFonts w:hint="eastAsia"/>
                      <w:lang w:val="en-US" w:eastAsia="zh-CN"/>
                    </w:rPr>
                    <w:t>3</w:t>
                  </w:r>
                </w:p>
              </w:tc>
              <w:tc>
                <w:tcPr>
                  <w:tcW w:w="687" w:type="pct"/>
                  <w:shd w:val="clear" w:color="auto" w:fill="auto"/>
                  <w:noWrap w:val="0"/>
                  <w:vAlign w:val="center"/>
                </w:tcPr>
                <w:p w14:paraId="3CFB259B">
                  <w:pPr>
                    <w:pStyle w:val="40"/>
                    <w:bidi w:val="0"/>
                    <w:rPr>
                      <w:rFonts w:hint="eastAsia"/>
                      <w:lang w:val="en-US" w:eastAsia="zh-CN"/>
                    </w:rPr>
                  </w:pPr>
                  <w:r>
                    <w:rPr>
                      <w:rFonts w:hint="eastAsia"/>
                      <w:lang w:val="en-US" w:eastAsia="zh-CN"/>
                    </w:rPr>
                    <w:t>套</w:t>
                  </w:r>
                </w:p>
              </w:tc>
              <w:tc>
                <w:tcPr>
                  <w:tcW w:w="1224" w:type="pct"/>
                  <w:vMerge w:val="continue"/>
                  <w:noWrap w:val="0"/>
                  <w:vAlign w:val="center"/>
                </w:tcPr>
                <w:p w14:paraId="637D55F0">
                  <w:pPr>
                    <w:pStyle w:val="40"/>
                    <w:bidi w:val="0"/>
                    <w:rPr>
                      <w:rFonts w:hint="eastAsia"/>
                      <w:lang w:val="en-US" w:eastAsia="zh-CN"/>
                    </w:rPr>
                  </w:pPr>
                </w:p>
              </w:tc>
            </w:tr>
            <w:tr w14:paraId="65E7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noWrap w:val="0"/>
                  <w:vAlign w:val="center"/>
                </w:tcPr>
                <w:p w14:paraId="7CEF985B">
                  <w:pPr>
                    <w:pStyle w:val="40"/>
                    <w:bidi w:val="0"/>
                    <w:rPr>
                      <w:rFonts w:hint="default"/>
                      <w:lang w:val="en-US" w:eastAsia="zh-CN"/>
                    </w:rPr>
                  </w:pPr>
                  <w:r>
                    <w:rPr>
                      <w:rFonts w:hint="eastAsia"/>
                      <w:lang w:val="en-US" w:eastAsia="zh-CN"/>
                    </w:rPr>
                    <w:t>6</w:t>
                  </w:r>
                </w:p>
              </w:tc>
              <w:tc>
                <w:tcPr>
                  <w:tcW w:w="1058" w:type="pct"/>
                  <w:shd w:val="clear" w:color="auto" w:fill="auto"/>
                  <w:noWrap w:val="0"/>
                  <w:vAlign w:val="center"/>
                </w:tcPr>
                <w:p w14:paraId="08EA2E26">
                  <w:pPr>
                    <w:pStyle w:val="40"/>
                    <w:bidi w:val="0"/>
                    <w:rPr>
                      <w:rFonts w:hint="default"/>
                      <w:lang w:val="en-US" w:eastAsia="zh-CN"/>
                    </w:rPr>
                  </w:pPr>
                  <w:r>
                    <w:rPr>
                      <w:rFonts w:hint="default"/>
                    </w:rPr>
                    <w:t>外加剂供给系统</w:t>
                  </w:r>
                </w:p>
              </w:tc>
              <w:tc>
                <w:tcPr>
                  <w:tcW w:w="1026" w:type="pct"/>
                  <w:shd w:val="clear" w:color="auto" w:fill="auto"/>
                  <w:noWrap w:val="0"/>
                  <w:vAlign w:val="center"/>
                </w:tcPr>
                <w:p w14:paraId="3C48A4FE">
                  <w:pPr>
                    <w:pStyle w:val="40"/>
                    <w:bidi w:val="0"/>
                    <w:rPr>
                      <w:rFonts w:hint="default"/>
                      <w:lang w:val="en-US" w:eastAsia="zh-CN"/>
                    </w:rPr>
                  </w:pPr>
                  <w:r>
                    <w:rPr>
                      <w:rFonts w:hint="eastAsia"/>
                      <w:lang w:val="en-US" w:eastAsia="zh-CN"/>
                    </w:rPr>
                    <w:t>/</w:t>
                  </w:r>
                </w:p>
              </w:tc>
              <w:tc>
                <w:tcPr>
                  <w:tcW w:w="551" w:type="pct"/>
                  <w:shd w:val="clear" w:color="auto" w:fill="auto"/>
                  <w:noWrap w:val="0"/>
                  <w:vAlign w:val="center"/>
                </w:tcPr>
                <w:p w14:paraId="2543EC47">
                  <w:pPr>
                    <w:pStyle w:val="40"/>
                    <w:bidi w:val="0"/>
                    <w:rPr>
                      <w:rFonts w:hint="default"/>
                      <w:lang w:val="en-US" w:eastAsia="zh-CN"/>
                    </w:rPr>
                  </w:pPr>
                  <w:r>
                    <w:rPr>
                      <w:rFonts w:hint="eastAsia"/>
                      <w:lang w:val="en-US" w:eastAsia="zh-CN"/>
                    </w:rPr>
                    <w:t>2</w:t>
                  </w:r>
                </w:p>
              </w:tc>
              <w:tc>
                <w:tcPr>
                  <w:tcW w:w="687" w:type="pct"/>
                  <w:shd w:val="clear" w:color="auto" w:fill="auto"/>
                  <w:noWrap w:val="0"/>
                  <w:vAlign w:val="center"/>
                </w:tcPr>
                <w:p w14:paraId="3B26294B">
                  <w:pPr>
                    <w:pStyle w:val="40"/>
                    <w:bidi w:val="0"/>
                    <w:rPr>
                      <w:rFonts w:hint="eastAsia"/>
                      <w:lang w:val="en-US" w:eastAsia="zh-CN"/>
                    </w:rPr>
                  </w:pPr>
                  <w:r>
                    <w:rPr>
                      <w:rFonts w:hint="eastAsia"/>
                      <w:lang w:val="en-US" w:eastAsia="zh-CN"/>
                    </w:rPr>
                    <w:t>套</w:t>
                  </w:r>
                </w:p>
              </w:tc>
              <w:tc>
                <w:tcPr>
                  <w:tcW w:w="1224" w:type="pct"/>
                  <w:vMerge w:val="continue"/>
                  <w:noWrap w:val="0"/>
                  <w:vAlign w:val="center"/>
                </w:tcPr>
                <w:p w14:paraId="5C103C30">
                  <w:pPr>
                    <w:pStyle w:val="40"/>
                    <w:bidi w:val="0"/>
                    <w:rPr>
                      <w:rFonts w:hint="default"/>
                      <w:lang w:val="en-US" w:eastAsia="zh-CN"/>
                    </w:rPr>
                  </w:pPr>
                </w:p>
              </w:tc>
            </w:tr>
            <w:tr w14:paraId="5EB3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noWrap w:val="0"/>
                  <w:vAlign w:val="center"/>
                </w:tcPr>
                <w:p w14:paraId="312CF93E">
                  <w:pPr>
                    <w:pStyle w:val="40"/>
                    <w:bidi w:val="0"/>
                    <w:rPr>
                      <w:rFonts w:hint="eastAsia"/>
                      <w:lang w:val="en-US" w:eastAsia="zh-CN"/>
                    </w:rPr>
                  </w:pPr>
                  <w:r>
                    <w:rPr>
                      <w:rFonts w:hint="eastAsia"/>
                      <w:lang w:val="en-US" w:eastAsia="zh-CN"/>
                    </w:rPr>
                    <w:t>7</w:t>
                  </w:r>
                </w:p>
              </w:tc>
              <w:tc>
                <w:tcPr>
                  <w:tcW w:w="1058" w:type="pct"/>
                  <w:shd w:val="clear" w:color="auto" w:fill="auto"/>
                  <w:noWrap w:val="0"/>
                  <w:vAlign w:val="center"/>
                </w:tcPr>
                <w:p w14:paraId="153D4AEF">
                  <w:pPr>
                    <w:pStyle w:val="40"/>
                    <w:bidi w:val="0"/>
                    <w:rPr>
                      <w:rFonts w:hint="default"/>
                    </w:rPr>
                  </w:pPr>
                  <w:r>
                    <w:rPr>
                      <w:rFonts w:hint="default"/>
                    </w:rPr>
                    <w:t>螺旋输送机</w:t>
                  </w:r>
                </w:p>
              </w:tc>
              <w:tc>
                <w:tcPr>
                  <w:tcW w:w="1026" w:type="pct"/>
                  <w:shd w:val="clear" w:color="auto" w:fill="auto"/>
                  <w:noWrap w:val="0"/>
                  <w:vAlign w:val="center"/>
                </w:tcPr>
                <w:p w14:paraId="419040C8">
                  <w:pPr>
                    <w:pStyle w:val="40"/>
                    <w:bidi w:val="0"/>
                    <w:rPr>
                      <w:rFonts w:hint="default"/>
                      <w:lang w:val="en-US" w:eastAsia="zh-CN"/>
                    </w:rPr>
                  </w:pPr>
                  <w:r>
                    <w:rPr>
                      <w:rFonts w:hint="eastAsia"/>
                      <w:lang w:val="en-US" w:eastAsia="zh-CN"/>
                    </w:rPr>
                    <w:t>/</w:t>
                  </w:r>
                </w:p>
              </w:tc>
              <w:tc>
                <w:tcPr>
                  <w:tcW w:w="551" w:type="pct"/>
                  <w:shd w:val="clear" w:color="auto" w:fill="auto"/>
                  <w:noWrap w:val="0"/>
                  <w:vAlign w:val="center"/>
                </w:tcPr>
                <w:p w14:paraId="5F4E9168">
                  <w:pPr>
                    <w:pStyle w:val="40"/>
                    <w:bidi w:val="0"/>
                    <w:rPr>
                      <w:rFonts w:hint="default"/>
                      <w:lang w:val="en-US" w:eastAsia="zh-CN"/>
                    </w:rPr>
                  </w:pPr>
                  <w:r>
                    <w:rPr>
                      <w:rFonts w:hint="eastAsia"/>
                      <w:lang w:val="en-US" w:eastAsia="zh-CN"/>
                    </w:rPr>
                    <w:t>6</w:t>
                  </w:r>
                </w:p>
              </w:tc>
              <w:tc>
                <w:tcPr>
                  <w:tcW w:w="687" w:type="pct"/>
                  <w:shd w:val="clear" w:color="auto" w:fill="auto"/>
                  <w:noWrap w:val="0"/>
                  <w:vAlign w:val="center"/>
                </w:tcPr>
                <w:p w14:paraId="44DDD02B">
                  <w:pPr>
                    <w:pStyle w:val="40"/>
                    <w:bidi w:val="0"/>
                    <w:rPr>
                      <w:rFonts w:hint="default"/>
                      <w:lang w:val="en-US" w:eastAsia="zh-CN"/>
                    </w:rPr>
                  </w:pPr>
                  <w:r>
                    <w:rPr>
                      <w:rFonts w:hint="eastAsia"/>
                      <w:lang w:val="en-US" w:eastAsia="zh-CN"/>
                    </w:rPr>
                    <w:t>个</w:t>
                  </w:r>
                </w:p>
              </w:tc>
              <w:tc>
                <w:tcPr>
                  <w:tcW w:w="1224" w:type="pct"/>
                  <w:vMerge w:val="continue"/>
                  <w:noWrap w:val="0"/>
                  <w:vAlign w:val="center"/>
                </w:tcPr>
                <w:p w14:paraId="50D57128">
                  <w:pPr>
                    <w:pStyle w:val="40"/>
                    <w:bidi w:val="0"/>
                    <w:rPr>
                      <w:rFonts w:hint="default"/>
                      <w:lang w:val="en-US" w:eastAsia="zh-CN"/>
                    </w:rPr>
                  </w:pPr>
                </w:p>
              </w:tc>
            </w:tr>
            <w:tr w14:paraId="348D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noWrap w:val="0"/>
                  <w:vAlign w:val="center"/>
                </w:tcPr>
                <w:p w14:paraId="1B6E933F">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8</w:t>
                  </w:r>
                </w:p>
              </w:tc>
              <w:tc>
                <w:tcPr>
                  <w:tcW w:w="1058" w:type="pct"/>
                  <w:shd w:val="clear" w:color="auto" w:fill="auto"/>
                  <w:noWrap w:val="0"/>
                  <w:vAlign w:val="center"/>
                </w:tcPr>
                <w:p w14:paraId="36B9344F">
                  <w:pPr>
                    <w:pStyle w:val="40"/>
                    <w:bidi w:val="0"/>
                    <w:rPr>
                      <w:rFonts w:hint="eastAsia" w:eastAsia="宋体"/>
                      <w:lang w:val="en-US" w:eastAsia="zh-CN"/>
                    </w:rPr>
                  </w:pPr>
                  <w:r>
                    <w:rPr>
                      <w:rFonts w:hint="eastAsia"/>
                      <w:lang w:val="en-US" w:eastAsia="zh-CN"/>
                    </w:rPr>
                    <w:t>搅拌机</w:t>
                  </w:r>
                </w:p>
              </w:tc>
              <w:tc>
                <w:tcPr>
                  <w:tcW w:w="1026" w:type="pct"/>
                  <w:shd w:val="clear" w:color="auto" w:fill="auto"/>
                  <w:noWrap w:val="0"/>
                  <w:vAlign w:val="center"/>
                </w:tcPr>
                <w:p w14:paraId="170BCEBB">
                  <w:pPr>
                    <w:pStyle w:val="40"/>
                    <w:bidi w:val="0"/>
                    <w:rPr>
                      <w:rFonts w:hint="default"/>
                      <w:lang w:val="en-US" w:eastAsia="zh-CN"/>
                    </w:rPr>
                  </w:pPr>
                  <w:r>
                    <w:rPr>
                      <w:rFonts w:hint="eastAsia"/>
                      <w:lang w:val="en-US" w:eastAsia="zh-CN"/>
                    </w:rPr>
                    <w:t>JS750型，35m</w:t>
                  </w:r>
                  <w:r>
                    <w:rPr>
                      <w:rFonts w:hint="eastAsia"/>
                      <w:vertAlign w:val="superscript"/>
                      <w:lang w:val="en-US" w:eastAsia="zh-CN"/>
                    </w:rPr>
                    <w:t>3</w:t>
                  </w:r>
                  <w:r>
                    <w:rPr>
                      <w:rFonts w:hint="eastAsia"/>
                      <w:lang w:val="en-US" w:eastAsia="zh-CN"/>
                    </w:rPr>
                    <w:t>/h</w:t>
                  </w:r>
                </w:p>
              </w:tc>
              <w:tc>
                <w:tcPr>
                  <w:tcW w:w="551" w:type="pct"/>
                  <w:shd w:val="clear" w:color="auto" w:fill="auto"/>
                  <w:noWrap w:val="0"/>
                  <w:vAlign w:val="center"/>
                </w:tcPr>
                <w:p w14:paraId="0CC0380A">
                  <w:pPr>
                    <w:pStyle w:val="40"/>
                    <w:bidi w:val="0"/>
                    <w:rPr>
                      <w:rFonts w:hint="default"/>
                      <w:lang w:val="en-US" w:eastAsia="zh-CN"/>
                    </w:rPr>
                  </w:pPr>
                  <w:r>
                    <w:rPr>
                      <w:rFonts w:hint="eastAsia"/>
                      <w:lang w:val="en-US" w:eastAsia="zh-CN"/>
                    </w:rPr>
                    <w:t>2</w:t>
                  </w:r>
                </w:p>
              </w:tc>
              <w:tc>
                <w:tcPr>
                  <w:tcW w:w="687" w:type="pct"/>
                  <w:shd w:val="clear" w:color="auto" w:fill="auto"/>
                  <w:noWrap w:val="0"/>
                  <w:vAlign w:val="center"/>
                </w:tcPr>
                <w:p w14:paraId="36A21702">
                  <w:pPr>
                    <w:pStyle w:val="40"/>
                    <w:bidi w:val="0"/>
                    <w:rPr>
                      <w:rFonts w:hint="default"/>
                      <w:lang w:val="en-US" w:eastAsia="zh-CN"/>
                    </w:rPr>
                  </w:pPr>
                  <w:r>
                    <w:rPr>
                      <w:rFonts w:hint="eastAsia"/>
                      <w:lang w:val="en-US" w:eastAsia="zh-CN"/>
                    </w:rPr>
                    <w:t>台</w:t>
                  </w:r>
                </w:p>
              </w:tc>
              <w:tc>
                <w:tcPr>
                  <w:tcW w:w="1224" w:type="pct"/>
                  <w:vMerge w:val="restart"/>
                  <w:noWrap w:val="0"/>
                  <w:vAlign w:val="center"/>
                </w:tcPr>
                <w:p w14:paraId="3E0859D4">
                  <w:pPr>
                    <w:pStyle w:val="40"/>
                    <w:bidi w:val="0"/>
                    <w:rPr>
                      <w:rFonts w:hint="default"/>
                      <w:lang w:val="en-US" w:eastAsia="zh-CN"/>
                    </w:rPr>
                  </w:pPr>
                  <w:r>
                    <w:rPr>
                      <w:rFonts w:hint="default"/>
                      <w:lang w:val="en-US" w:eastAsia="zh-CN"/>
                    </w:rPr>
                    <w:t>装配式建筑房屋</w:t>
                  </w:r>
                  <w:r>
                    <w:rPr>
                      <w:rFonts w:hint="eastAsia"/>
                      <w:lang w:val="en-US" w:eastAsia="zh-CN"/>
                    </w:rPr>
                    <w:t>、检查井、消防池和钢筋砼组合式化粪池</w:t>
                  </w:r>
                  <w:r>
                    <w:rPr>
                      <w:rFonts w:hint="default"/>
                      <w:lang w:val="en-US" w:eastAsia="zh-CN"/>
                    </w:rPr>
                    <w:t>主要生产设备</w:t>
                  </w:r>
                </w:p>
              </w:tc>
            </w:tr>
            <w:tr w14:paraId="63D1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51" w:type="pct"/>
                  <w:shd w:val="clear" w:color="auto" w:fill="auto"/>
                  <w:noWrap w:val="0"/>
                  <w:vAlign w:val="center"/>
                </w:tcPr>
                <w:p w14:paraId="06702F9D">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9</w:t>
                  </w:r>
                </w:p>
              </w:tc>
              <w:tc>
                <w:tcPr>
                  <w:tcW w:w="1058" w:type="pct"/>
                  <w:shd w:val="clear" w:color="auto" w:fill="auto"/>
                  <w:noWrap w:val="0"/>
                  <w:vAlign w:val="center"/>
                </w:tcPr>
                <w:p w14:paraId="09391735">
                  <w:pPr>
                    <w:pStyle w:val="40"/>
                    <w:bidi w:val="0"/>
                    <w:rPr>
                      <w:rFonts w:hint="eastAsia"/>
                      <w:lang w:val="en-US" w:eastAsia="zh-CN"/>
                    </w:rPr>
                  </w:pPr>
                  <w:r>
                    <w:rPr>
                      <w:rFonts w:hint="eastAsia"/>
                      <w:lang w:val="en-US" w:eastAsia="zh-CN"/>
                    </w:rPr>
                    <w:t>电焊机</w:t>
                  </w:r>
                </w:p>
              </w:tc>
              <w:tc>
                <w:tcPr>
                  <w:tcW w:w="1026" w:type="pct"/>
                  <w:shd w:val="clear" w:color="auto" w:fill="auto"/>
                  <w:noWrap w:val="0"/>
                  <w:vAlign w:val="center"/>
                </w:tcPr>
                <w:p w14:paraId="21D76306">
                  <w:pPr>
                    <w:pStyle w:val="40"/>
                    <w:bidi w:val="0"/>
                    <w:rPr>
                      <w:rFonts w:hint="default"/>
                      <w:lang w:val="en-US" w:eastAsia="zh-CN"/>
                    </w:rPr>
                  </w:pPr>
                  <w:r>
                    <w:rPr>
                      <w:rFonts w:hint="eastAsia"/>
                      <w:lang w:val="en-US" w:eastAsia="zh-CN"/>
                    </w:rPr>
                    <w:t>/</w:t>
                  </w:r>
                </w:p>
              </w:tc>
              <w:tc>
                <w:tcPr>
                  <w:tcW w:w="551" w:type="pct"/>
                  <w:shd w:val="clear" w:color="auto" w:fill="auto"/>
                  <w:noWrap w:val="0"/>
                  <w:vAlign w:val="center"/>
                </w:tcPr>
                <w:p w14:paraId="71D9B2DB">
                  <w:pPr>
                    <w:pStyle w:val="40"/>
                    <w:bidi w:val="0"/>
                    <w:rPr>
                      <w:rFonts w:hint="default"/>
                      <w:lang w:val="en-US" w:eastAsia="zh-CN"/>
                    </w:rPr>
                  </w:pPr>
                  <w:r>
                    <w:rPr>
                      <w:rFonts w:hint="eastAsia"/>
                      <w:lang w:val="en-US" w:eastAsia="zh-CN"/>
                    </w:rPr>
                    <w:t>5</w:t>
                  </w:r>
                </w:p>
              </w:tc>
              <w:tc>
                <w:tcPr>
                  <w:tcW w:w="687" w:type="pct"/>
                  <w:shd w:val="clear" w:color="auto" w:fill="auto"/>
                  <w:noWrap w:val="0"/>
                  <w:vAlign w:val="center"/>
                </w:tcPr>
                <w:p w14:paraId="1CCC5274">
                  <w:pPr>
                    <w:pStyle w:val="40"/>
                    <w:bidi w:val="0"/>
                    <w:rPr>
                      <w:rFonts w:hint="default"/>
                      <w:lang w:val="en-US" w:eastAsia="zh-CN"/>
                    </w:rPr>
                  </w:pPr>
                  <w:r>
                    <w:rPr>
                      <w:rFonts w:hint="eastAsia"/>
                      <w:lang w:val="en-US" w:eastAsia="zh-CN"/>
                    </w:rPr>
                    <w:t>台</w:t>
                  </w:r>
                </w:p>
              </w:tc>
              <w:tc>
                <w:tcPr>
                  <w:tcW w:w="1224" w:type="pct"/>
                  <w:vMerge w:val="continue"/>
                  <w:noWrap w:val="0"/>
                  <w:vAlign w:val="center"/>
                </w:tcPr>
                <w:p w14:paraId="69F81B0C">
                  <w:pPr>
                    <w:pStyle w:val="40"/>
                    <w:bidi w:val="0"/>
                    <w:rPr>
                      <w:rFonts w:hint="default"/>
                      <w:lang w:val="en-US" w:eastAsia="zh-CN"/>
                    </w:rPr>
                  </w:pPr>
                </w:p>
              </w:tc>
            </w:tr>
            <w:tr w14:paraId="7B5A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noWrap w:val="0"/>
                  <w:vAlign w:val="center"/>
                </w:tcPr>
                <w:p w14:paraId="6F8035B4">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10</w:t>
                  </w:r>
                </w:p>
              </w:tc>
              <w:tc>
                <w:tcPr>
                  <w:tcW w:w="1058" w:type="pct"/>
                  <w:shd w:val="clear" w:color="auto" w:fill="auto"/>
                  <w:noWrap w:val="0"/>
                  <w:vAlign w:val="center"/>
                </w:tcPr>
                <w:p w14:paraId="3B2E45EA">
                  <w:pPr>
                    <w:pStyle w:val="40"/>
                    <w:bidi w:val="0"/>
                    <w:rPr>
                      <w:rFonts w:hint="default"/>
                      <w:lang w:val="en-US" w:eastAsia="zh-CN"/>
                    </w:rPr>
                  </w:pPr>
                  <w:r>
                    <w:rPr>
                      <w:rFonts w:hint="eastAsia"/>
                    </w:rPr>
                    <w:t>焊接平台</w:t>
                  </w:r>
                </w:p>
              </w:tc>
              <w:tc>
                <w:tcPr>
                  <w:tcW w:w="1026" w:type="pct"/>
                  <w:shd w:val="clear" w:color="auto" w:fill="auto"/>
                  <w:noWrap w:val="0"/>
                  <w:vAlign w:val="center"/>
                </w:tcPr>
                <w:p w14:paraId="7CF92090">
                  <w:pPr>
                    <w:pStyle w:val="40"/>
                    <w:bidi w:val="0"/>
                    <w:rPr>
                      <w:rFonts w:hint="default"/>
                      <w:lang w:val="en-US" w:eastAsia="zh-CN"/>
                    </w:rPr>
                  </w:pPr>
                  <w:r>
                    <w:rPr>
                      <w:rFonts w:hint="eastAsia"/>
                      <w:lang w:val="en-US" w:eastAsia="zh-CN"/>
                    </w:rPr>
                    <w:t>/</w:t>
                  </w:r>
                </w:p>
              </w:tc>
              <w:tc>
                <w:tcPr>
                  <w:tcW w:w="551" w:type="pct"/>
                  <w:shd w:val="clear" w:color="auto" w:fill="auto"/>
                  <w:noWrap w:val="0"/>
                  <w:vAlign w:val="center"/>
                </w:tcPr>
                <w:p w14:paraId="47201379">
                  <w:pPr>
                    <w:pStyle w:val="40"/>
                    <w:bidi w:val="0"/>
                    <w:rPr>
                      <w:rFonts w:hint="default"/>
                      <w:lang w:val="en-US" w:eastAsia="zh-CN"/>
                    </w:rPr>
                  </w:pPr>
                  <w:r>
                    <w:rPr>
                      <w:rFonts w:hint="eastAsia"/>
                      <w:lang w:val="en-US" w:eastAsia="zh-CN"/>
                    </w:rPr>
                    <w:t>1</w:t>
                  </w:r>
                </w:p>
              </w:tc>
              <w:tc>
                <w:tcPr>
                  <w:tcW w:w="687" w:type="pct"/>
                  <w:shd w:val="clear" w:color="auto" w:fill="auto"/>
                  <w:noWrap w:val="0"/>
                  <w:vAlign w:val="center"/>
                </w:tcPr>
                <w:p w14:paraId="18C323FB">
                  <w:pPr>
                    <w:pStyle w:val="40"/>
                    <w:bidi w:val="0"/>
                    <w:rPr>
                      <w:rFonts w:hint="default"/>
                      <w:lang w:val="en-US" w:eastAsia="zh-CN"/>
                    </w:rPr>
                  </w:pPr>
                  <w:r>
                    <w:rPr>
                      <w:rFonts w:hint="eastAsia"/>
                      <w:lang w:val="en-US" w:eastAsia="zh-CN"/>
                    </w:rPr>
                    <w:t>个</w:t>
                  </w:r>
                </w:p>
              </w:tc>
              <w:tc>
                <w:tcPr>
                  <w:tcW w:w="1224" w:type="pct"/>
                  <w:vMerge w:val="continue"/>
                  <w:noWrap w:val="0"/>
                  <w:vAlign w:val="center"/>
                </w:tcPr>
                <w:p w14:paraId="081D9EAB">
                  <w:pPr>
                    <w:pStyle w:val="40"/>
                    <w:bidi w:val="0"/>
                    <w:rPr>
                      <w:rFonts w:hint="default"/>
                      <w:lang w:val="en-US" w:eastAsia="zh-CN"/>
                    </w:rPr>
                  </w:pPr>
                </w:p>
              </w:tc>
            </w:tr>
            <w:tr w14:paraId="44DC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noWrap w:val="0"/>
                  <w:vAlign w:val="center"/>
                </w:tcPr>
                <w:p w14:paraId="3221E7FC">
                  <w:pPr>
                    <w:pStyle w:val="40"/>
                    <w:bidi w:val="0"/>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w:t>
                  </w:r>
                </w:p>
              </w:tc>
              <w:tc>
                <w:tcPr>
                  <w:tcW w:w="1058" w:type="pct"/>
                  <w:shd w:val="clear" w:color="auto" w:fill="auto"/>
                  <w:noWrap w:val="0"/>
                  <w:vAlign w:val="center"/>
                </w:tcPr>
                <w:p w14:paraId="2170A57F">
                  <w:pPr>
                    <w:pStyle w:val="40"/>
                    <w:bidi w:val="0"/>
                    <w:rPr>
                      <w:rFonts w:hint="eastAsia" w:eastAsia="宋体"/>
                      <w:lang w:val="en-US" w:eastAsia="zh-CN"/>
                    </w:rPr>
                  </w:pPr>
                  <w:r>
                    <w:rPr>
                      <w:rFonts w:hint="eastAsia"/>
                      <w:lang w:val="en-US" w:eastAsia="zh-CN"/>
                    </w:rPr>
                    <w:t>弯折机</w:t>
                  </w:r>
                </w:p>
              </w:tc>
              <w:tc>
                <w:tcPr>
                  <w:tcW w:w="1026" w:type="pct"/>
                  <w:shd w:val="clear" w:color="auto" w:fill="auto"/>
                  <w:noWrap w:val="0"/>
                  <w:vAlign w:val="center"/>
                </w:tcPr>
                <w:p w14:paraId="1AD1CEF7">
                  <w:pPr>
                    <w:pStyle w:val="40"/>
                    <w:bidi w:val="0"/>
                    <w:rPr>
                      <w:rFonts w:hint="default"/>
                      <w:lang w:val="en-US" w:eastAsia="zh-CN"/>
                    </w:rPr>
                  </w:pPr>
                  <w:r>
                    <w:rPr>
                      <w:rFonts w:hint="eastAsia"/>
                      <w:lang w:val="en-US" w:eastAsia="zh-CN"/>
                    </w:rPr>
                    <w:t>/</w:t>
                  </w:r>
                </w:p>
              </w:tc>
              <w:tc>
                <w:tcPr>
                  <w:tcW w:w="551" w:type="pct"/>
                  <w:shd w:val="clear" w:color="auto" w:fill="auto"/>
                  <w:noWrap w:val="0"/>
                  <w:vAlign w:val="center"/>
                </w:tcPr>
                <w:p w14:paraId="033129D6">
                  <w:pPr>
                    <w:pStyle w:val="40"/>
                    <w:bidi w:val="0"/>
                    <w:rPr>
                      <w:rFonts w:hint="default"/>
                      <w:lang w:val="en-US" w:eastAsia="zh-CN"/>
                    </w:rPr>
                  </w:pPr>
                  <w:r>
                    <w:rPr>
                      <w:rFonts w:hint="eastAsia"/>
                      <w:lang w:val="en-US" w:eastAsia="zh-CN"/>
                    </w:rPr>
                    <w:t>2</w:t>
                  </w:r>
                </w:p>
              </w:tc>
              <w:tc>
                <w:tcPr>
                  <w:tcW w:w="687" w:type="pct"/>
                  <w:shd w:val="clear" w:color="auto" w:fill="auto"/>
                  <w:noWrap w:val="0"/>
                  <w:vAlign w:val="center"/>
                </w:tcPr>
                <w:p w14:paraId="12F04F0D">
                  <w:pPr>
                    <w:pStyle w:val="40"/>
                    <w:bidi w:val="0"/>
                    <w:rPr>
                      <w:rFonts w:hint="eastAsia"/>
                      <w:lang w:val="en-US" w:eastAsia="zh-CN"/>
                    </w:rPr>
                  </w:pPr>
                  <w:r>
                    <w:rPr>
                      <w:rFonts w:hint="eastAsia"/>
                      <w:lang w:val="en-US" w:eastAsia="zh-CN"/>
                    </w:rPr>
                    <w:t>台</w:t>
                  </w:r>
                </w:p>
              </w:tc>
              <w:tc>
                <w:tcPr>
                  <w:tcW w:w="1224" w:type="pct"/>
                  <w:vMerge w:val="continue"/>
                  <w:noWrap w:val="0"/>
                  <w:vAlign w:val="center"/>
                </w:tcPr>
                <w:p w14:paraId="301977F3">
                  <w:pPr>
                    <w:pStyle w:val="40"/>
                    <w:bidi w:val="0"/>
                    <w:rPr>
                      <w:rFonts w:hint="default"/>
                      <w:lang w:val="en-US" w:eastAsia="zh-CN"/>
                    </w:rPr>
                  </w:pPr>
                </w:p>
              </w:tc>
            </w:tr>
            <w:tr w14:paraId="0A6D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noWrap w:val="0"/>
                  <w:vAlign w:val="center"/>
                </w:tcPr>
                <w:p w14:paraId="1EFD5C25">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12</w:t>
                  </w:r>
                </w:p>
              </w:tc>
              <w:tc>
                <w:tcPr>
                  <w:tcW w:w="1058" w:type="pct"/>
                  <w:shd w:val="clear" w:color="auto" w:fill="auto"/>
                  <w:noWrap w:val="0"/>
                  <w:vAlign w:val="center"/>
                </w:tcPr>
                <w:p w14:paraId="2107B292">
                  <w:pPr>
                    <w:pStyle w:val="40"/>
                    <w:bidi w:val="0"/>
                    <w:rPr>
                      <w:rFonts w:hint="default"/>
                    </w:rPr>
                  </w:pPr>
                  <w:r>
                    <w:rPr>
                      <w:rFonts w:hint="eastAsia"/>
                    </w:rPr>
                    <w:t>航吊</w:t>
                  </w:r>
                </w:p>
              </w:tc>
              <w:tc>
                <w:tcPr>
                  <w:tcW w:w="1026" w:type="pct"/>
                  <w:shd w:val="clear" w:color="auto" w:fill="auto"/>
                  <w:noWrap w:val="0"/>
                  <w:vAlign w:val="center"/>
                </w:tcPr>
                <w:p w14:paraId="62D526D9">
                  <w:pPr>
                    <w:pStyle w:val="40"/>
                    <w:bidi w:val="0"/>
                    <w:rPr>
                      <w:rFonts w:hint="eastAsia"/>
                      <w:lang w:val="en-US" w:eastAsia="zh-CN"/>
                    </w:rPr>
                  </w:pPr>
                  <w:bookmarkStart w:id="2" w:name="_Toc26283"/>
                  <w:bookmarkStart w:id="3" w:name="_Toc5121"/>
                  <w:bookmarkStart w:id="4" w:name="_Toc22064"/>
                  <w:bookmarkStart w:id="5" w:name="_Toc27954"/>
                  <w:bookmarkStart w:id="6" w:name="_Toc505"/>
                  <w:bookmarkStart w:id="7" w:name="_Toc12336"/>
                  <w:bookmarkStart w:id="8" w:name="_Toc2507"/>
                  <w:r>
                    <w:rPr>
                      <w:rFonts w:hint="eastAsia"/>
                      <w:lang w:val="en-US" w:eastAsia="zh-CN"/>
                    </w:rPr>
                    <w:t>32t/h</w:t>
                  </w:r>
                  <w:bookmarkEnd w:id="2"/>
                  <w:bookmarkEnd w:id="3"/>
                  <w:bookmarkEnd w:id="4"/>
                  <w:bookmarkEnd w:id="5"/>
                  <w:bookmarkEnd w:id="6"/>
                  <w:bookmarkEnd w:id="7"/>
                  <w:bookmarkEnd w:id="8"/>
                </w:p>
              </w:tc>
              <w:tc>
                <w:tcPr>
                  <w:tcW w:w="551" w:type="pct"/>
                  <w:shd w:val="clear" w:color="auto" w:fill="auto"/>
                  <w:noWrap w:val="0"/>
                  <w:vAlign w:val="center"/>
                </w:tcPr>
                <w:p w14:paraId="69147005">
                  <w:pPr>
                    <w:pStyle w:val="40"/>
                    <w:bidi w:val="0"/>
                    <w:rPr>
                      <w:rFonts w:hint="default"/>
                      <w:lang w:val="en-US" w:eastAsia="zh-CN"/>
                    </w:rPr>
                  </w:pPr>
                  <w:r>
                    <w:rPr>
                      <w:rFonts w:hint="eastAsia"/>
                      <w:lang w:val="en-US" w:eastAsia="zh-CN"/>
                    </w:rPr>
                    <w:t>3</w:t>
                  </w:r>
                </w:p>
              </w:tc>
              <w:tc>
                <w:tcPr>
                  <w:tcW w:w="687" w:type="pct"/>
                  <w:shd w:val="clear" w:color="auto" w:fill="auto"/>
                  <w:noWrap w:val="0"/>
                  <w:vAlign w:val="center"/>
                </w:tcPr>
                <w:p w14:paraId="5794C9A0">
                  <w:pPr>
                    <w:pStyle w:val="40"/>
                    <w:bidi w:val="0"/>
                    <w:rPr>
                      <w:rFonts w:hint="eastAsia"/>
                      <w:lang w:val="en-US" w:eastAsia="zh-CN"/>
                    </w:rPr>
                  </w:pPr>
                  <w:r>
                    <w:rPr>
                      <w:rFonts w:hint="eastAsia"/>
                      <w:lang w:val="en-US" w:eastAsia="zh-CN"/>
                    </w:rPr>
                    <w:t>台</w:t>
                  </w:r>
                </w:p>
              </w:tc>
              <w:tc>
                <w:tcPr>
                  <w:tcW w:w="1224" w:type="pct"/>
                  <w:vMerge w:val="continue"/>
                  <w:noWrap w:val="0"/>
                  <w:vAlign w:val="center"/>
                </w:tcPr>
                <w:p w14:paraId="6958276E">
                  <w:pPr>
                    <w:pStyle w:val="40"/>
                    <w:bidi w:val="0"/>
                    <w:rPr>
                      <w:rFonts w:hint="default"/>
                      <w:lang w:val="en-US" w:eastAsia="zh-CN"/>
                    </w:rPr>
                  </w:pPr>
                </w:p>
              </w:tc>
            </w:tr>
            <w:tr w14:paraId="5D61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noWrap w:val="0"/>
                  <w:vAlign w:val="center"/>
                </w:tcPr>
                <w:p w14:paraId="2685E94D">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13</w:t>
                  </w:r>
                </w:p>
              </w:tc>
              <w:tc>
                <w:tcPr>
                  <w:tcW w:w="1058" w:type="pct"/>
                  <w:shd w:val="clear" w:color="auto" w:fill="auto"/>
                  <w:noWrap w:val="0"/>
                  <w:vAlign w:val="center"/>
                </w:tcPr>
                <w:p w14:paraId="752D8B6D">
                  <w:pPr>
                    <w:pStyle w:val="40"/>
                    <w:bidi w:val="0"/>
                    <w:rPr>
                      <w:rFonts w:hint="eastAsia"/>
                    </w:rPr>
                  </w:pPr>
                  <w:r>
                    <w:rPr>
                      <w:rFonts w:hint="default"/>
                    </w:rPr>
                    <w:t>Φ50插入式振捣器</w:t>
                  </w:r>
                </w:p>
              </w:tc>
              <w:tc>
                <w:tcPr>
                  <w:tcW w:w="1026" w:type="pct"/>
                  <w:shd w:val="clear" w:color="auto" w:fill="auto"/>
                  <w:noWrap w:val="0"/>
                  <w:vAlign w:val="center"/>
                </w:tcPr>
                <w:p w14:paraId="01F0A59C">
                  <w:pPr>
                    <w:pStyle w:val="40"/>
                    <w:bidi w:val="0"/>
                    <w:rPr>
                      <w:rFonts w:hint="default"/>
                      <w:lang w:val="en-US" w:eastAsia="zh-CN"/>
                    </w:rPr>
                  </w:pPr>
                  <w:r>
                    <w:rPr>
                      <w:rFonts w:hint="eastAsia"/>
                      <w:lang w:val="en-US" w:eastAsia="zh-CN"/>
                    </w:rPr>
                    <w:t>/</w:t>
                  </w:r>
                </w:p>
              </w:tc>
              <w:tc>
                <w:tcPr>
                  <w:tcW w:w="551" w:type="pct"/>
                  <w:shd w:val="clear" w:color="auto" w:fill="auto"/>
                  <w:noWrap w:val="0"/>
                  <w:vAlign w:val="center"/>
                </w:tcPr>
                <w:p w14:paraId="4DE84DD7">
                  <w:pPr>
                    <w:pStyle w:val="40"/>
                    <w:bidi w:val="0"/>
                    <w:rPr>
                      <w:rFonts w:hint="default"/>
                      <w:lang w:val="en-US" w:eastAsia="zh-CN"/>
                    </w:rPr>
                  </w:pPr>
                  <w:r>
                    <w:rPr>
                      <w:rFonts w:hint="eastAsia"/>
                      <w:lang w:val="en-US" w:eastAsia="zh-CN"/>
                    </w:rPr>
                    <w:t>2</w:t>
                  </w:r>
                </w:p>
              </w:tc>
              <w:tc>
                <w:tcPr>
                  <w:tcW w:w="687" w:type="pct"/>
                  <w:shd w:val="clear" w:color="auto" w:fill="auto"/>
                  <w:noWrap w:val="0"/>
                  <w:vAlign w:val="center"/>
                </w:tcPr>
                <w:p w14:paraId="31D39529">
                  <w:pPr>
                    <w:pStyle w:val="40"/>
                    <w:bidi w:val="0"/>
                    <w:rPr>
                      <w:rFonts w:hint="eastAsia"/>
                      <w:lang w:val="en-US" w:eastAsia="zh-CN"/>
                    </w:rPr>
                  </w:pPr>
                  <w:r>
                    <w:rPr>
                      <w:rFonts w:hint="eastAsia"/>
                      <w:lang w:val="en-US" w:eastAsia="zh-CN"/>
                    </w:rPr>
                    <w:t>台</w:t>
                  </w:r>
                </w:p>
              </w:tc>
              <w:tc>
                <w:tcPr>
                  <w:tcW w:w="1224" w:type="pct"/>
                  <w:vMerge w:val="continue"/>
                  <w:noWrap w:val="0"/>
                  <w:vAlign w:val="center"/>
                </w:tcPr>
                <w:p w14:paraId="3196FA60">
                  <w:pPr>
                    <w:pStyle w:val="40"/>
                    <w:bidi w:val="0"/>
                    <w:rPr>
                      <w:rFonts w:hint="default"/>
                      <w:lang w:val="en-US" w:eastAsia="zh-CN"/>
                    </w:rPr>
                  </w:pPr>
                </w:p>
              </w:tc>
            </w:tr>
            <w:tr w14:paraId="07A6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noWrap w:val="0"/>
                  <w:vAlign w:val="center"/>
                </w:tcPr>
                <w:p w14:paraId="5497761B">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14</w:t>
                  </w:r>
                </w:p>
              </w:tc>
              <w:tc>
                <w:tcPr>
                  <w:tcW w:w="1058" w:type="pct"/>
                  <w:shd w:val="clear" w:color="auto" w:fill="auto"/>
                  <w:noWrap w:val="0"/>
                  <w:vAlign w:val="center"/>
                </w:tcPr>
                <w:p w14:paraId="0FD358B5">
                  <w:pPr>
                    <w:pStyle w:val="40"/>
                    <w:bidi w:val="0"/>
                    <w:rPr>
                      <w:rFonts w:hint="default"/>
                    </w:rPr>
                  </w:pPr>
                  <w:r>
                    <w:rPr>
                      <w:rFonts w:hint="default"/>
                    </w:rPr>
                    <w:t>双螺带搅拌机</w:t>
                  </w:r>
                </w:p>
              </w:tc>
              <w:tc>
                <w:tcPr>
                  <w:tcW w:w="1026" w:type="pct"/>
                  <w:shd w:val="clear" w:color="auto" w:fill="auto"/>
                  <w:noWrap w:val="0"/>
                  <w:vAlign w:val="center"/>
                </w:tcPr>
                <w:p w14:paraId="1281CA5D">
                  <w:pPr>
                    <w:pStyle w:val="40"/>
                    <w:bidi w:val="0"/>
                    <w:rPr>
                      <w:rFonts w:hint="default"/>
                      <w:lang w:val="en-US" w:eastAsia="zh-CN"/>
                    </w:rPr>
                  </w:pPr>
                  <w:r>
                    <w:rPr>
                      <w:rFonts w:hint="eastAsia"/>
                      <w:lang w:val="en-US" w:eastAsia="zh-CN"/>
                    </w:rPr>
                    <w:t>SLY2000型，2.0m</w:t>
                  </w:r>
                  <w:r>
                    <w:rPr>
                      <w:rFonts w:hint="eastAsia"/>
                      <w:vertAlign w:val="superscript"/>
                      <w:lang w:val="en-US" w:eastAsia="zh-CN"/>
                    </w:rPr>
                    <w:t>3</w:t>
                  </w:r>
                  <w:r>
                    <w:rPr>
                      <w:rFonts w:hint="eastAsia"/>
                      <w:lang w:val="en-US" w:eastAsia="zh-CN"/>
                    </w:rPr>
                    <w:t>，8~12m</w:t>
                  </w:r>
                  <w:r>
                    <w:rPr>
                      <w:rFonts w:hint="eastAsia"/>
                      <w:vertAlign w:val="superscript"/>
                      <w:lang w:val="en-US" w:eastAsia="zh-CN"/>
                    </w:rPr>
                    <w:t>3</w:t>
                  </w:r>
                  <w:r>
                    <w:rPr>
                      <w:rFonts w:hint="eastAsia"/>
                      <w:lang w:val="en-US" w:eastAsia="zh-CN"/>
                    </w:rPr>
                    <w:t>/h</w:t>
                  </w:r>
                </w:p>
              </w:tc>
              <w:tc>
                <w:tcPr>
                  <w:tcW w:w="551" w:type="pct"/>
                  <w:shd w:val="clear" w:color="auto" w:fill="auto"/>
                  <w:noWrap w:val="0"/>
                  <w:vAlign w:val="center"/>
                </w:tcPr>
                <w:p w14:paraId="190E6616">
                  <w:pPr>
                    <w:pStyle w:val="40"/>
                    <w:bidi w:val="0"/>
                    <w:rPr>
                      <w:rFonts w:hint="default"/>
                      <w:lang w:val="en-US" w:eastAsia="zh-CN"/>
                    </w:rPr>
                  </w:pPr>
                  <w:r>
                    <w:rPr>
                      <w:rFonts w:hint="eastAsia"/>
                      <w:lang w:val="en-US" w:eastAsia="zh-CN"/>
                    </w:rPr>
                    <w:t>1</w:t>
                  </w:r>
                </w:p>
              </w:tc>
              <w:tc>
                <w:tcPr>
                  <w:tcW w:w="687" w:type="pct"/>
                  <w:shd w:val="clear" w:color="auto" w:fill="auto"/>
                  <w:noWrap w:val="0"/>
                  <w:vAlign w:val="center"/>
                </w:tcPr>
                <w:p w14:paraId="2CC949F1">
                  <w:pPr>
                    <w:pStyle w:val="40"/>
                    <w:bidi w:val="0"/>
                    <w:rPr>
                      <w:rFonts w:hint="eastAsia"/>
                      <w:lang w:val="en-US" w:eastAsia="zh-CN"/>
                    </w:rPr>
                  </w:pPr>
                  <w:r>
                    <w:rPr>
                      <w:rFonts w:hint="eastAsia"/>
                      <w:lang w:val="en-US" w:eastAsia="zh-CN"/>
                    </w:rPr>
                    <w:t>台</w:t>
                  </w:r>
                </w:p>
              </w:tc>
              <w:tc>
                <w:tcPr>
                  <w:tcW w:w="1224" w:type="pct"/>
                  <w:vMerge w:val="restart"/>
                  <w:noWrap w:val="0"/>
                  <w:vAlign w:val="center"/>
                </w:tcPr>
                <w:p w14:paraId="0700ECC2">
                  <w:pPr>
                    <w:pStyle w:val="40"/>
                    <w:bidi w:val="0"/>
                    <w:rPr>
                      <w:rFonts w:hint="default"/>
                      <w:lang w:val="en-US" w:eastAsia="zh-CN"/>
                    </w:rPr>
                  </w:pPr>
                  <w:r>
                    <w:rPr>
                      <w:rFonts w:hint="default"/>
                      <w:lang w:val="en-US" w:eastAsia="zh-CN"/>
                    </w:rPr>
                    <w:t>加气块主要生产设备</w:t>
                  </w:r>
                </w:p>
              </w:tc>
            </w:tr>
            <w:tr w14:paraId="5025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noWrap w:val="0"/>
                  <w:vAlign w:val="center"/>
                </w:tcPr>
                <w:p w14:paraId="4C410E53">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15</w:t>
                  </w:r>
                </w:p>
              </w:tc>
              <w:tc>
                <w:tcPr>
                  <w:tcW w:w="1058" w:type="pct"/>
                  <w:shd w:val="clear" w:color="auto" w:fill="auto"/>
                  <w:noWrap w:val="0"/>
                  <w:vAlign w:val="center"/>
                </w:tcPr>
                <w:p w14:paraId="5EA14838">
                  <w:pPr>
                    <w:pStyle w:val="40"/>
                    <w:bidi w:val="0"/>
                    <w:rPr>
                      <w:rFonts w:hint="default"/>
                    </w:rPr>
                  </w:pPr>
                  <w:r>
                    <w:rPr>
                      <w:rFonts w:hint="default"/>
                    </w:rPr>
                    <w:t>强制式搅拌机</w:t>
                  </w:r>
                </w:p>
              </w:tc>
              <w:tc>
                <w:tcPr>
                  <w:tcW w:w="1026" w:type="pct"/>
                  <w:shd w:val="clear" w:color="auto" w:fill="auto"/>
                  <w:noWrap w:val="0"/>
                  <w:vAlign w:val="center"/>
                </w:tcPr>
                <w:p w14:paraId="3124C6E6">
                  <w:pPr>
                    <w:pStyle w:val="40"/>
                    <w:bidi w:val="0"/>
                    <w:rPr>
                      <w:rFonts w:hint="eastAsia" w:eastAsia="宋体"/>
                      <w:lang w:val="en-US" w:eastAsia="zh-CN"/>
                    </w:rPr>
                  </w:pPr>
                  <w:r>
                    <w:rPr>
                      <w:rFonts w:hint="eastAsia"/>
                      <w:lang w:val="en-US" w:eastAsia="zh-CN"/>
                    </w:rPr>
                    <w:t>JW4200型，</w:t>
                  </w:r>
                  <w:r>
                    <w:rPr>
                      <w:rFonts w:hint="default"/>
                    </w:rPr>
                    <w:t>4.2m³</w:t>
                  </w:r>
                  <w:r>
                    <w:rPr>
                      <w:rFonts w:hint="eastAsia"/>
                      <w:lang w:eastAsia="zh-CN"/>
                    </w:rPr>
                    <w:t>，</w:t>
                  </w:r>
                  <w:r>
                    <w:rPr>
                      <w:rFonts w:hint="eastAsia"/>
                      <w:lang w:val="en-US" w:eastAsia="zh-CN"/>
                    </w:rPr>
                    <w:t>25~30m</w:t>
                  </w:r>
                  <w:r>
                    <w:rPr>
                      <w:rFonts w:hint="eastAsia"/>
                      <w:vertAlign w:val="superscript"/>
                      <w:lang w:val="en-US" w:eastAsia="zh-CN"/>
                    </w:rPr>
                    <w:t>3</w:t>
                  </w:r>
                  <w:r>
                    <w:rPr>
                      <w:rFonts w:hint="eastAsia"/>
                      <w:lang w:val="en-US" w:eastAsia="zh-CN"/>
                    </w:rPr>
                    <w:t>/h</w:t>
                  </w:r>
                </w:p>
              </w:tc>
              <w:tc>
                <w:tcPr>
                  <w:tcW w:w="551" w:type="pct"/>
                  <w:shd w:val="clear" w:color="auto" w:fill="auto"/>
                  <w:noWrap w:val="0"/>
                  <w:vAlign w:val="center"/>
                </w:tcPr>
                <w:p w14:paraId="77A34749">
                  <w:pPr>
                    <w:pStyle w:val="40"/>
                    <w:bidi w:val="0"/>
                    <w:rPr>
                      <w:rFonts w:hint="default"/>
                      <w:lang w:val="en-US" w:eastAsia="zh-CN"/>
                    </w:rPr>
                  </w:pPr>
                  <w:r>
                    <w:rPr>
                      <w:rFonts w:hint="eastAsia"/>
                      <w:lang w:val="en-US" w:eastAsia="zh-CN"/>
                    </w:rPr>
                    <w:t>1</w:t>
                  </w:r>
                </w:p>
              </w:tc>
              <w:tc>
                <w:tcPr>
                  <w:tcW w:w="687" w:type="pct"/>
                  <w:shd w:val="clear" w:color="auto" w:fill="auto"/>
                  <w:noWrap w:val="0"/>
                  <w:vAlign w:val="center"/>
                </w:tcPr>
                <w:p w14:paraId="5AECB08C">
                  <w:pPr>
                    <w:pStyle w:val="40"/>
                    <w:bidi w:val="0"/>
                    <w:rPr>
                      <w:rFonts w:hint="eastAsia"/>
                      <w:lang w:val="en-US" w:eastAsia="zh-CN"/>
                    </w:rPr>
                  </w:pPr>
                  <w:r>
                    <w:rPr>
                      <w:rFonts w:hint="eastAsia"/>
                      <w:lang w:val="en-US" w:eastAsia="zh-CN"/>
                    </w:rPr>
                    <w:t>台</w:t>
                  </w:r>
                </w:p>
              </w:tc>
              <w:tc>
                <w:tcPr>
                  <w:tcW w:w="1224" w:type="pct"/>
                  <w:vMerge w:val="continue"/>
                  <w:noWrap w:val="0"/>
                  <w:vAlign w:val="center"/>
                </w:tcPr>
                <w:p w14:paraId="0AF019EA">
                  <w:pPr>
                    <w:pStyle w:val="40"/>
                    <w:bidi w:val="0"/>
                    <w:rPr>
                      <w:rFonts w:hint="default"/>
                      <w:lang w:val="en-US" w:eastAsia="zh-CN"/>
                    </w:rPr>
                  </w:pPr>
                </w:p>
              </w:tc>
            </w:tr>
            <w:tr w14:paraId="5E7B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noWrap w:val="0"/>
                  <w:vAlign w:val="center"/>
                </w:tcPr>
                <w:p w14:paraId="711C3D94">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16</w:t>
                  </w:r>
                </w:p>
              </w:tc>
              <w:tc>
                <w:tcPr>
                  <w:tcW w:w="1058" w:type="pct"/>
                  <w:shd w:val="clear" w:color="auto" w:fill="auto"/>
                  <w:noWrap w:val="0"/>
                  <w:vAlign w:val="center"/>
                </w:tcPr>
                <w:p w14:paraId="5CB0B50D">
                  <w:pPr>
                    <w:pStyle w:val="40"/>
                    <w:bidi w:val="0"/>
                    <w:rPr>
                      <w:rFonts w:hint="default"/>
                      <w:lang w:val="en-US" w:eastAsia="zh-CN"/>
                    </w:rPr>
                  </w:pPr>
                  <w:r>
                    <w:rPr>
                      <w:rFonts w:hint="default"/>
                    </w:rPr>
                    <w:t>翻转式切割机</w:t>
                  </w:r>
                </w:p>
              </w:tc>
              <w:tc>
                <w:tcPr>
                  <w:tcW w:w="1026" w:type="pct"/>
                  <w:shd w:val="clear" w:color="auto" w:fill="auto"/>
                  <w:noWrap w:val="0"/>
                  <w:vAlign w:val="center"/>
                </w:tcPr>
                <w:p w14:paraId="45B7B816">
                  <w:pPr>
                    <w:pStyle w:val="40"/>
                    <w:bidi w:val="0"/>
                    <w:rPr>
                      <w:rFonts w:hint="eastAsia"/>
                      <w:lang w:val="en-US" w:eastAsia="zh-CN"/>
                    </w:rPr>
                  </w:pPr>
                  <w:r>
                    <w:rPr>
                      <w:rFonts w:hint="eastAsia"/>
                      <w:lang w:val="en-US" w:eastAsia="zh-CN"/>
                    </w:rPr>
                    <w:t>FG型6m，12～16m</w:t>
                  </w:r>
                  <w:r>
                    <w:rPr>
                      <w:rFonts w:hint="eastAsia"/>
                      <w:vertAlign w:val="superscript"/>
                      <w:lang w:val="en-US" w:eastAsia="zh-CN"/>
                    </w:rPr>
                    <w:t>3</w:t>
                  </w:r>
                  <w:r>
                    <w:rPr>
                      <w:rFonts w:hint="eastAsia"/>
                      <w:lang w:val="en-US" w:eastAsia="zh-CN"/>
                    </w:rPr>
                    <w:t>/h</w:t>
                  </w:r>
                </w:p>
              </w:tc>
              <w:tc>
                <w:tcPr>
                  <w:tcW w:w="551" w:type="pct"/>
                  <w:shd w:val="clear" w:color="auto" w:fill="auto"/>
                  <w:noWrap w:val="0"/>
                  <w:vAlign w:val="center"/>
                </w:tcPr>
                <w:p w14:paraId="0F32598A">
                  <w:pPr>
                    <w:pStyle w:val="40"/>
                    <w:bidi w:val="0"/>
                    <w:rPr>
                      <w:rFonts w:hint="default"/>
                      <w:lang w:val="en-US" w:eastAsia="zh-CN"/>
                    </w:rPr>
                  </w:pPr>
                  <w:r>
                    <w:rPr>
                      <w:rFonts w:hint="eastAsia"/>
                      <w:lang w:val="en-US" w:eastAsia="zh-CN"/>
                    </w:rPr>
                    <w:t>2</w:t>
                  </w:r>
                </w:p>
              </w:tc>
              <w:tc>
                <w:tcPr>
                  <w:tcW w:w="687" w:type="pct"/>
                  <w:shd w:val="clear" w:color="auto" w:fill="auto"/>
                  <w:noWrap w:val="0"/>
                  <w:vAlign w:val="center"/>
                </w:tcPr>
                <w:p w14:paraId="4A4BAA98">
                  <w:pPr>
                    <w:pStyle w:val="40"/>
                    <w:bidi w:val="0"/>
                    <w:rPr>
                      <w:rFonts w:hint="eastAsia"/>
                      <w:lang w:val="en-US" w:eastAsia="zh-CN"/>
                    </w:rPr>
                  </w:pPr>
                  <w:r>
                    <w:rPr>
                      <w:rFonts w:hint="eastAsia"/>
                      <w:lang w:val="en-US" w:eastAsia="zh-CN"/>
                    </w:rPr>
                    <w:t>台</w:t>
                  </w:r>
                </w:p>
              </w:tc>
              <w:tc>
                <w:tcPr>
                  <w:tcW w:w="1224" w:type="pct"/>
                  <w:vMerge w:val="continue"/>
                  <w:noWrap w:val="0"/>
                  <w:vAlign w:val="center"/>
                </w:tcPr>
                <w:p w14:paraId="6E881579">
                  <w:pPr>
                    <w:pStyle w:val="40"/>
                    <w:bidi w:val="0"/>
                    <w:rPr>
                      <w:rFonts w:hint="default"/>
                      <w:lang w:val="en-US" w:eastAsia="zh-CN"/>
                    </w:rPr>
                  </w:pPr>
                </w:p>
              </w:tc>
            </w:tr>
            <w:tr w14:paraId="5114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noWrap w:val="0"/>
                  <w:vAlign w:val="center"/>
                </w:tcPr>
                <w:p w14:paraId="3D1A7313">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17</w:t>
                  </w:r>
                </w:p>
              </w:tc>
              <w:tc>
                <w:tcPr>
                  <w:tcW w:w="1058" w:type="pct"/>
                  <w:shd w:val="clear" w:color="auto" w:fill="auto"/>
                  <w:noWrap w:val="0"/>
                  <w:vAlign w:val="center"/>
                </w:tcPr>
                <w:p w14:paraId="5F6464E8">
                  <w:pPr>
                    <w:pStyle w:val="40"/>
                    <w:bidi w:val="0"/>
                    <w:rPr>
                      <w:rFonts w:hint="default"/>
                      <w:lang w:val="en-US" w:eastAsia="zh-CN"/>
                    </w:rPr>
                  </w:pPr>
                  <w:r>
                    <w:rPr>
                      <w:rFonts w:hint="eastAsia"/>
                      <w:lang w:val="en-US" w:eastAsia="zh-CN"/>
                    </w:rPr>
                    <w:t>双轴搅拌机</w:t>
                  </w:r>
                </w:p>
              </w:tc>
              <w:tc>
                <w:tcPr>
                  <w:tcW w:w="1026" w:type="pct"/>
                  <w:shd w:val="clear" w:color="auto" w:fill="auto"/>
                  <w:noWrap w:val="0"/>
                  <w:vAlign w:val="center"/>
                </w:tcPr>
                <w:p w14:paraId="1B6416D5">
                  <w:pPr>
                    <w:pStyle w:val="40"/>
                    <w:bidi w:val="0"/>
                    <w:rPr>
                      <w:rFonts w:hint="eastAsia"/>
                      <w:lang w:val="en-US" w:eastAsia="zh-CN"/>
                    </w:rPr>
                  </w:pPr>
                  <w:r>
                    <w:rPr>
                      <w:rFonts w:hint="eastAsia"/>
                      <w:lang w:val="en-US" w:eastAsia="zh-CN"/>
                    </w:rPr>
                    <w:t>JS750型，35m</w:t>
                  </w:r>
                  <w:r>
                    <w:rPr>
                      <w:rFonts w:hint="eastAsia"/>
                      <w:vertAlign w:val="superscript"/>
                      <w:lang w:val="en-US" w:eastAsia="zh-CN"/>
                    </w:rPr>
                    <w:t>3</w:t>
                  </w:r>
                  <w:r>
                    <w:rPr>
                      <w:rFonts w:hint="eastAsia"/>
                      <w:lang w:val="en-US" w:eastAsia="zh-CN"/>
                    </w:rPr>
                    <w:t>/h</w:t>
                  </w:r>
                </w:p>
              </w:tc>
              <w:tc>
                <w:tcPr>
                  <w:tcW w:w="551" w:type="pct"/>
                  <w:shd w:val="clear" w:color="auto" w:fill="auto"/>
                  <w:noWrap w:val="0"/>
                  <w:vAlign w:val="center"/>
                </w:tcPr>
                <w:p w14:paraId="24D15E8F">
                  <w:pPr>
                    <w:pStyle w:val="40"/>
                    <w:bidi w:val="0"/>
                    <w:rPr>
                      <w:rFonts w:hint="default"/>
                      <w:lang w:val="en-US" w:eastAsia="zh-CN"/>
                    </w:rPr>
                  </w:pPr>
                  <w:r>
                    <w:rPr>
                      <w:rFonts w:hint="eastAsia"/>
                      <w:lang w:val="en-US" w:eastAsia="zh-CN"/>
                    </w:rPr>
                    <w:t>1</w:t>
                  </w:r>
                </w:p>
              </w:tc>
              <w:tc>
                <w:tcPr>
                  <w:tcW w:w="687" w:type="pct"/>
                  <w:shd w:val="clear" w:color="auto" w:fill="auto"/>
                  <w:noWrap w:val="0"/>
                  <w:vAlign w:val="center"/>
                </w:tcPr>
                <w:p w14:paraId="21F50541">
                  <w:pPr>
                    <w:pStyle w:val="40"/>
                    <w:bidi w:val="0"/>
                    <w:rPr>
                      <w:rFonts w:hint="eastAsia"/>
                      <w:lang w:val="en-US" w:eastAsia="zh-CN"/>
                    </w:rPr>
                  </w:pPr>
                  <w:r>
                    <w:rPr>
                      <w:rFonts w:hint="eastAsia"/>
                      <w:lang w:val="en-US" w:eastAsia="zh-CN"/>
                    </w:rPr>
                    <w:t>台</w:t>
                  </w:r>
                </w:p>
              </w:tc>
              <w:tc>
                <w:tcPr>
                  <w:tcW w:w="1224" w:type="pct"/>
                  <w:vMerge w:val="restart"/>
                  <w:noWrap w:val="0"/>
                  <w:vAlign w:val="center"/>
                </w:tcPr>
                <w:p w14:paraId="34D0A8BE">
                  <w:pPr>
                    <w:pStyle w:val="40"/>
                    <w:bidi w:val="0"/>
                    <w:rPr>
                      <w:rFonts w:hint="default"/>
                      <w:lang w:val="en-US" w:eastAsia="zh-CN"/>
                    </w:rPr>
                  </w:pPr>
                  <w:r>
                    <w:rPr>
                      <w:rFonts w:hint="default"/>
                      <w:lang w:val="en-US" w:eastAsia="zh-CN"/>
                    </w:rPr>
                    <w:t>预制水泥砖主要生产设备</w:t>
                  </w:r>
                </w:p>
              </w:tc>
            </w:tr>
            <w:tr w14:paraId="385DA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noWrap w:val="0"/>
                  <w:vAlign w:val="center"/>
                </w:tcPr>
                <w:p w14:paraId="162D49EA">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18</w:t>
                  </w:r>
                </w:p>
              </w:tc>
              <w:tc>
                <w:tcPr>
                  <w:tcW w:w="1058" w:type="pct"/>
                  <w:shd w:val="clear" w:color="auto" w:fill="auto"/>
                  <w:noWrap w:val="0"/>
                  <w:vAlign w:val="center"/>
                </w:tcPr>
                <w:p w14:paraId="694C7A1D">
                  <w:pPr>
                    <w:pStyle w:val="40"/>
                    <w:bidi w:val="0"/>
                    <w:rPr>
                      <w:rFonts w:hint="eastAsia"/>
                      <w:lang w:val="en-US" w:eastAsia="zh-CN"/>
                    </w:rPr>
                  </w:pPr>
                  <w:r>
                    <w:rPr>
                      <w:rFonts w:hint="eastAsia"/>
                      <w:lang w:val="en-US" w:eastAsia="zh-CN"/>
                    </w:rPr>
                    <w:t>斗式提升机</w:t>
                  </w:r>
                </w:p>
              </w:tc>
              <w:tc>
                <w:tcPr>
                  <w:tcW w:w="1026" w:type="pct"/>
                  <w:shd w:val="clear" w:color="auto" w:fill="auto"/>
                  <w:noWrap w:val="0"/>
                  <w:vAlign w:val="center"/>
                </w:tcPr>
                <w:p w14:paraId="217E41DB">
                  <w:pPr>
                    <w:pStyle w:val="40"/>
                    <w:bidi w:val="0"/>
                    <w:rPr>
                      <w:rFonts w:hint="eastAsia"/>
                      <w:lang w:val="en-US" w:eastAsia="zh-CN"/>
                    </w:rPr>
                  </w:pPr>
                  <w:r>
                    <w:rPr>
                      <w:rFonts w:hint="eastAsia"/>
                      <w:lang w:val="en-US" w:eastAsia="zh-CN"/>
                    </w:rPr>
                    <w:t>TD160型，15～20m</w:t>
                  </w:r>
                  <w:r>
                    <w:rPr>
                      <w:rFonts w:hint="eastAsia"/>
                      <w:vertAlign w:val="superscript"/>
                      <w:lang w:val="en-US" w:eastAsia="zh-CN"/>
                    </w:rPr>
                    <w:t>3</w:t>
                  </w:r>
                  <w:r>
                    <w:rPr>
                      <w:rFonts w:hint="eastAsia"/>
                      <w:lang w:val="en-US" w:eastAsia="zh-CN"/>
                    </w:rPr>
                    <w:t>/h</w:t>
                  </w:r>
                </w:p>
              </w:tc>
              <w:tc>
                <w:tcPr>
                  <w:tcW w:w="551" w:type="pct"/>
                  <w:shd w:val="clear" w:color="auto" w:fill="auto"/>
                  <w:noWrap w:val="0"/>
                  <w:vAlign w:val="center"/>
                </w:tcPr>
                <w:p w14:paraId="72B2471D">
                  <w:pPr>
                    <w:pStyle w:val="40"/>
                    <w:bidi w:val="0"/>
                    <w:rPr>
                      <w:rFonts w:hint="default"/>
                      <w:lang w:val="en-US" w:eastAsia="zh-CN"/>
                    </w:rPr>
                  </w:pPr>
                  <w:r>
                    <w:rPr>
                      <w:rFonts w:hint="eastAsia"/>
                      <w:lang w:val="en-US" w:eastAsia="zh-CN"/>
                    </w:rPr>
                    <w:t>1</w:t>
                  </w:r>
                </w:p>
              </w:tc>
              <w:tc>
                <w:tcPr>
                  <w:tcW w:w="687" w:type="pct"/>
                  <w:shd w:val="clear" w:color="auto" w:fill="auto"/>
                  <w:noWrap w:val="0"/>
                  <w:vAlign w:val="center"/>
                </w:tcPr>
                <w:p w14:paraId="7A94DDDA">
                  <w:pPr>
                    <w:pStyle w:val="40"/>
                    <w:bidi w:val="0"/>
                    <w:rPr>
                      <w:rFonts w:hint="eastAsia"/>
                      <w:lang w:val="en-US" w:eastAsia="zh-CN"/>
                    </w:rPr>
                  </w:pPr>
                  <w:r>
                    <w:rPr>
                      <w:rFonts w:hint="eastAsia"/>
                      <w:lang w:val="en-US" w:eastAsia="zh-CN"/>
                    </w:rPr>
                    <w:t>台</w:t>
                  </w:r>
                </w:p>
              </w:tc>
              <w:tc>
                <w:tcPr>
                  <w:tcW w:w="1224" w:type="pct"/>
                  <w:vMerge w:val="continue"/>
                  <w:noWrap w:val="0"/>
                  <w:vAlign w:val="center"/>
                </w:tcPr>
                <w:p w14:paraId="724028D9">
                  <w:pPr>
                    <w:pStyle w:val="40"/>
                    <w:bidi w:val="0"/>
                    <w:rPr>
                      <w:rFonts w:hint="default"/>
                      <w:lang w:val="en-US" w:eastAsia="zh-CN"/>
                    </w:rPr>
                  </w:pPr>
                </w:p>
              </w:tc>
            </w:tr>
            <w:tr w14:paraId="7F619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noWrap w:val="0"/>
                  <w:vAlign w:val="center"/>
                </w:tcPr>
                <w:p w14:paraId="71C2F6AD">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19</w:t>
                  </w:r>
                </w:p>
              </w:tc>
              <w:tc>
                <w:tcPr>
                  <w:tcW w:w="1058" w:type="pct"/>
                  <w:shd w:val="clear" w:color="auto" w:fill="auto"/>
                  <w:noWrap w:val="0"/>
                  <w:vAlign w:val="center"/>
                </w:tcPr>
                <w:p w14:paraId="1F600231">
                  <w:pPr>
                    <w:pStyle w:val="40"/>
                    <w:bidi w:val="0"/>
                    <w:rPr>
                      <w:rFonts w:hint="default"/>
                      <w:lang w:val="en-US" w:eastAsia="zh-CN"/>
                    </w:rPr>
                  </w:pPr>
                  <w:r>
                    <w:rPr>
                      <w:rFonts w:hint="eastAsia"/>
                      <w:lang w:val="en-US" w:eastAsia="zh-CN"/>
                    </w:rPr>
                    <w:t>螺旋布料器</w:t>
                  </w:r>
                </w:p>
              </w:tc>
              <w:tc>
                <w:tcPr>
                  <w:tcW w:w="1026" w:type="pct"/>
                  <w:shd w:val="clear" w:color="auto" w:fill="auto"/>
                  <w:noWrap w:val="0"/>
                  <w:vAlign w:val="center"/>
                </w:tcPr>
                <w:p w14:paraId="7A9908FC">
                  <w:pPr>
                    <w:pStyle w:val="40"/>
                    <w:bidi w:val="0"/>
                    <w:rPr>
                      <w:rFonts w:hint="eastAsia"/>
                      <w:lang w:val="en-US" w:eastAsia="zh-CN"/>
                    </w:rPr>
                  </w:pPr>
                  <w:r>
                    <w:rPr>
                      <w:rFonts w:hint="eastAsia"/>
                      <w:lang w:val="en-US" w:eastAsia="zh-CN"/>
                    </w:rPr>
                    <w:t>GL160型，8～12m</w:t>
                  </w:r>
                  <w:r>
                    <w:rPr>
                      <w:rFonts w:hint="eastAsia"/>
                      <w:vertAlign w:val="superscript"/>
                      <w:lang w:val="en-US" w:eastAsia="zh-CN"/>
                    </w:rPr>
                    <w:t>3</w:t>
                  </w:r>
                  <w:r>
                    <w:rPr>
                      <w:rFonts w:hint="eastAsia"/>
                      <w:lang w:val="en-US" w:eastAsia="zh-CN"/>
                    </w:rPr>
                    <w:t>/h</w:t>
                  </w:r>
                </w:p>
              </w:tc>
              <w:tc>
                <w:tcPr>
                  <w:tcW w:w="551" w:type="pct"/>
                  <w:shd w:val="clear" w:color="auto" w:fill="auto"/>
                  <w:noWrap w:val="0"/>
                  <w:vAlign w:val="center"/>
                </w:tcPr>
                <w:p w14:paraId="30EA95CD">
                  <w:pPr>
                    <w:pStyle w:val="40"/>
                    <w:bidi w:val="0"/>
                    <w:rPr>
                      <w:rFonts w:hint="default"/>
                      <w:lang w:val="en-US" w:eastAsia="zh-CN"/>
                    </w:rPr>
                  </w:pPr>
                  <w:r>
                    <w:rPr>
                      <w:rFonts w:hint="eastAsia"/>
                      <w:lang w:val="en-US" w:eastAsia="zh-CN"/>
                    </w:rPr>
                    <w:t>2</w:t>
                  </w:r>
                </w:p>
              </w:tc>
              <w:tc>
                <w:tcPr>
                  <w:tcW w:w="687" w:type="pct"/>
                  <w:shd w:val="clear" w:color="auto" w:fill="auto"/>
                  <w:noWrap w:val="0"/>
                  <w:vAlign w:val="center"/>
                </w:tcPr>
                <w:p w14:paraId="6D23BD74">
                  <w:pPr>
                    <w:pStyle w:val="40"/>
                    <w:bidi w:val="0"/>
                    <w:rPr>
                      <w:rFonts w:hint="eastAsia"/>
                      <w:lang w:val="en-US" w:eastAsia="zh-CN"/>
                    </w:rPr>
                  </w:pPr>
                  <w:r>
                    <w:rPr>
                      <w:rFonts w:hint="eastAsia"/>
                      <w:lang w:val="en-US" w:eastAsia="zh-CN"/>
                    </w:rPr>
                    <w:t>台</w:t>
                  </w:r>
                </w:p>
              </w:tc>
              <w:tc>
                <w:tcPr>
                  <w:tcW w:w="1224" w:type="pct"/>
                  <w:vMerge w:val="continue"/>
                  <w:noWrap w:val="0"/>
                  <w:vAlign w:val="center"/>
                </w:tcPr>
                <w:p w14:paraId="1F0082A3">
                  <w:pPr>
                    <w:pStyle w:val="40"/>
                    <w:bidi w:val="0"/>
                    <w:rPr>
                      <w:rFonts w:hint="default"/>
                      <w:lang w:val="en-US" w:eastAsia="zh-CN"/>
                    </w:rPr>
                  </w:pPr>
                </w:p>
              </w:tc>
            </w:tr>
            <w:tr w14:paraId="0B3E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noWrap w:val="0"/>
                  <w:vAlign w:val="center"/>
                </w:tcPr>
                <w:p w14:paraId="68A538D8">
                  <w:pPr>
                    <w:pStyle w:val="40"/>
                    <w:bidi w:val="0"/>
                    <w:rPr>
                      <w:rFonts w:hint="default" w:ascii="Times New Roman" w:hAnsi="Times New Roman" w:eastAsia="宋体" w:cs="Times New Roman"/>
                      <w:kern w:val="2"/>
                      <w:sz w:val="21"/>
                      <w:szCs w:val="21"/>
                      <w:lang w:val="en-US" w:eastAsia="zh-CN" w:bidi="ar-SA"/>
                    </w:rPr>
                  </w:pPr>
                  <w:r>
                    <w:rPr>
                      <w:rFonts w:hint="eastAsia"/>
                      <w:lang w:val="en-US" w:eastAsia="zh-CN"/>
                    </w:rPr>
                    <w:t>20</w:t>
                  </w:r>
                </w:p>
              </w:tc>
              <w:tc>
                <w:tcPr>
                  <w:tcW w:w="1058" w:type="pct"/>
                  <w:shd w:val="clear" w:color="auto" w:fill="auto"/>
                  <w:noWrap w:val="0"/>
                  <w:vAlign w:val="center"/>
                </w:tcPr>
                <w:p w14:paraId="1F7006DF">
                  <w:pPr>
                    <w:pStyle w:val="40"/>
                    <w:bidi w:val="0"/>
                    <w:rPr>
                      <w:rFonts w:hint="default"/>
                      <w:lang w:val="en-US" w:eastAsia="zh-CN"/>
                    </w:rPr>
                  </w:pPr>
                  <w:r>
                    <w:rPr>
                      <w:rFonts w:hint="eastAsia"/>
                      <w:lang w:val="en-US" w:eastAsia="zh-CN"/>
                    </w:rPr>
                    <w:t>全自动液压制砖机</w:t>
                  </w:r>
                </w:p>
              </w:tc>
              <w:tc>
                <w:tcPr>
                  <w:tcW w:w="1026" w:type="pct"/>
                  <w:shd w:val="clear" w:color="auto" w:fill="auto"/>
                  <w:noWrap w:val="0"/>
                  <w:vAlign w:val="center"/>
                </w:tcPr>
                <w:p w14:paraId="222FE520">
                  <w:pPr>
                    <w:pStyle w:val="40"/>
                    <w:bidi w:val="0"/>
                    <w:rPr>
                      <w:rFonts w:hint="eastAsia"/>
                      <w:lang w:val="en-US" w:eastAsia="zh-CN"/>
                    </w:rPr>
                  </w:pPr>
                  <w:r>
                    <w:rPr>
                      <w:rFonts w:hint="eastAsia"/>
                      <w:lang w:val="en-US" w:eastAsia="zh-CN"/>
                    </w:rPr>
                    <w:t>QT4-15型，2500～3000块/h</w:t>
                  </w:r>
                </w:p>
              </w:tc>
              <w:tc>
                <w:tcPr>
                  <w:tcW w:w="551" w:type="pct"/>
                  <w:shd w:val="clear" w:color="auto" w:fill="auto"/>
                  <w:noWrap w:val="0"/>
                  <w:vAlign w:val="center"/>
                </w:tcPr>
                <w:p w14:paraId="0807A21B">
                  <w:pPr>
                    <w:pStyle w:val="40"/>
                    <w:bidi w:val="0"/>
                    <w:rPr>
                      <w:rFonts w:hint="default"/>
                      <w:lang w:val="en-US" w:eastAsia="zh-CN"/>
                    </w:rPr>
                  </w:pPr>
                  <w:r>
                    <w:rPr>
                      <w:rFonts w:hint="eastAsia"/>
                      <w:lang w:val="en-US" w:eastAsia="zh-CN"/>
                    </w:rPr>
                    <w:t>2</w:t>
                  </w:r>
                </w:p>
              </w:tc>
              <w:tc>
                <w:tcPr>
                  <w:tcW w:w="687" w:type="pct"/>
                  <w:shd w:val="clear" w:color="auto" w:fill="auto"/>
                  <w:noWrap w:val="0"/>
                  <w:vAlign w:val="center"/>
                </w:tcPr>
                <w:p w14:paraId="46D5A22B">
                  <w:pPr>
                    <w:pStyle w:val="40"/>
                    <w:bidi w:val="0"/>
                    <w:rPr>
                      <w:rFonts w:hint="eastAsia"/>
                      <w:lang w:val="en-US" w:eastAsia="zh-CN"/>
                    </w:rPr>
                  </w:pPr>
                  <w:r>
                    <w:rPr>
                      <w:rFonts w:hint="eastAsia"/>
                      <w:lang w:val="en-US" w:eastAsia="zh-CN"/>
                    </w:rPr>
                    <w:t>台</w:t>
                  </w:r>
                </w:p>
              </w:tc>
              <w:tc>
                <w:tcPr>
                  <w:tcW w:w="1224" w:type="pct"/>
                  <w:vMerge w:val="continue"/>
                  <w:noWrap w:val="0"/>
                  <w:vAlign w:val="center"/>
                </w:tcPr>
                <w:p w14:paraId="644BE3CF">
                  <w:pPr>
                    <w:pStyle w:val="40"/>
                    <w:bidi w:val="0"/>
                    <w:rPr>
                      <w:rFonts w:hint="default"/>
                      <w:lang w:val="en-US" w:eastAsia="zh-CN"/>
                    </w:rPr>
                  </w:pPr>
                </w:p>
              </w:tc>
            </w:tr>
            <w:tr w14:paraId="3C28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noWrap w:val="0"/>
                  <w:vAlign w:val="center"/>
                </w:tcPr>
                <w:p w14:paraId="445F7C0D">
                  <w:pPr>
                    <w:pStyle w:val="40"/>
                    <w:bidi w:val="0"/>
                    <w:rPr>
                      <w:rFonts w:hint="default" w:ascii="Times New Roman" w:hAnsi="Times New Roman" w:eastAsia="宋体" w:cs="Times New Roman"/>
                      <w:kern w:val="2"/>
                      <w:sz w:val="21"/>
                      <w:szCs w:val="21"/>
                      <w:lang w:val="en-US" w:eastAsia="zh-CN" w:bidi="ar-SA"/>
                    </w:rPr>
                  </w:pPr>
                  <w:r>
                    <w:rPr>
                      <w:rFonts w:hint="eastAsia"/>
                      <w:lang w:val="en-US" w:eastAsia="zh-CN"/>
                    </w:rPr>
                    <w:t>21</w:t>
                  </w:r>
                </w:p>
              </w:tc>
              <w:tc>
                <w:tcPr>
                  <w:tcW w:w="1058" w:type="pct"/>
                  <w:shd w:val="clear" w:color="auto" w:fill="auto"/>
                  <w:noWrap w:val="0"/>
                  <w:vAlign w:val="center"/>
                </w:tcPr>
                <w:p w14:paraId="364582FE">
                  <w:pPr>
                    <w:pStyle w:val="40"/>
                    <w:bidi w:val="0"/>
                    <w:rPr>
                      <w:rFonts w:hint="default"/>
                      <w:lang w:val="en-US" w:eastAsia="zh-CN"/>
                    </w:rPr>
                  </w:pPr>
                  <w:r>
                    <w:rPr>
                      <w:rFonts w:hint="eastAsia"/>
                      <w:lang w:val="en-US" w:eastAsia="zh-CN"/>
                    </w:rPr>
                    <w:t>养护架</w:t>
                  </w:r>
                </w:p>
              </w:tc>
              <w:tc>
                <w:tcPr>
                  <w:tcW w:w="1026" w:type="pct"/>
                  <w:shd w:val="clear" w:color="auto" w:fill="auto"/>
                  <w:noWrap w:val="0"/>
                  <w:vAlign w:val="center"/>
                </w:tcPr>
                <w:p w14:paraId="573E0BA7">
                  <w:pPr>
                    <w:pStyle w:val="40"/>
                    <w:bidi w:val="0"/>
                    <w:rPr>
                      <w:rFonts w:hint="default"/>
                      <w:lang w:val="en-US" w:eastAsia="zh-CN"/>
                    </w:rPr>
                  </w:pPr>
                  <w:r>
                    <w:rPr>
                      <w:rFonts w:hint="eastAsia"/>
                      <w:lang w:val="en-US" w:eastAsia="zh-CN"/>
                    </w:rPr>
                    <w:t>/</w:t>
                  </w:r>
                </w:p>
              </w:tc>
              <w:tc>
                <w:tcPr>
                  <w:tcW w:w="551" w:type="pct"/>
                  <w:shd w:val="clear" w:color="auto" w:fill="auto"/>
                  <w:noWrap w:val="0"/>
                  <w:vAlign w:val="center"/>
                </w:tcPr>
                <w:p w14:paraId="41FFDBBC">
                  <w:pPr>
                    <w:pStyle w:val="40"/>
                    <w:bidi w:val="0"/>
                    <w:rPr>
                      <w:rFonts w:hint="default"/>
                      <w:lang w:val="en-US" w:eastAsia="zh-CN"/>
                    </w:rPr>
                  </w:pPr>
                  <w:r>
                    <w:rPr>
                      <w:rFonts w:hint="eastAsia"/>
                      <w:lang w:val="en-US" w:eastAsia="zh-CN"/>
                    </w:rPr>
                    <w:t>若干</w:t>
                  </w:r>
                </w:p>
              </w:tc>
              <w:tc>
                <w:tcPr>
                  <w:tcW w:w="687" w:type="pct"/>
                  <w:shd w:val="clear" w:color="auto" w:fill="auto"/>
                  <w:noWrap w:val="0"/>
                  <w:vAlign w:val="center"/>
                </w:tcPr>
                <w:p w14:paraId="4BB06642">
                  <w:pPr>
                    <w:pStyle w:val="40"/>
                    <w:bidi w:val="0"/>
                    <w:rPr>
                      <w:rFonts w:hint="default"/>
                      <w:lang w:val="en-US" w:eastAsia="zh-CN"/>
                    </w:rPr>
                  </w:pPr>
                  <w:r>
                    <w:rPr>
                      <w:rFonts w:hint="eastAsia"/>
                      <w:lang w:val="en-US" w:eastAsia="zh-CN"/>
                    </w:rPr>
                    <w:t>个</w:t>
                  </w:r>
                </w:p>
              </w:tc>
              <w:tc>
                <w:tcPr>
                  <w:tcW w:w="1224" w:type="pct"/>
                  <w:noWrap w:val="0"/>
                  <w:vAlign w:val="center"/>
                </w:tcPr>
                <w:p w14:paraId="5FBD27BC">
                  <w:pPr>
                    <w:pStyle w:val="40"/>
                    <w:bidi w:val="0"/>
                    <w:rPr>
                      <w:rFonts w:hint="default"/>
                      <w:lang w:val="en-US" w:eastAsia="zh-CN"/>
                    </w:rPr>
                  </w:pPr>
                  <w:r>
                    <w:rPr>
                      <w:rFonts w:hint="eastAsia"/>
                      <w:lang w:val="en-US" w:eastAsia="zh-CN"/>
                    </w:rPr>
                    <w:t>/</w:t>
                  </w:r>
                </w:p>
              </w:tc>
            </w:tr>
            <w:tr w14:paraId="2275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noWrap w:val="0"/>
                  <w:vAlign w:val="center"/>
                </w:tcPr>
                <w:p w14:paraId="64BB5DAF">
                  <w:pPr>
                    <w:pStyle w:val="40"/>
                    <w:bidi w:val="0"/>
                    <w:rPr>
                      <w:rFonts w:hint="default" w:ascii="Times New Roman" w:hAnsi="Times New Roman" w:eastAsia="宋体" w:cs="Times New Roman"/>
                      <w:kern w:val="2"/>
                      <w:sz w:val="21"/>
                      <w:szCs w:val="21"/>
                      <w:lang w:val="en-US" w:eastAsia="zh-CN" w:bidi="ar-SA"/>
                    </w:rPr>
                  </w:pPr>
                  <w:r>
                    <w:rPr>
                      <w:rFonts w:hint="eastAsia"/>
                      <w:lang w:val="en-US" w:eastAsia="zh-CN"/>
                    </w:rPr>
                    <w:t>22</w:t>
                  </w:r>
                </w:p>
              </w:tc>
              <w:tc>
                <w:tcPr>
                  <w:tcW w:w="1058" w:type="pct"/>
                  <w:shd w:val="clear" w:color="auto" w:fill="auto"/>
                  <w:noWrap w:val="0"/>
                  <w:vAlign w:val="center"/>
                </w:tcPr>
                <w:p w14:paraId="5CFA6CF7">
                  <w:pPr>
                    <w:pStyle w:val="40"/>
                    <w:bidi w:val="0"/>
                    <w:rPr>
                      <w:rFonts w:hint="default"/>
                      <w:lang w:val="en-US" w:eastAsia="zh-CN"/>
                    </w:rPr>
                  </w:pPr>
                  <w:r>
                    <w:rPr>
                      <w:rFonts w:hint="default"/>
                    </w:rPr>
                    <w:t>垛</w:t>
                  </w:r>
                  <w:r>
                    <w:rPr>
                      <w:rFonts w:hint="default"/>
                      <w:lang w:val="en-US" w:eastAsia="zh-CN"/>
                    </w:rPr>
                    <w:t>盘</w:t>
                  </w:r>
                </w:p>
              </w:tc>
              <w:tc>
                <w:tcPr>
                  <w:tcW w:w="1026" w:type="pct"/>
                  <w:shd w:val="clear" w:color="auto" w:fill="auto"/>
                  <w:noWrap w:val="0"/>
                  <w:vAlign w:val="center"/>
                </w:tcPr>
                <w:p w14:paraId="08D05CB0">
                  <w:pPr>
                    <w:pStyle w:val="40"/>
                    <w:bidi w:val="0"/>
                    <w:rPr>
                      <w:rFonts w:hint="default"/>
                      <w:lang w:val="en-US" w:eastAsia="zh-CN"/>
                    </w:rPr>
                  </w:pPr>
                  <w:r>
                    <w:rPr>
                      <w:rFonts w:hint="eastAsia"/>
                      <w:lang w:val="en-US" w:eastAsia="zh-CN"/>
                    </w:rPr>
                    <w:t>/</w:t>
                  </w:r>
                </w:p>
              </w:tc>
              <w:tc>
                <w:tcPr>
                  <w:tcW w:w="551" w:type="pct"/>
                  <w:shd w:val="clear" w:color="auto" w:fill="auto"/>
                  <w:noWrap w:val="0"/>
                  <w:vAlign w:val="center"/>
                </w:tcPr>
                <w:p w14:paraId="1977B5B5">
                  <w:pPr>
                    <w:pStyle w:val="40"/>
                    <w:bidi w:val="0"/>
                    <w:rPr>
                      <w:rFonts w:hint="default"/>
                      <w:lang w:val="en-US" w:eastAsia="zh-CN"/>
                    </w:rPr>
                  </w:pPr>
                  <w:r>
                    <w:rPr>
                      <w:rFonts w:hint="default"/>
                      <w:lang w:val="en-US" w:eastAsia="zh-CN"/>
                    </w:rPr>
                    <w:t>若干</w:t>
                  </w:r>
                </w:p>
              </w:tc>
              <w:tc>
                <w:tcPr>
                  <w:tcW w:w="687" w:type="pct"/>
                  <w:shd w:val="clear" w:color="auto" w:fill="auto"/>
                  <w:noWrap w:val="0"/>
                  <w:vAlign w:val="center"/>
                </w:tcPr>
                <w:p w14:paraId="28634FD6">
                  <w:pPr>
                    <w:pStyle w:val="40"/>
                    <w:bidi w:val="0"/>
                    <w:rPr>
                      <w:rFonts w:hint="default"/>
                      <w:lang w:val="en-US" w:eastAsia="zh-CN"/>
                    </w:rPr>
                  </w:pPr>
                  <w:r>
                    <w:rPr>
                      <w:rFonts w:hint="eastAsia"/>
                      <w:lang w:val="en-US" w:eastAsia="zh-CN"/>
                    </w:rPr>
                    <w:t>个</w:t>
                  </w:r>
                </w:p>
              </w:tc>
              <w:tc>
                <w:tcPr>
                  <w:tcW w:w="1224" w:type="pct"/>
                  <w:noWrap w:val="0"/>
                  <w:vAlign w:val="center"/>
                </w:tcPr>
                <w:p w14:paraId="4C4931B4">
                  <w:pPr>
                    <w:pStyle w:val="40"/>
                    <w:bidi w:val="0"/>
                    <w:rPr>
                      <w:rFonts w:hint="default"/>
                      <w:lang w:val="en-US" w:eastAsia="zh-CN"/>
                    </w:rPr>
                  </w:pPr>
                  <w:r>
                    <w:rPr>
                      <w:rFonts w:hint="eastAsia"/>
                      <w:lang w:val="en-US" w:eastAsia="zh-CN"/>
                    </w:rPr>
                    <w:t>/</w:t>
                  </w:r>
                </w:p>
              </w:tc>
            </w:tr>
            <w:tr w14:paraId="1E92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noWrap w:val="0"/>
                  <w:vAlign w:val="center"/>
                </w:tcPr>
                <w:p w14:paraId="51EB8347">
                  <w:pPr>
                    <w:pStyle w:val="40"/>
                    <w:bidi w:val="0"/>
                    <w:rPr>
                      <w:rFonts w:hint="default" w:ascii="Times New Roman" w:hAnsi="Times New Roman" w:eastAsia="宋体" w:cs="Times New Roman"/>
                      <w:kern w:val="2"/>
                      <w:sz w:val="21"/>
                      <w:szCs w:val="21"/>
                      <w:lang w:val="en-US" w:eastAsia="zh-CN" w:bidi="ar-SA"/>
                    </w:rPr>
                  </w:pPr>
                  <w:r>
                    <w:rPr>
                      <w:rFonts w:hint="eastAsia"/>
                      <w:lang w:val="en-US" w:eastAsia="zh-CN"/>
                    </w:rPr>
                    <w:t>23</w:t>
                  </w:r>
                </w:p>
              </w:tc>
              <w:tc>
                <w:tcPr>
                  <w:tcW w:w="1058" w:type="pct"/>
                  <w:shd w:val="clear" w:color="auto" w:fill="auto"/>
                  <w:noWrap w:val="0"/>
                  <w:vAlign w:val="center"/>
                </w:tcPr>
                <w:p w14:paraId="3A2134E2">
                  <w:pPr>
                    <w:pStyle w:val="40"/>
                    <w:bidi w:val="0"/>
                    <w:rPr>
                      <w:rFonts w:hint="eastAsia"/>
                      <w:lang w:val="en-US" w:eastAsia="zh-CN"/>
                    </w:rPr>
                  </w:pPr>
                  <w:r>
                    <w:rPr>
                      <w:rFonts w:hint="default"/>
                    </w:rPr>
                    <w:t>螺杆式空压机</w:t>
                  </w:r>
                </w:p>
              </w:tc>
              <w:tc>
                <w:tcPr>
                  <w:tcW w:w="1026" w:type="pct"/>
                  <w:shd w:val="clear" w:color="auto" w:fill="auto"/>
                  <w:noWrap w:val="0"/>
                  <w:vAlign w:val="center"/>
                </w:tcPr>
                <w:p w14:paraId="35806771">
                  <w:pPr>
                    <w:pStyle w:val="40"/>
                    <w:bidi w:val="0"/>
                    <w:rPr>
                      <w:rFonts w:hint="default"/>
                      <w:lang w:val="en-US" w:eastAsia="zh-CN"/>
                    </w:rPr>
                  </w:pPr>
                  <w:r>
                    <w:rPr>
                      <w:rFonts w:hint="eastAsia"/>
                      <w:lang w:val="en-US" w:eastAsia="zh-CN"/>
                    </w:rPr>
                    <w:t>/</w:t>
                  </w:r>
                </w:p>
              </w:tc>
              <w:tc>
                <w:tcPr>
                  <w:tcW w:w="551" w:type="pct"/>
                  <w:shd w:val="clear" w:color="auto" w:fill="auto"/>
                  <w:noWrap w:val="0"/>
                  <w:vAlign w:val="center"/>
                </w:tcPr>
                <w:p w14:paraId="418D2CE3">
                  <w:pPr>
                    <w:pStyle w:val="40"/>
                    <w:bidi w:val="0"/>
                    <w:rPr>
                      <w:rFonts w:hint="default"/>
                      <w:lang w:val="en-US" w:eastAsia="zh-CN"/>
                    </w:rPr>
                  </w:pPr>
                  <w:r>
                    <w:rPr>
                      <w:rFonts w:hint="eastAsia"/>
                      <w:lang w:val="en-US" w:eastAsia="zh-CN"/>
                    </w:rPr>
                    <w:t>3</w:t>
                  </w:r>
                </w:p>
              </w:tc>
              <w:tc>
                <w:tcPr>
                  <w:tcW w:w="687" w:type="pct"/>
                  <w:shd w:val="clear" w:color="auto" w:fill="auto"/>
                  <w:noWrap w:val="0"/>
                  <w:vAlign w:val="center"/>
                </w:tcPr>
                <w:p w14:paraId="52C39ABB">
                  <w:pPr>
                    <w:pStyle w:val="40"/>
                    <w:bidi w:val="0"/>
                    <w:rPr>
                      <w:rFonts w:hint="eastAsia"/>
                      <w:lang w:val="en-US" w:eastAsia="zh-CN"/>
                    </w:rPr>
                  </w:pPr>
                  <w:r>
                    <w:rPr>
                      <w:rFonts w:hint="eastAsia"/>
                      <w:lang w:val="en-US" w:eastAsia="zh-CN"/>
                    </w:rPr>
                    <w:t>台</w:t>
                  </w:r>
                </w:p>
              </w:tc>
              <w:tc>
                <w:tcPr>
                  <w:tcW w:w="1224" w:type="pct"/>
                  <w:noWrap w:val="0"/>
                  <w:vAlign w:val="center"/>
                </w:tcPr>
                <w:p w14:paraId="3B92AAF6">
                  <w:pPr>
                    <w:pStyle w:val="40"/>
                    <w:bidi w:val="0"/>
                    <w:rPr>
                      <w:rFonts w:hint="default"/>
                      <w:lang w:val="en-US" w:eastAsia="zh-CN"/>
                    </w:rPr>
                  </w:pPr>
                  <w:r>
                    <w:rPr>
                      <w:rFonts w:hint="eastAsia"/>
                      <w:lang w:val="en-US" w:eastAsia="zh-CN"/>
                    </w:rPr>
                    <w:t>/</w:t>
                  </w:r>
                </w:p>
              </w:tc>
            </w:tr>
            <w:tr w14:paraId="34A2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noWrap w:val="0"/>
                  <w:vAlign w:val="center"/>
                </w:tcPr>
                <w:p w14:paraId="46AA9617">
                  <w:pPr>
                    <w:pStyle w:val="40"/>
                    <w:bidi w:val="0"/>
                    <w:rPr>
                      <w:rFonts w:hint="default" w:ascii="Times New Roman" w:hAnsi="Times New Roman" w:eastAsia="宋体" w:cs="Times New Roman"/>
                      <w:kern w:val="2"/>
                      <w:sz w:val="21"/>
                      <w:szCs w:val="21"/>
                      <w:lang w:val="en-US" w:eastAsia="zh-CN" w:bidi="ar-SA"/>
                    </w:rPr>
                  </w:pPr>
                  <w:r>
                    <w:rPr>
                      <w:rFonts w:hint="eastAsia"/>
                      <w:lang w:val="en-US" w:eastAsia="zh-CN"/>
                    </w:rPr>
                    <w:t>24</w:t>
                  </w:r>
                </w:p>
              </w:tc>
              <w:tc>
                <w:tcPr>
                  <w:tcW w:w="1058" w:type="pct"/>
                  <w:shd w:val="clear" w:color="auto" w:fill="auto"/>
                  <w:noWrap w:val="0"/>
                  <w:vAlign w:val="center"/>
                </w:tcPr>
                <w:p w14:paraId="6E62E0C0">
                  <w:pPr>
                    <w:pStyle w:val="40"/>
                    <w:bidi w:val="0"/>
                    <w:rPr>
                      <w:rFonts w:hint="eastAsia"/>
                      <w:lang w:val="en-US" w:eastAsia="zh-CN"/>
                    </w:rPr>
                  </w:pPr>
                  <w:r>
                    <w:rPr>
                      <w:rFonts w:hint="default"/>
                    </w:rPr>
                    <w:t>泵车</w:t>
                  </w:r>
                </w:p>
              </w:tc>
              <w:tc>
                <w:tcPr>
                  <w:tcW w:w="1026" w:type="pct"/>
                  <w:shd w:val="clear" w:color="auto" w:fill="auto"/>
                  <w:noWrap w:val="0"/>
                  <w:vAlign w:val="center"/>
                </w:tcPr>
                <w:p w14:paraId="1ED15C4A">
                  <w:pPr>
                    <w:pStyle w:val="40"/>
                    <w:bidi w:val="0"/>
                    <w:rPr>
                      <w:rFonts w:hint="eastAsia"/>
                      <w:lang w:val="en-US" w:eastAsia="zh-CN"/>
                    </w:rPr>
                  </w:pPr>
                  <w:r>
                    <w:rPr>
                      <w:rFonts w:hint="default"/>
                    </w:rPr>
                    <w:t>52</w:t>
                  </w:r>
                  <w:r>
                    <w:rPr>
                      <w:rFonts w:hint="default"/>
                      <w:lang w:val="en-US" w:eastAsia="zh-CN"/>
                    </w:rPr>
                    <w:t>m</w:t>
                  </w:r>
                </w:p>
              </w:tc>
              <w:tc>
                <w:tcPr>
                  <w:tcW w:w="551" w:type="pct"/>
                  <w:shd w:val="clear" w:color="auto" w:fill="auto"/>
                  <w:noWrap w:val="0"/>
                  <w:vAlign w:val="center"/>
                </w:tcPr>
                <w:p w14:paraId="383776AB">
                  <w:pPr>
                    <w:pStyle w:val="40"/>
                    <w:bidi w:val="0"/>
                    <w:rPr>
                      <w:rFonts w:hint="default"/>
                      <w:lang w:val="en-US" w:eastAsia="zh-CN"/>
                    </w:rPr>
                  </w:pPr>
                  <w:r>
                    <w:rPr>
                      <w:rFonts w:hint="eastAsia"/>
                      <w:lang w:val="en-US" w:eastAsia="zh-CN"/>
                    </w:rPr>
                    <w:t>5</w:t>
                  </w:r>
                </w:p>
              </w:tc>
              <w:tc>
                <w:tcPr>
                  <w:tcW w:w="687" w:type="pct"/>
                  <w:shd w:val="clear" w:color="auto" w:fill="auto"/>
                  <w:noWrap w:val="0"/>
                  <w:vAlign w:val="center"/>
                </w:tcPr>
                <w:p w14:paraId="31A7B2A1">
                  <w:pPr>
                    <w:pStyle w:val="40"/>
                    <w:bidi w:val="0"/>
                    <w:rPr>
                      <w:rFonts w:hint="default"/>
                      <w:lang w:val="en-US" w:eastAsia="zh-CN"/>
                    </w:rPr>
                  </w:pPr>
                  <w:r>
                    <w:rPr>
                      <w:rFonts w:hint="eastAsia"/>
                      <w:lang w:val="en-US" w:eastAsia="zh-CN"/>
                    </w:rPr>
                    <w:t>辆</w:t>
                  </w:r>
                </w:p>
              </w:tc>
              <w:tc>
                <w:tcPr>
                  <w:tcW w:w="1224" w:type="pct"/>
                  <w:noWrap w:val="0"/>
                  <w:vAlign w:val="center"/>
                </w:tcPr>
                <w:p w14:paraId="6A1866BC">
                  <w:pPr>
                    <w:pStyle w:val="40"/>
                    <w:bidi w:val="0"/>
                    <w:rPr>
                      <w:rFonts w:hint="default"/>
                      <w:lang w:val="en-US" w:eastAsia="zh-CN"/>
                    </w:rPr>
                  </w:pPr>
                  <w:r>
                    <w:rPr>
                      <w:rFonts w:hint="eastAsia"/>
                      <w:lang w:val="en-US" w:eastAsia="zh-CN"/>
                    </w:rPr>
                    <w:t>/</w:t>
                  </w:r>
                </w:p>
              </w:tc>
            </w:tr>
            <w:tr w14:paraId="7481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noWrap w:val="0"/>
                  <w:vAlign w:val="center"/>
                </w:tcPr>
                <w:p w14:paraId="4953B0B4">
                  <w:pPr>
                    <w:pStyle w:val="40"/>
                    <w:bidi w:val="0"/>
                    <w:rPr>
                      <w:rFonts w:hint="default" w:ascii="Times New Roman" w:hAnsi="Times New Roman" w:eastAsia="宋体" w:cs="Times New Roman"/>
                      <w:kern w:val="2"/>
                      <w:sz w:val="21"/>
                      <w:szCs w:val="21"/>
                      <w:lang w:val="en-US" w:eastAsia="zh-CN" w:bidi="ar-SA"/>
                    </w:rPr>
                  </w:pPr>
                  <w:r>
                    <w:rPr>
                      <w:rFonts w:hint="eastAsia"/>
                      <w:lang w:val="en-US" w:eastAsia="zh-CN"/>
                    </w:rPr>
                    <w:t>25</w:t>
                  </w:r>
                </w:p>
              </w:tc>
              <w:tc>
                <w:tcPr>
                  <w:tcW w:w="1058" w:type="pct"/>
                  <w:shd w:val="clear" w:color="auto" w:fill="auto"/>
                  <w:noWrap w:val="0"/>
                  <w:vAlign w:val="center"/>
                </w:tcPr>
                <w:p w14:paraId="2C64109D">
                  <w:pPr>
                    <w:pStyle w:val="40"/>
                    <w:bidi w:val="0"/>
                    <w:rPr>
                      <w:rFonts w:hint="eastAsia"/>
                      <w:lang w:val="en-US" w:eastAsia="zh-CN"/>
                    </w:rPr>
                  </w:pPr>
                  <w:r>
                    <w:rPr>
                      <w:rFonts w:hint="eastAsia"/>
                      <w:lang w:val="en-US" w:eastAsia="zh-CN"/>
                    </w:rPr>
                    <w:t>叉车</w:t>
                  </w:r>
                </w:p>
              </w:tc>
              <w:tc>
                <w:tcPr>
                  <w:tcW w:w="1026" w:type="pct"/>
                  <w:shd w:val="clear" w:color="auto" w:fill="auto"/>
                  <w:noWrap w:val="0"/>
                  <w:vAlign w:val="center"/>
                </w:tcPr>
                <w:p w14:paraId="12A025E7">
                  <w:pPr>
                    <w:pStyle w:val="40"/>
                    <w:bidi w:val="0"/>
                    <w:rPr>
                      <w:rFonts w:hint="default"/>
                      <w:lang w:val="en-US" w:eastAsia="zh-CN"/>
                    </w:rPr>
                  </w:pPr>
                  <w:r>
                    <w:rPr>
                      <w:rFonts w:hint="eastAsia"/>
                      <w:lang w:val="en-US" w:eastAsia="zh-CN"/>
                    </w:rPr>
                    <w:t>/</w:t>
                  </w:r>
                </w:p>
              </w:tc>
              <w:tc>
                <w:tcPr>
                  <w:tcW w:w="551" w:type="pct"/>
                  <w:shd w:val="clear" w:color="auto" w:fill="auto"/>
                  <w:noWrap w:val="0"/>
                  <w:vAlign w:val="center"/>
                </w:tcPr>
                <w:p w14:paraId="0A8ED1C2">
                  <w:pPr>
                    <w:pStyle w:val="40"/>
                    <w:bidi w:val="0"/>
                    <w:rPr>
                      <w:rFonts w:hint="default"/>
                      <w:lang w:val="en-US" w:eastAsia="zh-CN"/>
                    </w:rPr>
                  </w:pPr>
                  <w:r>
                    <w:rPr>
                      <w:rFonts w:hint="eastAsia"/>
                      <w:lang w:val="en-US" w:eastAsia="zh-CN"/>
                    </w:rPr>
                    <w:t>4</w:t>
                  </w:r>
                </w:p>
              </w:tc>
              <w:tc>
                <w:tcPr>
                  <w:tcW w:w="687" w:type="pct"/>
                  <w:shd w:val="clear" w:color="auto" w:fill="auto"/>
                  <w:noWrap w:val="0"/>
                  <w:vAlign w:val="center"/>
                </w:tcPr>
                <w:p w14:paraId="058612BA">
                  <w:pPr>
                    <w:pStyle w:val="40"/>
                    <w:bidi w:val="0"/>
                    <w:rPr>
                      <w:rFonts w:hint="eastAsia"/>
                      <w:lang w:val="en-US" w:eastAsia="zh-CN"/>
                    </w:rPr>
                  </w:pPr>
                  <w:r>
                    <w:rPr>
                      <w:rFonts w:hint="eastAsia"/>
                      <w:lang w:val="en-US" w:eastAsia="zh-CN"/>
                    </w:rPr>
                    <w:t>辆</w:t>
                  </w:r>
                </w:p>
              </w:tc>
              <w:tc>
                <w:tcPr>
                  <w:tcW w:w="1224" w:type="pct"/>
                  <w:noWrap w:val="0"/>
                  <w:vAlign w:val="center"/>
                </w:tcPr>
                <w:p w14:paraId="7283A44C">
                  <w:pPr>
                    <w:pStyle w:val="40"/>
                    <w:bidi w:val="0"/>
                    <w:rPr>
                      <w:rFonts w:hint="default"/>
                      <w:lang w:val="en-US" w:eastAsia="zh-CN"/>
                    </w:rPr>
                  </w:pPr>
                  <w:r>
                    <w:rPr>
                      <w:rFonts w:hint="eastAsia"/>
                      <w:lang w:val="en-US" w:eastAsia="zh-CN"/>
                    </w:rPr>
                    <w:t>/</w:t>
                  </w:r>
                </w:p>
              </w:tc>
            </w:tr>
            <w:tr w14:paraId="14A0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noWrap w:val="0"/>
                  <w:vAlign w:val="center"/>
                </w:tcPr>
                <w:p w14:paraId="79261320">
                  <w:pPr>
                    <w:pStyle w:val="40"/>
                    <w:bidi w:val="0"/>
                    <w:rPr>
                      <w:rFonts w:hint="default" w:ascii="Times New Roman" w:hAnsi="Times New Roman" w:eastAsia="宋体" w:cs="Times New Roman"/>
                      <w:kern w:val="2"/>
                      <w:sz w:val="21"/>
                      <w:szCs w:val="21"/>
                      <w:lang w:val="en-US" w:eastAsia="zh-CN" w:bidi="ar-SA"/>
                    </w:rPr>
                  </w:pPr>
                  <w:r>
                    <w:rPr>
                      <w:rFonts w:hint="eastAsia"/>
                      <w:lang w:val="en-US" w:eastAsia="zh-CN"/>
                    </w:rPr>
                    <w:t>26</w:t>
                  </w:r>
                </w:p>
              </w:tc>
              <w:tc>
                <w:tcPr>
                  <w:tcW w:w="1058" w:type="pct"/>
                  <w:shd w:val="clear" w:color="auto" w:fill="auto"/>
                  <w:noWrap w:val="0"/>
                  <w:vAlign w:val="center"/>
                </w:tcPr>
                <w:p w14:paraId="35179A3F">
                  <w:pPr>
                    <w:pStyle w:val="40"/>
                    <w:bidi w:val="0"/>
                    <w:rPr>
                      <w:rFonts w:hint="default"/>
                      <w:lang w:val="en-US" w:eastAsia="zh-CN"/>
                    </w:rPr>
                  </w:pPr>
                  <w:r>
                    <w:rPr>
                      <w:rFonts w:hint="eastAsia"/>
                      <w:lang w:val="en-US" w:eastAsia="zh-CN"/>
                    </w:rPr>
                    <w:t>铲车</w:t>
                  </w:r>
                </w:p>
              </w:tc>
              <w:tc>
                <w:tcPr>
                  <w:tcW w:w="1026" w:type="pct"/>
                  <w:shd w:val="clear" w:color="auto" w:fill="auto"/>
                  <w:noWrap w:val="0"/>
                  <w:vAlign w:val="center"/>
                </w:tcPr>
                <w:p w14:paraId="6C4A8D7B">
                  <w:pPr>
                    <w:pStyle w:val="40"/>
                    <w:bidi w:val="0"/>
                    <w:rPr>
                      <w:rFonts w:hint="eastAsia"/>
                      <w:lang w:val="en-US" w:eastAsia="zh-CN"/>
                    </w:rPr>
                  </w:pPr>
                  <w:r>
                    <w:rPr>
                      <w:rFonts w:hint="eastAsia"/>
                      <w:lang w:val="en-US" w:eastAsia="zh-CN"/>
                    </w:rPr>
                    <w:t>20型</w:t>
                  </w:r>
                </w:p>
              </w:tc>
              <w:tc>
                <w:tcPr>
                  <w:tcW w:w="551" w:type="pct"/>
                  <w:shd w:val="clear" w:color="auto" w:fill="auto"/>
                  <w:noWrap w:val="0"/>
                  <w:vAlign w:val="center"/>
                </w:tcPr>
                <w:p w14:paraId="4CCC6E47">
                  <w:pPr>
                    <w:pStyle w:val="40"/>
                    <w:bidi w:val="0"/>
                    <w:rPr>
                      <w:rFonts w:hint="default"/>
                      <w:lang w:val="en-US" w:eastAsia="zh-CN"/>
                    </w:rPr>
                  </w:pPr>
                  <w:r>
                    <w:rPr>
                      <w:rFonts w:hint="eastAsia"/>
                      <w:lang w:val="en-US" w:eastAsia="zh-CN"/>
                    </w:rPr>
                    <w:t>2</w:t>
                  </w:r>
                </w:p>
              </w:tc>
              <w:tc>
                <w:tcPr>
                  <w:tcW w:w="687" w:type="pct"/>
                  <w:shd w:val="clear" w:color="auto" w:fill="auto"/>
                  <w:noWrap w:val="0"/>
                  <w:vAlign w:val="center"/>
                </w:tcPr>
                <w:p w14:paraId="0E68D425">
                  <w:pPr>
                    <w:pStyle w:val="40"/>
                    <w:bidi w:val="0"/>
                    <w:rPr>
                      <w:rFonts w:hint="eastAsia"/>
                      <w:lang w:val="en-US" w:eastAsia="zh-CN"/>
                    </w:rPr>
                  </w:pPr>
                  <w:r>
                    <w:rPr>
                      <w:rFonts w:hint="eastAsia"/>
                      <w:lang w:val="en-US" w:eastAsia="zh-CN"/>
                    </w:rPr>
                    <w:t>辆</w:t>
                  </w:r>
                </w:p>
              </w:tc>
              <w:tc>
                <w:tcPr>
                  <w:tcW w:w="1224" w:type="pct"/>
                  <w:noWrap w:val="0"/>
                  <w:vAlign w:val="center"/>
                </w:tcPr>
                <w:p w14:paraId="383F2E43">
                  <w:pPr>
                    <w:pStyle w:val="40"/>
                    <w:bidi w:val="0"/>
                    <w:rPr>
                      <w:rFonts w:hint="eastAsia"/>
                      <w:lang w:val="en-US" w:eastAsia="zh-CN"/>
                    </w:rPr>
                  </w:pPr>
                  <w:r>
                    <w:rPr>
                      <w:rFonts w:hint="eastAsia"/>
                      <w:lang w:val="en-US" w:eastAsia="zh-CN"/>
                    </w:rPr>
                    <w:t>/</w:t>
                  </w:r>
                </w:p>
              </w:tc>
            </w:tr>
            <w:tr w14:paraId="4980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shd w:val="clear" w:color="auto" w:fill="auto"/>
                  <w:noWrap w:val="0"/>
                  <w:vAlign w:val="center"/>
                </w:tcPr>
                <w:p w14:paraId="0FEDF625">
                  <w:pPr>
                    <w:pStyle w:val="40"/>
                    <w:bidi w:val="0"/>
                    <w:rPr>
                      <w:rFonts w:hint="default" w:ascii="Times New Roman" w:hAnsi="Times New Roman" w:eastAsia="宋体" w:cs="Times New Roman"/>
                      <w:kern w:val="2"/>
                      <w:sz w:val="21"/>
                      <w:szCs w:val="21"/>
                      <w:lang w:val="en-US" w:eastAsia="zh-CN" w:bidi="ar-SA"/>
                    </w:rPr>
                  </w:pPr>
                  <w:r>
                    <w:rPr>
                      <w:rFonts w:hint="eastAsia"/>
                      <w:lang w:val="en-US" w:eastAsia="zh-CN"/>
                    </w:rPr>
                    <w:t>27</w:t>
                  </w:r>
                </w:p>
              </w:tc>
              <w:tc>
                <w:tcPr>
                  <w:tcW w:w="1058" w:type="pct"/>
                  <w:shd w:val="clear" w:color="auto" w:fill="auto"/>
                  <w:noWrap w:val="0"/>
                  <w:vAlign w:val="center"/>
                </w:tcPr>
                <w:p w14:paraId="6EBEA1FB">
                  <w:pPr>
                    <w:pStyle w:val="40"/>
                    <w:bidi w:val="0"/>
                    <w:rPr>
                      <w:rFonts w:hint="eastAsia"/>
                      <w:lang w:val="en-US" w:eastAsia="zh-CN"/>
                    </w:rPr>
                  </w:pPr>
                  <w:r>
                    <w:rPr>
                      <w:rFonts w:hint="eastAsia"/>
                      <w:lang w:val="en-US" w:eastAsia="zh-CN"/>
                    </w:rPr>
                    <w:t>喷码机</w:t>
                  </w:r>
                </w:p>
              </w:tc>
              <w:tc>
                <w:tcPr>
                  <w:tcW w:w="1026" w:type="pct"/>
                  <w:shd w:val="clear" w:color="auto" w:fill="auto"/>
                  <w:noWrap w:val="0"/>
                  <w:vAlign w:val="center"/>
                </w:tcPr>
                <w:p w14:paraId="7E249044">
                  <w:pPr>
                    <w:pStyle w:val="40"/>
                    <w:bidi w:val="0"/>
                    <w:rPr>
                      <w:rFonts w:hint="default"/>
                      <w:lang w:val="en-US" w:eastAsia="zh-CN"/>
                    </w:rPr>
                  </w:pPr>
                  <w:r>
                    <w:rPr>
                      <w:rFonts w:hint="eastAsia"/>
                      <w:lang w:val="en-US" w:eastAsia="zh-CN"/>
                    </w:rPr>
                    <w:t>/</w:t>
                  </w:r>
                </w:p>
              </w:tc>
              <w:tc>
                <w:tcPr>
                  <w:tcW w:w="551" w:type="pct"/>
                  <w:shd w:val="clear" w:color="auto" w:fill="auto"/>
                  <w:noWrap w:val="0"/>
                  <w:vAlign w:val="center"/>
                </w:tcPr>
                <w:p w14:paraId="6E822537">
                  <w:pPr>
                    <w:pStyle w:val="40"/>
                    <w:bidi w:val="0"/>
                    <w:rPr>
                      <w:rFonts w:hint="default"/>
                      <w:lang w:val="en-US" w:eastAsia="zh-CN"/>
                    </w:rPr>
                  </w:pPr>
                  <w:r>
                    <w:rPr>
                      <w:rFonts w:hint="eastAsia"/>
                      <w:lang w:val="en-US" w:eastAsia="zh-CN"/>
                    </w:rPr>
                    <w:t>3</w:t>
                  </w:r>
                </w:p>
              </w:tc>
              <w:tc>
                <w:tcPr>
                  <w:tcW w:w="687" w:type="pct"/>
                  <w:shd w:val="clear" w:color="auto" w:fill="auto"/>
                  <w:noWrap w:val="0"/>
                  <w:vAlign w:val="center"/>
                </w:tcPr>
                <w:p w14:paraId="5C8EA0AD">
                  <w:pPr>
                    <w:pStyle w:val="40"/>
                    <w:bidi w:val="0"/>
                    <w:rPr>
                      <w:rFonts w:hint="default"/>
                      <w:lang w:val="en-US" w:eastAsia="zh-CN"/>
                    </w:rPr>
                  </w:pPr>
                  <w:r>
                    <w:rPr>
                      <w:rFonts w:hint="eastAsia"/>
                      <w:lang w:val="en-US" w:eastAsia="zh-CN"/>
                    </w:rPr>
                    <w:t>台</w:t>
                  </w:r>
                </w:p>
              </w:tc>
              <w:tc>
                <w:tcPr>
                  <w:tcW w:w="1224" w:type="pct"/>
                  <w:noWrap w:val="0"/>
                  <w:vAlign w:val="center"/>
                </w:tcPr>
                <w:p w14:paraId="076C3F07">
                  <w:pPr>
                    <w:pStyle w:val="40"/>
                    <w:bidi w:val="0"/>
                    <w:rPr>
                      <w:rFonts w:hint="eastAsia"/>
                      <w:lang w:val="en-US" w:eastAsia="zh-CN"/>
                    </w:rPr>
                  </w:pPr>
                  <w:r>
                    <w:rPr>
                      <w:rFonts w:hint="eastAsia"/>
                      <w:lang w:val="en-US" w:eastAsia="zh-CN"/>
                    </w:rPr>
                    <w:t>/</w:t>
                  </w:r>
                </w:p>
              </w:tc>
            </w:tr>
          </w:tbl>
          <w:p w14:paraId="0788A18D">
            <w:pPr>
              <w:pStyle w:val="2"/>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7.主要原辅材料</w:t>
            </w:r>
          </w:p>
          <w:p w14:paraId="5B79E686">
            <w:pPr>
              <w:pStyle w:val="8"/>
              <w:keepLines w:val="0"/>
              <w:pageBreakBefore w:val="0"/>
              <w:kinsoku/>
              <w:wordWrap/>
              <w:topLinePunct w:val="0"/>
              <w:autoSpaceDE/>
              <w:autoSpaceDN/>
              <w:bidi w:val="0"/>
              <w:spacing w:beforeAutospacing="0" w:afterAutospacing="0"/>
              <w:textAlignment w:val="auto"/>
              <w:rPr>
                <w:rFonts w:hint="eastAsia" w:cs="Times New Roman"/>
                <w:lang w:val="en-US" w:eastAsia="zh-CN"/>
              </w:rPr>
            </w:pPr>
            <w:r>
              <w:rPr>
                <w:rFonts w:hint="eastAsia"/>
              </w:rPr>
              <w:t>本项目所需主要原辅材料消耗及来源见下表</w:t>
            </w:r>
            <w:r>
              <w:rPr>
                <w:rFonts w:hint="eastAsia"/>
                <w:lang w:val="en-US" w:eastAsia="zh-CN"/>
              </w:rPr>
              <w:t>2-4。</w:t>
            </w:r>
          </w:p>
          <w:p w14:paraId="148E0B7C">
            <w:pPr>
              <w:pStyle w:val="42"/>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表2-4    项目主要原辅材料、能源消耗和来源一览表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508"/>
              <w:gridCol w:w="1095"/>
              <w:gridCol w:w="943"/>
              <w:gridCol w:w="1095"/>
              <w:gridCol w:w="2763"/>
            </w:tblGrid>
            <w:tr w14:paraId="299C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14:paraId="34C3A33E">
                  <w:pPr>
                    <w:pStyle w:val="40"/>
                    <w:keepLines w:val="0"/>
                    <w:pageBreakBefore w:val="0"/>
                    <w:kinsoku/>
                    <w:wordWrap/>
                    <w:topLinePunct w:val="0"/>
                    <w:autoSpaceDE/>
                    <w:autoSpaceDN/>
                    <w:bidi w:val="0"/>
                    <w:spacing w:beforeAutospacing="0" w:afterAutospacing="0"/>
                    <w:textAlignment w:val="auto"/>
                    <w:rPr>
                      <w:rFonts w:hint="default"/>
                    </w:rPr>
                  </w:pPr>
                  <w:r>
                    <w:rPr>
                      <w:rFonts w:hint="default"/>
                    </w:rPr>
                    <w:t>序号</w:t>
                  </w:r>
                </w:p>
              </w:tc>
              <w:tc>
                <w:tcPr>
                  <w:tcW w:w="931" w:type="pct"/>
                  <w:noWrap w:val="0"/>
                  <w:vAlign w:val="center"/>
                </w:tcPr>
                <w:p w14:paraId="5F6C07C0">
                  <w:pPr>
                    <w:pStyle w:val="40"/>
                    <w:keepLines w:val="0"/>
                    <w:pageBreakBefore w:val="0"/>
                    <w:kinsoku/>
                    <w:wordWrap/>
                    <w:topLinePunct w:val="0"/>
                    <w:autoSpaceDE/>
                    <w:autoSpaceDN/>
                    <w:bidi w:val="0"/>
                    <w:spacing w:beforeAutospacing="0" w:afterAutospacing="0"/>
                    <w:textAlignment w:val="auto"/>
                    <w:rPr>
                      <w:rFonts w:hint="default"/>
                    </w:rPr>
                  </w:pPr>
                  <w:r>
                    <w:rPr>
                      <w:rFonts w:hint="default"/>
                    </w:rPr>
                    <w:t>名称</w:t>
                  </w:r>
                </w:p>
              </w:tc>
              <w:tc>
                <w:tcPr>
                  <w:tcW w:w="676" w:type="pct"/>
                  <w:noWrap w:val="0"/>
                  <w:vAlign w:val="center"/>
                </w:tcPr>
                <w:p w14:paraId="036BD1BA">
                  <w:pPr>
                    <w:pStyle w:val="40"/>
                    <w:keepLines w:val="0"/>
                    <w:pageBreakBefore w:val="0"/>
                    <w:kinsoku/>
                    <w:wordWrap/>
                    <w:topLinePunct w:val="0"/>
                    <w:autoSpaceDE/>
                    <w:autoSpaceDN/>
                    <w:bidi w:val="0"/>
                    <w:spacing w:beforeAutospacing="0" w:afterAutospacing="0"/>
                    <w:textAlignment w:val="auto"/>
                    <w:rPr>
                      <w:rFonts w:hint="default"/>
                    </w:rPr>
                  </w:pPr>
                  <w:r>
                    <w:rPr>
                      <w:rFonts w:hint="default"/>
                    </w:rPr>
                    <w:t>单位</w:t>
                  </w:r>
                </w:p>
              </w:tc>
              <w:tc>
                <w:tcPr>
                  <w:tcW w:w="582" w:type="pct"/>
                  <w:noWrap w:val="0"/>
                  <w:vAlign w:val="center"/>
                </w:tcPr>
                <w:p w14:paraId="685E612F">
                  <w:pPr>
                    <w:pStyle w:val="40"/>
                    <w:keepLines w:val="0"/>
                    <w:pageBreakBefore w:val="0"/>
                    <w:kinsoku/>
                    <w:wordWrap/>
                    <w:topLinePunct w:val="0"/>
                    <w:autoSpaceDE/>
                    <w:autoSpaceDN/>
                    <w:bidi w:val="0"/>
                    <w:spacing w:beforeAutospacing="0" w:afterAutospacing="0"/>
                    <w:textAlignment w:val="auto"/>
                    <w:rPr>
                      <w:rFonts w:hint="default"/>
                    </w:rPr>
                  </w:pPr>
                  <w:r>
                    <w:rPr>
                      <w:rFonts w:hint="default"/>
                    </w:rPr>
                    <w:t>年耗量</w:t>
                  </w:r>
                </w:p>
              </w:tc>
              <w:tc>
                <w:tcPr>
                  <w:tcW w:w="676" w:type="pct"/>
                  <w:noWrap w:val="0"/>
                  <w:vAlign w:val="center"/>
                </w:tcPr>
                <w:p w14:paraId="3138DA85">
                  <w:pPr>
                    <w:pStyle w:val="40"/>
                    <w:keepLines w:val="0"/>
                    <w:pageBreakBefore w:val="0"/>
                    <w:kinsoku/>
                    <w:wordWrap/>
                    <w:topLinePunct w:val="0"/>
                    <w:autoSpaceDE/>
                    <w:autoSpaceDN/>
                    <w:bidi w:val="0"/>
                    <w:spacing w:beforeAutospacing="0" w:afterAutospacing="0"/>
                    <w:textAlignment w:val="auto"/>
                    <w:rPr>
                      <w:rFonts w:hint="default"/>
                    </w:rPr>
                  </w:pPr>
                  <w:r>
                    <w:rPr>
                      <w:rFonts w:hint="default"/>
                    </w:rPr>
                    <w:t>来源</w:t>
                  </w:r>
                </w:p>
              </w:tc>
              <w:tc>
                <w:tcPr>
                  <w:tcW w:w="1705" w:type="pct"/>
                  <w:noWrap w:val="0"/>
                  <w:vAlign w:val="center"/>
                </w:tcPr>
                <w:p w14:paraId="6E6CE711">
                  <w:pPr>
                    <w:pStyle w:val="40"/>
                    <w:keepLines w:val="0"/>
                    <w:pageBreakBefore w:val="0"/>
                    <w:kinsoku/>
                    <w:wordWrap/>
                    <w:topLinePunct w:val="0"/>
                    <w:autoSpaceDE/>
                    <w:autoSpaceDN/>
                    <w:bidi w:val="0"/>
                    <w:spacing w:beforeAutospacing="0" w:afterAutospacing="0"/>
                    <w:textAlignment w:val="auto"/>
                    <w:rPr>
                      <w:rFonts w:hint="default"/>
                    </w:rPr>
                  </w:pPr>
                  <w:r>
                    <w:rPr>
                      <w:rFonts w:hint="default"/>
                    </w:rPr>
                    <w:t>备注</w:t>
                  </w:r>
                </w:p>
              </w:tc>
            </w:tr>
            <w:tr w14:paraId="43CB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8" w:type="pct"/>
                  <w:noWrap w:val="0"/>
                  <w:vAlign w:val="center"/>
                </w:tcPr>
                <w:p w14:paraId="514ABA69">
                  <w:pPr>
                    <w:pStyle w:val="40"/>
                    <w:keepLines w:val="0"/>
                    <w:pageBreakBefore w:val="0"/>
                    <w:kinsoku/>
                    <w:wordWrap/>
                    <w:topLinePunct w:val="0"/>
                    <w:autoSpaceDE/>
                    <w:autoSpaceDN/>
                    <w:bidi w:val="0"/>
                    <w:spacing w:beforeAutospacing="0" w:afterAutospacing="0"/>
                    <w:textAlignment w:val="auto"/>
                    <w:rPr>
                      <w:rFonts w:hint="default"/>
                    </w:rPr>
                  </w:pPr>
                  <w:r>
                    <w:rPr>
                      <w:rFonts w:hint="default"/>
                    </w:rPr>
                    <w:t>1</w:t>
                  </w:r>
                </w:p>
              </w:tc>
              <w:tc>
                <w:tcPr>
                  <w:tcW w:w="931" w:type="pct"/>
                  <w:noWrap w:val="0"/>
                  <w:vAlign w:val="center"/>
                </w:tcPr>
                <w:p w14:paraId="05D95829">
                  <w:pPr>
                    <w:pStyle w:val="40"/>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水泥</w:t>
                  </w:r>
                </w:p>
              </w:tc>
              <w:tc>
                <w:tcPr>
                  <w:tcW w:w="676" w:type="pct"/>
                  <w:noWrap w:val="0"/>
                  <w:vAlign w:val="center"/>
                </w:tcPr>
                <w:p w14:paraId="4E0EC08E">
                  <w:pPr>
                    <w:pStyle w:val="40"/>
                    <w:keepLines w:val="0"/>
                    <w:pageBreakBefore w:val="0"/>
                    <w:kinsoku/>
                    <w:wordWrap/>
                    <w:topLinePunct w:val="0"/>
                    <w:autoSpaceDE/>
                    <w:autoSpaceDN/>
                    <w:bidi w:val="0"/>
                    <w:spacing w:beforeAutospacing="0" w:afterAutospacing="0"/>
                    <w:ind w:left="0" w:leftChars="0" w:right="0" w:rightChars="0" w:firstLine="0" w:firstLineChars="0"/>
                    <w:jc w:val="center"/>
                    <w:textAlignment w:val="auto"/>
                    <w:rPr>
                      <w:rFonts w:hint="default"/>
                      <w:lang w:val="en-US" w:eastAsia="zh-CN"/>
                    </w:rPr>
                  </w:pPr>
                  <w:r>
                    <w:rPr>
                      <w:rFonts w:hint="eastAsia"/>
                      <w:lang w:val="en-US" w:eastAsia="zh-CN"/>
                    </w:rPr>
                    <w:t>t/a</w:t>
                  </w:r>
                </w:p>
              </w:tc>
              <w:tc>
                <w:tcPr>
                  <w:tcW w:w="582" w:type="pct"/>
                  <w:noWrap w:val="0"/>
                  <w:vAlign w:val="center"/>
                </w:tcPr>
                <w:p w14:paraId="4BFA7668">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32400</w:t>
                  </w:r>
                </w:p>
              </w:tc>
              <w:tc>
                <w:tcPr>
                  <w:tcW w:w="676" w:type="pct"/>
                  <w:noWrap w:val="0"/>
                  <w:vAlign w:val="center"/>
                </w:tcPr>
                <w:p w14:paraId="6AA7C195">
                  <w:pPr>
                    <w:pStyle w:val="40"/>
                    <w:keepLines w:val="0"/>
                    <w:pageBreakBefore w:val="0"/>
                    <w:kinsoku/>
                    <w:wordWrap/>
                    <w:topLinePunct w:val="0"/>
                    <w:autoSpaceDE/>
                    <w:autoSpaceDN/>
                    <w:bidi w:val="0"/>
                    <w:spacing w:beforeAutospacing="0" w:afterAutospacing="0"/>
                    <w:textAlignment w:val="auto"/>
                    <w:rPr>
                      <w:rFonts w:hint="default"/>
                    </w:rPr>
                  </w:pPr>
                  <w:r>
                    <w:rPr>
                      <w:rFonts w:hint="default"/>
                    </w:rPr>
                    <w:t>外购</w:t>
                  </w:r>
                </w:p>
              </w:tc>
              <w:tc>
                <w:tcPr>
                  <w:tcW w:w="1705" w:type="pct"/>
                  <w:noWrap w:val="0"/>
                  <w:vAlign w:val="center"/>
                </w:tcPr>
                <w:p w14:paraId="6A6572C4">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封闭式筒仓</w:t>
                  </w:r>
                </w:p>
              </w:tc>
            </w:tr>
            <w:tr w14:paraId="64E7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28" w:type="pct"/>
                  <w:noWrap w:val="0"/>
                  <w:vAlign w:val="center"/>
                </w:tcPr>
                <w:p w14:paraId="015498BF">
                  <w:pPr>
                    <w:pStyle w:val="40"/>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2</w:t>
                  </w:r>
                </w:p>
              </w:tc>
              <w:tc>
                <w:tcPr>
                  <w:tcW w:w="931" w:type="pct"/>
                  <w:shd w:val="clear" w:color="auto" w:fill="auto"/>
                  <w:noWrap w:val="0"/>
                  <w:vAlign w:val="center"/>
                </w:tcPr>
                <w:p w14:paraId="61DB8994">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粉煤灰</w:t>
                  </w:r>
                </w:p>
              </w:tc>
              <w:tc>
                <w:tcPr>
                  <w:tcW w:w="676" w:type="pct"/>
                  <w:shd w:val="clear" w:color="auto" w:fill="auto"/>
                  <w:noWrap w:val="0"/>
                  <w:vAlign w:val="center"/>
                </w:tcPr>
                <w:p w14:paraId="376A143D">
                  <w:pPr>
                    <w:pStyle w:val="40"/>
                    <w:keepLines w:val="0"/>
                    <w:pageBreakBefore w:val="0"/>
                    <w:kinsoku/>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t/a</w:t>
                  </w:r>
                </w:p>
              </w:tc>
              <w:tc>
                <w:tcPr>
                  <w:tcW w:w="582" w:type="pct"/>
                  <w:shd w:val="clear" w:color="auto" w:fill="auto"/>
                  <w:noWrap w:val="0"/>
                  <w:vAlign w:val="center"/>
                </w:tcPr>
                <w:p w14:paraId="51C6AB7C">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28000</w:t>
                  </w:r>
                </w:p>
              </w:tc>
              <w:tc>
                <w:tcPr>
                  <w:tcW w:w="676" w:type="pct"/>
                  <w:shd w:val="clear" w:color="auto" w:fill="auto"/>
                  <w:noWrap w:val="0"/>
                  <w:vAlign w:val="center"/>
                </w:tcPr>
                <w:p w14:paraId="5DA51288">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default"/>
                    </w:rPr>
                    <w:t>外购</w:t>
                  </w:r>
                </w:p>
              </w:tc>
              <w:tc>
                <w:tcPr>
                  <w:tcW w:w="1705" w:type="pct"/>
                  <w:shd w:val="clear" w:color="auto" w:fill="auto"/>
                  <w:noWrap w:val="0"/>
                  <w:vAlign w:val="center"/>
                </w:tcPr>
                <w:p w14:paraId="79731358">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封闭式筒仓</w:t>
                  </w:r>
                </w:p>
              </w:tc>
            </w:tr>
            <w:tr w14:paraId="4CA7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14:paraId="6C515996">
                  <w:pPr>
                    <w:pStyle w:val="40"/>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3</w:t>
                  </w:r>
                </w:p>
              </w:tc>
              <w:tc>
                <w:tcPr>
                  <w:tcW w:w="931" w:type="pct"/>
                  <w:shd w:val="clear" w:color="auto" w:fill="auto"/>
                  <w:noWrap w:val="0"/>
                  <w:vAlign w:val="center"/>
                </w:tcPr>
                <w:p w14:paraId="2D2C602D">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default"/>
                    </w:rPr>
                    <w:t>砂子</w:t>
                  </w:r>
                </w:p>
              </w:tc>
              <w:tc>
                <w:tcPr>
                  <w:tcW w:w="676" w:type="pct"/>
                  <w:shd w:val="clear" w:color="auto" w:fill="auto"/>
                  <w:noWrap w:val="0"/>
                  <w:vAlign w:val="center"/>
                </w:tcPr>
                <w:p w14:paraId="74EF5796">
                  <w:pPr>
                    <w:pStyle w:val="40"/>
                    <w:keepLines w:val="0"/>
                    <w:pageBreakBefore w:val="0"/>
                    <w:kinsoku/>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lang w:val="en-US" w:eastAsia="zh-CN"/>
                    </w:rPr>
                    <w:t>t/a</w:t>
                  </w:r>
                </w:p>
              </w:tc>
              <w:tc>
                <w:tcPr>
                  <w:tcW w:w="582" w:type="pct"/>
                  <w:shd w:val="clear" w:color="auto" w:fill="auto"/>
                  <w:noWrap w:val="0"/>
                  <w:vAlign w:val="center"/>
                </w:tcPr>
                <w:p w14:paraId="0FF29594">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70400</w:t>
                  </w:r>
                </w:p>
              </w:tc>
              <w:tc>
                <w:tcPr>
                  <w:tcW w:w="676" w:type="pct"/>
                  <w:shd w:val="clear" w:color="auto" w:fill="auto"/>
                  <w:noWrap w:val="0"/>
                  <w:vAlign w:val="center"/>
                </w:tcPr>
                <w:p w14:paraId="61ED4A7A">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default"/>
                    </w:rPr>
                    <w:t>外购</w:t>
                  </w:r>
                </w:p>
              </w:tc>
              <w:tc>
                <w:tcPr>
                  <w:tcW w:w="1705" w:type="pct"/>
                  <w:shd w:val="clear" w:color="auto" w:fill="auto"/>
                  <w:noWrap w:val="0"/>
                  <w:vAlign w:val="center"/>
                </w:tcPr>
                <w:p w14:paraId="4E94EA53">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封闭原料仓库堆存</w:t>
                  </w:r>
                </w:p>
              </w:tc>
            </w:tr>
            <w:tr w14:paraId="501B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14:paraId="160AEECC">
                  <w:pPr>
                    <w:pStyle w:val="40"/>
                    <w:keepLines w:val="0"/>
                    <w:pageBreakBefore w:val="0"/>
                    <w:kinsoku/>
                    <w:wordWrap/>
                    <w:topLinePunct w:val="0"/>
                    <w:autoSpaceDE/>
                    <w:autoSpaceDN/>
                    <w:bidi w:val="0"/>
                    <w:spacing w:beforeAutospacing="0" w:afterAutospacing="0"/>
                    <w:textAlignment w:val="auto"/>
                    <w:rPr>
                      <w:rFonts w:hint="eastAsia"/>
                      <w:lang w:eastAsia="zh-CN"/>
                    </w:rPr>
                  </w:pPr>
                  <w:r>
                    <w:rPr>
                      <w:rFonts w:hint="eastAsia"/>
                      <w:lang w:val="en-US" w:eastAsia="zh-CN"/>
                    </w:rPr>
                    <w:t>4</w:t>
                  </w:r>
                </w:p>
              </w:tc>
              <w:tc>
                <w:tcPr>
                  <w:tcW w:w="931" w:type="pct"/>
                  <w:shd w:val="clear" w:color="auto" w:fill="auto"/>
                  <w:noWrap w:val="0"/>
                  <w:vAlign w:val="center"/>
                </w:tcPr>
                <w:p w14:paraId="7B296C74">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石子</w:t>
                  </w:r>
                </w:p>
              </w:tc>
              <w:tc>
                <w:tcPr>
                  <w:tcW w:w="676" w:type="pct"/>
                  <w:shd w:val="clear" w:color="auto" w:fill="auto"/>
                  <w:noWrap w:val="0"/>
                  <w:vAlign w:val="center"/>
                </w:tcPr>
                <w:p w14:paraId="4B0CF505">
                  <w:pPr>
                    <w:pStyle w:val="40"/>
                    <w:keepLines w:val="0"/>
                    <w:pageBreakBefore w:val="0"/>
                    <w:kinsoku/>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lang w:val="en-US" w:eastAsia="zh-CN"/>
                    </w:rPr>
                    <w:t>t/a</w:t>
                  </w:r>
                </w:p>
              </w:tc>
              <w:tc>
                <w:tcPr>
                  <w:tcW w:w="582" w:type="pct"/>
                  <w:shd w:val="clear" w:color="auto" w:fill="auto"/>
                  <w:noWrap w:val="0"/>
                  <w:vAlign w:val="center"/>
                </w:tcPr>
                <w:p w14:paraId="75F9E47D">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98300</w:t>
                  </w:r>
                </w:p>
              </w:tc>
              <w:tc>
                <w:tcPr>
                  <w:tcW w:w="676" w:type="pct"/>
                  <w:shd w:val="clear" w:color="auto" w:fill="auto"/>
                  <w:noWrap w:val="0"/>
                  <w:vAlign w:val="center"/>
                </w:tcPr>
                <w:p w14:paraId="50C35459">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default"/>
                    </w:rPr>
                    <w:t>外购</w:t>
                  </w:r>
                </w:p>
              </w:tc>
              <w:tc>
                <w:tcPr>
                  <w:tcW w:w="1705" w:type="pct"/>
                  <w:shd w:val="clear" w:color="auto" w:fill="auto"/>
                  <w:noWrap w:val="0"/>
                  <w:vAlign w:val="center"/>
                </w:tcPr>
                <w:p w14:paraId="107ECEC9">
                  <w:pPr>
                    <w:pStyle w:val="40"/>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5–20mm碎石，封闭原料仓库堆存</w:t>
                  </w:r>
                </w:p>
              </w:tc>
            </w:tr>
            <w:tr w14:paraId="748F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8" w:type="pct"/>
                  <w:shd w:val="clear" w:color="auto" w:fill="auto"/>
                  <w:noWrap w:val="0"/>
                  <w:vAlign w:val="center"/>
                </w:tcPr>
                <w:p w14:paraId="373B19F2">
                  <w:pPr>
                    <w:pStyle w:val="40"/>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5</w:t>
                  </w:r>
                </w:p>
              </w:tc>
              <w:tc>
                <w:tcPr>
                  <w:tcW w:w="931" w:type="pct"/>
                  <w:shd w:val="clear" w:color="auto" w:fill="auto"/>
                  <w:noWrap w:val="0"/>
                  <w:vAlign w:val="center"/>
                </w:tcPr>
                <w:p w14:paraId="2BCCBF3B">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石灰</w:t>
                  </w:r>
                </w:p>
              </w:tc>
              <w:tc>
                <w:tcPr>
                  <w:tcW w:w="676" w:type="pct"/>
                  <w:noWrap w:val="0"/>
                  <w:vAlign w:val="center"/>
                </w:tcPr>
                <w:p w14:paraId="3A4AF084">
                  <w:pPr>
                    <w:keepLines w:val="0"/>
                    <w:pageBreakBefore w:val="0"/>
                    <w:kinsoku/>
                    <w:wordWrap/>
                    <w:topLinePunct w:val="0"/>
                    <w:autoSpaceDE/>
                    <w:autoSpaceDN/>
                    <w:bidi w:val="0"/>
                    <w:spacing w:beforeAutospacing="0" w:afterAutospacing="0"/>
                    <w:ind w:left="0" w:leftChars="0" w:right="0" w:rightChars="0" w:firstLine="0" w:firstLineChars="0"/>
                    <w:jc w:val="center"/>
                    <w:textAlignment w:val="auto"/>
                    <w:rPr>
                      <w:rFonts w:hint="default"/>
                      <w:lang w:val="en-US" w:eastAsia="zh-CN"/>
                    </w:rPr>
                  </w:pPr>
                  <w:r>
                    <w:rPr>
                      <w:rFonts w:hint="default"/>
                      <w:lang w:val="en-US" w:eastAsia="zh-CN"/>
                    </w:rPr>
                    <w:t>t/a</w:t>
                  </w:r>
                </w:p>
              </w:tc>
              <w:tc>
                <w:tcPr>
                  <w:tcW w:w="582" w:type="pct"/>
                  <w:noWrap w:val="0"/>
                  <w:vAlign w:val="center"/>
                </w:tcPr>
                <w:p w14:paraId="00475DAC">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7590</w:t>
                  </w:r>
                </w:p>
              </w:tc>
              <w:tc>
                <w:tcPr>
                  <w:tcW w:w="676" w:type="pct"/>
                  <w:noWrap w:val="0"/>
                  <w:vAlign w:val="center"/>
                </w:tcPr>
                <w:p w14:paraId="54B747EF">
                  <w:pPr>
                    <w:pStyle w:val="40"/>
                    <w:keepLines w:val="0"/>
                    <w:pageBreakBefore w:val="0"/>
                    <w:kinsoku/>
                    <w:wordWrap/>
                    <w:topLinePunct w:val="0"/>
                    <w:autoSpaceDE/>
                    <w:autoSpaceDN/>
                    <w:bidi w:val="0"/>
                    <w:spacing w:beforeAutospacing="0" w:afterAutospacing="0"/>
                    <w:textAlignment w:val="auto"/>
                    <w:rPr>
                      <w:rFonts w:hint="default"/>
                    </w:rPr>
                  </w:pPr>
                  <w:r>
                    <w:rPr>
                      <w:rFonts w:hint="default"/>
                    </w:rPr>
                    <w:t>外购</w:t>
                  </w:r>
                </w:p>
              </w:tc>
              <w:tc>
                <w:tcPr>
                  <w:tcW w:w="1705" w:type="pct"/>
                  <w:noWrap w:val="0"/>
                  <w:vAlign w:val="center"/>
                </w:tcPr>
                <w:p w14:paraId="7891BE33">
                  <w:pPr>
                    <w:pStyle w:val="40"/>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编织袋包装，封闭原料仓库</w:t>
                  </w:r>
                </w:p>
              </w:tc>
            </w:tr>
            <w:tr w14:paraId="54A4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8" w:type="pct"/>
                  <w:shd w:val="clear" w:color="auto" w:fill="auto"/>
                  <w:noWrap w:val="0"/>
                  <w:vAlign w:val="center"/>
                </w:tcPr>
                <w:p w14:paraId="1688B1F1">
                  <w:pPr>
                    <w:pStyle w:val="40"/>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6</w:t>
                  </w:r>
                </w:p>
              </w:tc>
              <w:tc>
                <w:tcPr>
                  <w:tcW w:w="931" w:type="pct"/>
                  <w:shd w:val="clear" w:color="auto" w:fill="auto"/>
                  <w:noWrap w:val="0"/>
                  <w:vAlign w:val="center"/>
                </w:tcPr>
                <w:p w14:paraId="613F77CF">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石膏</w:t>
                  </w:r>
                </w:p>
              </w:tc>
              <w:tc>
                <w:tcPr>
                  <w:tcW w:w="676" w:type="pct"/>
                  <w:noWrap w:val="0"/>
                  <w:vAlign w:val="center"/>
                </w:tcPr>
                <w:p w14:paraId="4DB7FA23">
                  <w:pPr>
                    <w:keepLines w:val="0"/>
                    <w:pageBreakBefore w:val="0"/>
                    <w:kinsoku/>
                    <w:wordWrap/>
                    <w:topLinePunct w:val="0"/>
                    <w:autoSpaceDE/>
                    <w:autoSpaceDN/>
                    <w:bidi w:val="0"/>
                    <w:spacing w:beforeAutospacing="0" w:afterAutospacing="0"/>
                    <w:ind w:left="0" w:leftChars="0" w:right="0" w:rightChars="0" w:firstLine="0" w:firstLineChars="0"/>
                    <w:jc w:val="center"/>
                    <w:textAlignment w:val="auto"/>
                    <w:rPr>
                      <w:rFonts w:hint="default"/>
                      <w:lang w:val="en-US" w:eastAsia="zh-CN"/>
                    </w:rPr>
                  </w:pPr>
                  <w:r>
                    <w:rPr>
                      <w:rFonts w:hint="default"/>
                      <w:lang w:val="en-US" w:eastAsia="zh-CN"/>
                    </w:rPr>
                    <w:t>t/a</w:t>
                  </w:r>
                </w:p>
              </w:tc>
              <w:tc>
                <w:tcPr>
                  <w:tcW w:w="582" w:type="pct"/>
                  <w:noWrap w:val="0"/>
                  <w:vAlign w:val="center"/>
                </w:tcPr>
                <w:p w14:paraId="55DF9208">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750</w:t>
                  </w:r>
                </w:p>
              </w:tc>
              <w:tc>
                <w:tcPr>
                  <w:tcW w:w="676" w:type="pct"/>
                  <w:noWrap w:val="0"/>
                  <w:vAlign w:val="center"/>
                </w:tcPr>
                <w:p w14:paraId="0493A576">
                  <w:pPr>
                    <w:pStyle w:val="40"/>
                    <w:keepLines w:val="0"/>
                    <w:pageBreakBefore w:val="0"/>
                    <w:kinsoku/>
                    <w:wordWrap/>
                    <w:topLinePunct w:val="0"/>
                    <w:autoSpaceDE/>
                    <w:autoSpaceDN/>
                    <w:bidi w:val="0"/>
                    <w:spacing w:beforeAutospacing="0" w:afterAutospacing="0"/>
                    <w:textAlignment w:val="auto"/>
                    <w:rPr>
                      <w:rFonts w:hint="default"/>
                    </w:rPr>
                  </w:pPr>
                  <w:r>
                    <w:rPr>
                      <w:rFonts w:hint="default"/>
                    </w:rPr>
                    <w:t>外购</w:t>
                  </w:r>
                </w:p>
              </w:tc>
              <w:tc>
                <w:tcPr>
                  <w:tcW w:w="1705" w:type="pct"/>
                  <w:noWrap w:val="0"/>
                  <w:vAlign w:val="center"/>
                </w:tcPr>
                <w:p w14:paraId="7EDD4456">
                  <w:pPr>
                    <w:pStyle w:val="40"/>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编织袋包装，封闭原料仓库</w:t>
                  </w:r>
                </w:p>
              </w:tc>
            </w:tr>
            <w:tr w14:paraId="4350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8" w:type="pct"/>
                  <w:shd w:val="clear" w:color="auto" w:fill="auto"/>
                  <w:noWrap w:val="0"/>
                  <w:vAlign w:val="center"/>
                </w:tcPr>
                <w:p w14:paraId="213AD3E2">
                  <w:pPr>
                    <w:pStyle w:val="40"/>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7</w:t>
                  </w:r>
                </w:p>
              </w:tc>
              <w:tc>
                <w:tcPr>
                  <w:tcW w:w="931" w:type="pct"/>
                  <w:shd w:val="clear" w:color="auto" w:fill="auto"/>
                  <w:noWrap w:val="0"/>
                  <w:vAlign w:val="center"/>
                </w:tcPr>
                <w:p w14:paraId="6AECDCC4">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铝粉膏</w:t>
                  </w:r>
                </w:p>
              </w:tc>
              <w:tc>
                <w:tcPr>
                  <w:tcW w:w="676" w:type="pct"/>
                  <w:noWrap w:val="0"/>
                  <w:vAlign w:val="center"/>
                </w:tcPr>
                <w:p w14:paraId="13526C59">
                  <w:pPr>
                    <w:keepLines w:val="0"/>
                    <w:pageBreakBefore w:val="0"/>
                    <w:kinsoku/>
                    <w:wordWrap/>
                    <w:topLinePunct w:val="0"/>
                    <w:autoSpaceDE/>
                    <w:autoSpaceDN/>
                    <w:bidi w:val="0"/>
                    <w:spacing w:beforeAutospacing="0" w:afterAutospacing="0"/>
                    <w:ind w:left="0" w:leftChars="0" w:right="0" w:rightChars="0" w:firstLine="0" w:firstLineChars="0"/>
                    <w:jc w:val="center"/>
                    <w:textAlignment w:val="auto"/>
                    <w:rPr>
                      <w:rFonts w:hint="default"/>
                      <w:lang w:val="en-US" w:eastAsia="zh-CN"/>
                    </w:rPr>
                  </w:pPr>
                  <w:r>
                    <w:rPr>
                      <w:rFonts w:hint="default"/>
                      <w:lang w:val="en-US" w:eastAsia="zh-CN"/>
                    </w:rPr>
                    <w:t>t/a</w:t>
                  </w:r>
                </w:p>
              </w:tc>
              <w:tc>
                <w:tcPr>
                  <w:tcW w:w="582" w:type="pct"/>
                  <w:noWrap w:val="0"/>
                  <w:vAlign w:val="center"/>
                </w:tcPr>
                <w:p w14:paraId="58057138">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20</w:t>
                  </w:r>
                </w:p>
              </w:tc>
              <w:tc>
                <w:tcPr>
                  <w:tcW w:w="676" w:type="pct"/>
                  <w:noWrap w:val="0"/>
                  <w:vAlign w:val="center"/>
                </w:tcPr>
                <w:p w14:paraId="481CB8FE">
                  <w:pPr>
                    <w:pStyle w:val="40"/>
                    <w:keepLines w:val="0"/>
                    <w:pageBreakBefore w:val="0"/>
                    <w:kinsoku/>
                    <w:wordWrap/>
                    <w:topLinePunct w:val="0"/>
                    <w:autoSpaceDE/>
                    <w:autoSpaceDN/>
                    <w:bidi w:val="0"/>
                    <w:spacing w:beforeAutospacing="0" w:afterAutospacing="0"/>
                    <w:textAlignment w:val="auto"/>
                    <w:rPr>
                      <w:rFonts w:hint="default"/>
                    </w:rPr>
                  </w:pPr>
                  <w:r>
                    <w:rPr>
                      <w:rFonts w:hint="default"/>
                    </w:rPr>
                    <w:t>外购</w:t>
                  </w:r>
                </w:p>
              </w:tc>
              <w:tc>
                <w:tcPr>
                  <w:tcW w:w="1705" w:type="pct"/>
                  <w:noWrap w:val="0"/>
                  <w:vAlign w:val="center"/>
                </w:tcPr>
                <w:p w14:paraId="292638F8">
                  <w:pPr>
                    <w:pStyle w:val="40"/>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密封塑料桶盛装，封闭原料仓库</w:t>
                  </w:r>
                </w:p>
              </w:tc>
            </w:tr>
            <w:tr w14:paraId="29F2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8" w:type="pct"/>
                  <w:shd w:val="clear" w:color="auto" w:fill="auto"/>
                  <w:noWrap w:val="0"/>
                  <w:vAlign w:val="center"/>
                </w:tcPr>
                <w:p w14:paraId="08E2AE8F">
                  <w:pPr>
                    <w:pStyle w:val="40"/>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8</w:t>
                  </w:r>
                </w:p>
              </w:tc>
              <w:tc>
                <w:tcPr>
                  <w:tcW w:w="931" w:type="pct"/>
                  <w:shd w:val="clear" w:color="auto" w:fill="auto"/>
                  <w:noWrap w:val="0"/>
                  <w:vAlign w:val="center"/>
                </w:tcPr>
                <w:p w14:paraId="25964B20">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成品发泡EPS颗粒</w:t>
                  </w:r>
                </w:p>
              </w:tc>
              <w:tc>
                <w:tcPr>
                  <w:tcW w:w="676" w:type="pct"/>
                  <w:noWrap w:val="0"/>
                  <w:vAlign w:val="center"/>
                </w:tcPr>
                <w:p w14:paraId="6DAB270A">
                  <w:pPr>
                    <w:keepLines w:val="0"/>
                    <w:pageBreakBefore w:val="0"/>
                    <w:kinsoku/>
                    <w:wordWrap/>
                    <w:topLinePunct w:val="0"/>
                    <w:autoSpaceDE/>
                    <w:autoSpaceDN/>
                    <w:bidi w:val="0"/>
                    <w:spacing w:beforeAutospacing="0" w:afterAutospacing="0"/>
                    <w:ind w:left="0" w:leftChars="0" w:right="0" w:rightChars="0" w:firstLine="0" w:firstLineChars="0"/>
                    <w:jc w:val="center"/>
                    <w:textAlignment w:val="auto"/>
                    <w:rPr>
                      <w:rFonts w:hint="default"/>
                      <w:lang w:val="en-US" w:eastAsia="zh-CN"/>
                    </w:rPr>
                  </w:pPr>
                  <w:r>
                    <w:rPr>
                      <w:rFonts w:hint="default"/>
                      <w:lang w:val="en-US" w:eastAsia="zh-CN"/>
                    </w:rPr>
                    <w:t>t/a</w:t>
                  </w:r>
                </w:p>
              </w:tc>
              <w:tc>
                <w:tcPr>
                  <w:tcW w:w="582" w:type="pct"/>
                  <w:noWrap w:val="0"/>
                  <w:vAlign w:val="center"/>
                </w:tcPr>
                <w:p w14:paraId="3631FC01">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50</w:t>
                  </w:r>
                </w:p>
              </w:tc>
              <w:tc>
                <w:tcPr>
                  <w:tcW w:w="676" w:type="pct"/>
                  <w:noWrap w:val="0"/>
                  <w:vAlign w:val="center"/>
                </w:tcPr>
                <w:p w14:paraId="5E60F5E3">
                  <w:pPr>
                    <w:pStyle w:val="40"/>
                    <w:keepLines w:val="0"/>
                    <w:pageBreakBefore w:val="0"/>
                    <w:kinsoku/>
                    <w:wordWrap/>
                    <w:topLinePunct w:val="0"/>
                    <w:autoSpaceDE/>
                    <w:autoSpaceDN/>
                    <w:bidi w:val="0"/>
                    <w:spacing w:beforeAutospacing="0" w:afterAutospacing="0"/>
                    <w:textAlignment w:val="auto"/>
                    <w:rPr>
                      <w:rFonts w:hint="default"/>
                    </w:rPr>
                  </w:pPr>
                  <w:r>
                    <w:rPr>
                      <w:rFonts w:hint="default"/>
                    </w:rPr>
                    <w:t>外购</w:t>
                  </w:r>
                </w:p>
              </w:tc>
              <w:tc>
                <w:tcPr>
                  <w:tcW w:w="1705" w:type="pct"/>
                  <w:noWrap w:val="0"/>
                  <w:vAlign w:val="center"/>
                </w:tcPr>
                <w:p w14:paraId="382482A9">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吨袋包装</w:t>
                  </w:r>
                </w:p>
              </w:tc>
            </w:tr>
            <w:tr w14:paraId="262D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shd w:val="clear" w:color="auto" w:fill="auto"/>
                  <w:noWrap w:val="0"/>
                  <w:vAlign w:val="center"/>
                </w:tcPr>
                <w:p w14:paraId="72A38EAC">
                  <w:pPr>
                    <w:pStyle w:val="40"/>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9</w:t>
                  </w:r>
                </w:p>
              </w:tc>
              <w:tc>
                <w:tcPr>
                  <w:tcW w:w="931" w:type="pct"/>
                  <w:shd w:val="clear" w:color="auto" w:fill="auto"/>
                  <w:noWrap w:val="0"/>
                  <w:vAlign w:val="center"/>
                </w:tcPr>
                <w:p w14:paraId="7EA0CBEF">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钢筋</w:t>
                  </w:r>
                </w:p>
              </w:tc>
              <w:tc>
                <w:tcPr>
                  <w:tcW w:w="676" w:type="pct"/>
                  <w:noWrap w:val="0"/>
                  <w:vAlign w:val="center"/>
                </w:tcPr>
                <w:p w14:paraId="79598D71">
                  <w:pPr>
                    <w:keepLines w:val="0"/>
                    <w:pageBreakBefore w:val="0"/>
                    <w:kinsoku/>
                    <w:wordWrap/>
                    <w:topLinePunct w:val="0"/>
                    <w:autoSpaceDE/>
                    <w:autoSpaceDN/>
                    <w:bidi w:val="0"/>
                    <w:spacing w:beforeAutospacing="0" w:afterAutospacing="0"/>
                    <w:ind w:left="0" w:leftChars="0" w:right="0" w:rightChars="0" w:firstLine="0" w:firstLineChars="0"/>
                    <w:jc w:val="center"/>
                    <w:textAlignment w:val="auto"/>
                    <w:rPr>
                      <w:rFonts w:hint="default"/>
                      <w:lang w:val="en-US" w:eastAsia="zh-CN"/>
                    </w:rPr>
                  </w:pPr>
                  <w:r>
                    <w:rPr>
                      <w:rFonts w:hint="default"/>
                      <w:lang w:val="en-US" w:eastAsia="zh-CN"/>
                    </w:rPr>
                    <w:t>t/a</w:t>
                  </w:r>
                </w:p>
              </w:tc>
              <w:tc>
                <w:tcPr>
                  <w:tcW w:w="582" w:type="pct"/>
                  <w:noWrap w:val="0"/>
                  <w:vAlign w:val="center"/>
                </w:tcPr>
                <w:p w14:paraId="2EBF03F7">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700</w:t>
                  </w:r>
                </w:p>
              </w:tc>
              <w:tc>
                <w:tcPr>
                  <w:tcW w:w="676" w:type="pct"/>
                  <w:noWrap w:val="0"/>
                  <w:vAlign w:val="center"/>
                </w:tcPr>
                <w:p w14:paraId="2C8C10E5">
                  <w:pPr>
                    <w:pStyle w:val="40"/>
                    <w:keepLines w:val="0"/>
                    <w:pageBreakBefore w:val="0"/>
                    <w:kinsoku/>
                    <w:wordWrap/>
                    <w:topLinePunct w:val="0"/>
                    <w:autoSpaceDE/>
                    <w:autoSpaceDN/>
                    <w:bidi w:val="0"/>
                    <w:spacing w:beforeAutospacing="0" w:afterAutospacing="0"/>
                    <w:textAlignment w:val="auto"/>
                    <w:rPr>
                      <w:rFonts w:hint="default"/>
                    </w:rPr>
                  </w:pPr>
                  <w:r>
                    <w:rPr>
                      <w:rFonts w:hint="default"/>
                    </w:rPr>
                    <w:t>外购</w:t>
                  </w:r>
                </w:p>
              </w:tc>
              <w:tc>
                <w:tcPr>
                  <w:tcW w:w="1705" w:type="pct"/>
                  <w:noWrap w:val="0"/>
                  <w:vAlign w:val="center"/>
                </w:tcPr>
                <w:p w14:paraId="4B114444">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w:t>
                  </w:r>
                </w:p>
              </w:tc>
            </w:tr>
            <w:tr w14:paraId="5C05E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shd w:val="clear" w:color="auto" w:fill="auto"/>
                  <w:noWrap w:val="0"/>
                  <w:vAlign w:val="center"/>
                </w:tcPr>
                <w:p w14:paraId="00502CE9">
                  <w:pPr>
                    <w:pStyle w:val="40"/>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10</w:t>
                  </w:r>
                </w:p>
              </w:tc>
              <w:tc>
                <w:tcPr>
                  <w:tcW w:w="931" w:type="pct"/>
                  <w:shd w:val="clear" w:color="auto" w:fill="auto"/>
                  <w:noWrap w:val="0"/>
                  <w:vAlign w:val="center"/>
                </w:tcPr>
                <w:p w14:paraId="00DB700F">
                  <w:pPr>
                    <w:pStyle w:val="40"/>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焊条</w:t>
                  </w:r>
                </w:p>
              </w:tc>
              <w:tc>
                <w:tcPr>
                  <w:tcW w:w="676" w:type="pct"/>
                  <w:noWrap w:val="0"/>
                  <w:vAlign w:val="center"/>
                </w:tcPr>
                <w:p w14:paraId="181DCC0A">
                  <w:pPr>
                    <w:keepLines w:val="0"/>
                    <w:pageBreakBefore w:val="0"/>
                    <w:kinsoku/>
                    <w:wordWrap/>
                    <w:topLinePunct w:val="0"/>
                    <w:autoSpaceDE/>
                    <w:autoSpaceDN/>
                    <w:bidi w:val="0"/>
                    <w:spacing w:beforeAutospacing="0" w:afterAutospacing="0"/>
                    <w:ind w:left="0" w:leftChars="0" w:right="0" w:rightChars="0" w:firstLine="0" w:firstLineChars="0"/>
                    <w:jc w:val="center"/>
                    <w:textAlignment w:val="auto"/>
                    <w:rPr>
                      <w:rFonts w:hint="default"/>
                      <w:lang w:val="en-US" w:eastAsia="zh-CN"/>
                    </w:rPr>
                  </w:pPr>
                  <w:r>
                    <w:rPr>
                      <w:rFonts w:hint="default"/>
                      <w:lang w:val="en-US" w:eastAsia="zh-CN"/>
                    </w:rPr>
                    <w:t>t/a</w:t>
                  </w:r>
                </w:p>
              </w:tc>
              <w:tc>
                <w:tcPr>
                  <w:tcW w:w="582" w:type="pct"/>
                  <w:noWrap w:val="0"/>
                  <w:vAlign w:val="center"/>
                </w:tcPr>
                <w:p w14:paraId="3EDC6B68">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2.5</w:t>
                  </w:r>
                </w:p>
              </w:tc>
              <w:tc>
                <w:tcPr>
                  <w:tcW w:w="676" w:type="pct"/>
                  <w:noWrap w:val="0"/>
                  <w:vAlign w:val="center"/>
                </w:tcPr>
                <w:p w14:paraId="053FC229">
                  <w:pPr>
                    <w:pStyle w:val="40"/>
                    <w:keepLines w:val="0"/>
                    <w:pageBreakBefore w:val="0"/>
                    <w:kinsoku/>
                    <w:wordWrap/>
                    <w:topLinePunct w:val="0"/>
                    <w:autoSpaceDE/>
                    <w:autoSpaceDN/>
                    <w:bidi w:val="0"/>
                    <w:spacing w:beforeAutospacing="0" w:afterAutospacing="0"/>
                    <w:textAlignment w:val="auto"/>
                    <w:rPr>
                      <w:rFonts w:hint="default"/>
                    </w:rPr>
                  </w:pPr>
                  <w:r>
                    <w:rPr>
                      <w:rFonts w:hint="default"/>
                    </w:rPr>
                    <w:t>外购</w:t>
                  </w:r>
                </w:p>
              </w:tc>
              <w:tc>
                <w:tcPr>
                  <w:tcW w:w="1705" w:type="pct"/>
                  <w:noWrap w:val="0"/>
                  <w:vAlign w:val="center"/>
                </w:tcPr>
                <w:p w14:paraId="1F817F73">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w:t>
                  </w:r>
                </w:p>
              </w:tc>
            </w:tr>
            <w:tr w14:paraId="7873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shd w:val="clear" w:color="auto" w:fill="auto"/>
                  <w:noWrap w:val="0"/>
                  <w:vAlign w:val="center"/>
                </w:tcPr>
                <w:p w14:paraId="016376BF">
                  <w:pPr>
                    <w:pStyle w:val="40"/>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11</w:t>
                  </w:r>
                </w:p>
              </w:tc>
              <w:tc>
                <w:tcPr>
                  <w:tcW w:w="931" w:type="pct"/>
                  <w:shd w:val="clear" w:color="auto" w:fill="auto"/>
                  <w:noWrap w:val="0"/>
                  <w:vAlign w:val="center"/>
                </w:tcPr>
                <w:p w14:paraId="0D4059C6">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免拆式EPS夹芯板</w:t>
                  </w:r>
                </w:p>
              </w:tc>
              <w:tc>
                <w:tcPr>
                  <w:tcW w:w="676" w:type="pct"/>
                  <w:noWrap w:val="0"/>
                  <w:vAlign w:val="center"/>
                </w:tcPr>
                <w:p w14:paraId="445BA8A6">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万m</w:t>
                  </w:r>
                  <w:r>
                    <w:rPr>
                      <w:rFonts w:hint="eastAsia"/>
                      <w:vertAlign w:val="superscript"/>
                      <w:lang w:val="en-US" w:eastAsia="zh-CN"/>
                    </w:rPr>
                    <w:t>2</w:t>
                  </w:r>
                  <w:r>
                    <w:rPr>
                      <w:rFonts w:hint="eastAsia"/>
                      <w:lang w:val="en-US" w:eastAsia="zh-CN"/>
                    </w:rPr>
                    <w:t>/a</w:t>
                  </w:r>
                </w:p>
              </w:tc>
              <w:tc>
                <w:tcPr>
                  <w:tcW w:w="582" w:type="pct"/>
                  <w:noWrap w:val="0"/>
                  <w:vAlign w:val="center"/>
                </w:tcPr>
                <w:p w14:paraId="73A04974">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2.2</w:t>
                  </w:r>
                </w:p>
              </w:tc>
              <w:tc>
                <w:tcPr>
                  <w:tcW w:w="676" w:type="pct"/>
                  <w:noWrap w:val="0"/>
                  <w:vAlign w:val="center"/>
                </w:tcPr>
                <w:p w14:paraId="0798C7C1">
                  <w:pPr>
                    <w:pStyle w:val="40"/>
                    <w:keepLines w:val="0"/>
                    <w:pageBreakBefore w:val="0"/>
                    <w:kinsoku/>
                    <w:wordWrap/>
                    <w:topLinePunct w:val="0"/>
                    <w:autoSpaceDE/>
                    <w:autoSpaceDN/>
                    <w:bidi w:val="0"/>
                    <w:spacing w:beforeAutospacing="0" w:afterAutospacing="0"/>
                    <w:textAlignment w:val="auto"/>
                    <w:rPr>
                      <w:rFonts w:hint="default"/>
                    </w:rPr>
                  </w:pPr>
                  <w:r>
                    <w:rPr>
                      <w:rFonts w:hint="default"/>
                    </w:rPr>
                    <w:t>外购</w:t>
                  </w:r>
                </w:p>
              </w:tc>
              <w:tc>
                <w:tcPr>
                  <w:tcW w:w="1705" w:type="pct"/>
                  <w:noWrap w:val="0"/>
                  <w:vAlign w:val="center"/>
                </w:tcPr>
                <w:p w14:paraId="2F417D70">
                  <w:pPr>
                    <w:pStyle w:val="40"/>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装配式房屋顶板专用</w:t>
                  </w:r>
                </w:p>
              </w:tc>
            </w:tr>
            <w:tr w14:paraId="313E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shd w:val="clear" w:color="auto" w:fill="auto"/>
                  <w:noWrap w:val="0"/>
                  <w:vAlign w:val="center"/>
                </w:tcPr>
                <w:p w14:paraId="21196C0C">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12</w:t>
                  </w:r>
                </w:p>
              </w:tc>
              <w:tc>
                <w:tcPr>
                  <w:tcW w:w="931" w:type="pct"/>
                  <w:shd w:val="clear" w:color="auto" w:fill="auto"/>
                  <w:noWrap w:val="0"/>
                  <w:vAlign w:val="center"/>
                </w:tcPr>
                <w:p w14:paraId="7991FAA5">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减水剂</w:t>
                  </w:r>
                </w:p>
              </w:tc>
              <w:tc>
                <w:tcPr>
                  <w:tcW w:w="676" w:type="pct"/>
                  <w:noWrap w:val="0"/>
                  <w:vAlign w:val="center"/>
                </w:tcPr>
                <w:p w14:paraId="64F9AA3A">
                  <w:pPr>
                    <w:keepLines w:val="0"/>
                    <w:pageBreakBefore w:val="0"/>
                    <w:kinsoku/>
                    <w:wordWrap/>
                    <w:topLinePunct w:val="0"/>
                    <w:autoSpaceDE/>
                    <w:autoSpaceDN/>
                    <w:bidi w:val="0"/>
                    <w:spacing w:beforeAutospacing="0" w:afterAutospacing="0"/>
                    <w:ind w:left="0" w:leftChars="0" w:right="0" w:rightChars="0" w:firstLine="0" w:firstLineChars="0"/>
                    <w:jc w:val="center"/>
                    <w:textAlignment w:val="auto"/>
                    <w:rPr>
                      <w:rFonts w:hint="default"/>
                      <w:lang w:val="en-US" w:eastAsia="zh-CN"/>
                    </w:rPr>
                  </w:pPr>
                  <w:r>
                    <w:rPr>
                      <w:rFonts w:hint="default"/>
                      <w:lang w:val="en-US" w:eastAsia="zh-CN"/>
                    </w:rPr>
                    <w:t>t/a</w:t>
                  </w:r>
                </w:p>
              </w:tc>
              <w:tc>
                <w:tcPr>
                  <w:tcW w:w="582" w:type="pct"/>
                  <w:noWrap w:val="0"/>
                  <w:vAlign w:val="center"/>
                </w:tcPr>
                <w:p w14:paraId="00B888D3">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770</w:t>
                  </w:r>
                </w:p>
              </w:tc>
              <w:tc>
                <w:tcPr>
                  <w:tcW w:w="676" w:type="pct"/>
                  <w:noWrap w:val="0"/>
                  <w:vAlign w:val="center"/>
                </w:tcPr>
                <w:p w14:paraId="301EE654">
                  <w:pPr>
                    <w:pStyle w:val="40"/>
                    <w:keepLines w:val="0"/>
                    <w:pageBreakBefore w:val="0"/>
                    <w:kinsoku/>
                    <w:wordWrap/>
                    <w:topLinePunct w:val="0"/>
                    <w:autoSpaceDE/>
                    <w:autoSpaceDN/>
                    <w:bidi w:val="0"/>
                    <w:spacing w:beforeAutospacing="0" w:afterAutospacing="0"/>
                    <w:textAlignment w:val="auto"/>
                    <w:rPr>
                      <w:rFonts w:hint="default"/>
                    </w:rPr>
                  </w:pPr>
                  <w:r>
                    <w:rPr>
                      <w:rFonts w:hint="default"/>
                    </w:rPr>
                    <w:t>外购</w:t>
                  </w:r>
                </w:p>
              </w:tc>
              <w:tc>
                <w:tcPr>
                  <w:tcW w:w="1705" w:type="pct"/>
                  <w:noWrap w:val="0"/>
                  <w:vAlign w:val="center"/>
                </w:tcPr>
                <w:p w14:paraId="52EB0BDE">
                  <w:pPr>
                    <w:pStyle w:val="40"/>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聚羧酸系高效减水剂</w:t>
                  </w:r>
                </w:p>
              </w:tc>
            </w:tr>
            <w:tr w14:paraId="4643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shd w:val="clear" w:color="auto" w:fill="auto"/>
                  <w:noWrap w:val="0"/>
                  <w:vAlign w:val="center"/>
                </w:tcPr>
                <w:p w14:paraId="5F1195A1">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13</w:t>
                  </w:r>
                </w:p>
              </w:tc>
              <w:tc>
                <w:tcPr>
                  <w:tcW w:w="931" w:type="pct"/>
                  <w:shd w:val="clear" w:color="auto" w:fill="auto"/>
                  <w:noWrap w:val="0"/>
                  <w:vAlign w:val="center"/>
                </w:tcPr>
                <w:p w14:paraId="1EB3934B">
                  <w:pPr>
                    <w:pStyle w:val="40"/>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激发剂</w:t>
                  </w:r>
                </w:p>
              </w:tc>
              <w:tc>
                <w:tcPr>
                  <w:tcW w:w="676" w:type="pct"/>
                  <w:noWrap w:val="0"/>
                  <w:vAlign w:val="center"/>
                </w:tcPr>
                <w:p w14:paraId="4F867EFB">
                  <w:pPr>
                    <w:keepLines w:val="0"/>
                    <w:pageBreakBefore w:val="0"/>
                    <w:kinsoku/>
                    <w:wordWrap/>
                    <w:topLinePunct w:val="0"/>
                    <w:autoSpaceDE/>
                    <w:autoSpaceDN/>
                    <w:bidi w:val="0"/>
                    <w:spacing w:beforeAutospacing="0" w:afterAutospacing="0"/>
                    <w:ind w:left="0" w:leftChars="0" w:right="0" w:rightChars="0" w:firstLine="0" w:firstLineChars="0"/>
                    <w:jc w:val="center"/>
                    <w:textAlignment w:val="auto"/>
                    <w:rPr>
                      <w:rFonts w:hint="default"/>
                      <w:lang w:val="en-US" w:eastAsia="zh-CN"/>
                    </w:rPr>
                  </w:pPr>
                  <w:r>
                    <w:rPr>
                      <w:rFonts w:hint="default"/>
                      <w:lang w:val="en-US" w:eastAsia="zh-CN"/>
                    </w:rPr>
                    <w:t>t/a</w:t>
                  </w:r>
                </w:p>
              </w:tc>
              <w:tc>
                <w:tcPr>
                  <w:tcW w:w="582" w:type="pct"/>
                  <w:noWrap w:val="0"/>
                  <w:vAlign w:val="center"/>
                </w:tcPr>
                <w:p w14:paraId="2F65C205">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45</w:t>
                  </w:r>
                </w:p>
              </w:tc>
              <w:tc>
                <w:tcPr>
                  <w:tcW w:w="676" w:type="pct"/>
                  <w:noWrap w:val="0"/>
                  <w:vAlign w:val="center"/>
                </w:tcPr>
                <w:p w14:paraId="49D5985D">
                  <w:pPr>
                    <w:pStyle w:val="40"/>
                    <w:keepLines w:val="0"/>
                    <w:pageBreakBefore w:val="0"/>
                    <w:kinsoku/>
                    <w:wordWrap/>
                    <w:topLinePunct w:val="0"/>
                    <w:autoSpaceDE/>
                    <w:autoSpaceDN/>
                    <w:bidi w:val="0"/>
                    <w:spacing w:beforeAutospacing="0" w:afterAutospacing="0"/>
                    <w:textAlignment w:val="auto"/>
                    <w:rPr>
                      <w:rFonts w:hint="default"/>
                    </w:rPr>
                  </w:pPr>
                  <w:r>
                    <w:rPr>
                      <w:rFonts w:hint="default"/>
                    </w:rPr>
                    <w:t>外购</w:t>
                  </w:r>
                </w:p>
              </w:tc>
              <w:tc>
                <w:tcPr>
                  <w:tcW w:w="1705" w:type="pct"/>
                  <w:noWrap w:val="0"/>
                  <w:vAlign w:val="center"/>
                </w:tcPr>
                <w:p w14:paraId="345B4797">
                  <w:pPr>
                    <w:pStyle w:val="40"/>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碱性激发剂（视情况是否添加）</w:t>
                  </w:r>
                </w:p>
              </w:tc>
            </w:tr>
            <w:tr w14:paraId="78E05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shd w:val="clear" w:color="auto" w:fill="auto"/>
                  <w:noWrap w:val="0"/>
                  <w:vAlign w:val="center"/>
                </w:tcPr>
                <w:p w14:paraId="4B162E10">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14</w:t>
                  </w:r>
                </w:p>
              </w:tc>
              <w:tc>
                <w:tcPr>
                  <w:tcW w:w="931" w:type="pct"/>
                  <w:noWrap w:val="0"/>
                  <w:vAlign w:val="center"/>
                </w:tcPr>
                <w:p w14:paraId="054CBBDC">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脱模剂</w:t>
                  </w:r>
                </w:p>
              </w:tc>
              <w:tc>
                <w:tcPr>
                  <w:tcW w:w="676" w:type="pct"/>
                  <w:noWrap w:val="0"/>
                  <w:vAlign w:val="center"/>
                </w:tcPr>
                <w:p w14:paraId="5C414346">
                  <w:pPr>
                    <w:keepLines w:val="0"/>
                    <w:pageBreakBefore w:val="0"/>
                    <w:kinsoku/>
                    <w:wordWrap/>
                    <w:topLinePunct w:val="0"/>
                    <w:autoSpaceDE/>
                    <w:autoSpaceDN/>
                    <w:bidi w:val="0"/>
                    <w:spacing w:beforeAutospacing="0" w:afterAutospacing="0"/>
                    <w:ind w:left="0" w:leftChars="0" w:right="0" w:rightChars="0" w:firstLine="0" w:firstLineChars="0"/>
                    <w:jc w:val="center"/>
                    <w:textAlignment w:val="auto"/>
                    <w:rPr>
                      <w:rFonts w:hint="default"/>
                      <w:lang w:val="en-US" w:eastAsia="zh-CN"/>
                    </w:rPr>
                  </w:pPr>
                  <w:r>
                    <w:rPr>
                      <w:rFonts w:hint="default"/>
                      <w:lang w:val="en-US" w:eastAsia="zh-CN"/>
                    </w:rPr>
                    <w:t>t/a</w:t>
                  </w:r>
                </w:p>
              </w:tc>
              <w:tc>
                <w:tcPr>
                  <w:tcW w:w="582" w:type="pct"/>
                  <w:noWrap w:val="0"/>
                  <w:vAlign w:val="center"/>
                </w:tcPr>
                <w:p w14:paraId="20184166">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18</w:t>
                  </w:r>
                </w:p>
              </w:tc>
              <w:tc>
                <w:tcPr>
                  <w:tcW w:w="676" w:type="pct"/>
                  <w:noWrap w:val="0"/>
                  <w:vAlign w:val="center"/>
                </w:tcPr>
                <w:p w14:paraId="2E1019BF">
                  <w:pPr>
                    <w:pStyle w:val="40"/>
                    <w:keepLines w:val="0"/>
                    <w:pageBreakBefore w:val="0"/>
                    <w:kinsoku/>
                    <w:wordWrap/>
                    <w:topLinePunct w:val="0"/>
                    <w:autoSpaceDE/>
                    <w:autoSpaceDN/>
                    <w:bidi w:val="0"/>
                    <w:spacing w:beforeAutospacing="0" w:afterAutospacing="0"/>
                    <w:textAlignment w:val="auto"/>
                    <w:rPr>
                      <w:rFonts w:hint="default"/>
                    </w:rPr>
                  </w:pPr>
                  <w:r>
                    <w:rPr>
                      <w:rFonts w:hint="default"/>
                    </w:rPr>
                    <w:t>外购</w:t>
                  </w:r>
                </w:p>
              </w:tc>
              <w:tc>
                <w:tcPr>
                  <w:tcW w:w="1705" w:type="pct"/>
                  <w:noWrap w:val="0"/>
                  <w:vAlign w:val="center"/>
                </w:tcPr>
                <w:p w14:paraId="44F3F98C">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w:t>
                  </w:r>
                </w:p>
              </w:tc>
            </w:tr>
            <w:tr w14:paraId="3D79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shd w:val="clear" w:color="auto" w:fill="auto"/>
                  <w:noWrap w:val="0"/>
                  <w:vAlign w:val="center"/>
                </w:tcPr>
                <w:p w14:paraId="3B1BECED">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15</w:t>
                  </w:r>
                </w:p>
              </w:tc>
              <w:tc>
                <w:tcPr>
                  <w:tcW w:w="931" w:type="pct"/>
                  <w:shd w:val="clear" w:color="auto" w:fill="auto"/>
                  <w:noWrap w:val="0"/>
                  <w:vAlign w:val="center"/>
                </w:tcPr>
                <w:p w14:paraId="5C6C68A0">
                  <w:pPr>
                    <w:pStyle w:val="40"/>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发泡聚乙烯棒</w:t>
                  </w:r>
                </w:p>
              </w:tc>
              <w:tc>
                <w:tcPr>
                  <w:tcW w:w="676" w:type="pct"/>
                  <w:shd w:val="clear" w:color="auto" w:fill="auto"/>
                  <w:noWrap w:val="0"/>
                  <w:vAlign w:val="center"/>
                </w:tcPr>
                <w:p w14:paraId="3B07ABB4">
                  <w:pPr>
                    <w:keepLines w:val="0"/>
                    <w:pageBreakBefore w:val="0"/>
                    <w:kinsoku/>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default"/>
                      <w:lang w:val="en-US" w:eastAsia="zh-CN"/>
                    </w:rPr>
                    <w:t>t/a</w:t>
                  </w:r>
                </w:p>
              </w:tc>
              <w:tc>
                <w:tcPr>
                  <w:tcW w:w="582" w:type="pct"/>
                  <w:shd w:val="clear" w:color="auto" w:fill="auto"/>
                  <w:noWrap w:val="0"/>
                  <w:vAlign w:val="center"/>
                </w:tcPr>
                <w:p w14:paraId="27773083">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0.6</w:t>
                  </w:r>
                </w:p>
              </w:tc>
              <w:tc>
                <w:tcPr>
                  <w:tcW w:w="676" w:type="pct"/>
                  <w:shd w:val="clear" w:color="auto" w:fill="auto"/>
                  <w:noWrap w:val="0"/>
                  <w:vAlign w:val="center"/>
                </w:tcPr>
                <w:p w14:paraId="451C4119">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default"/>
                    </w:rPr>
                    <w:t>外购</w:t>
                  </w:r>
                </w:p>
              </w:tc>
              <w:tc>
                <w:tcPr>
                  <w:tcW w:w="1705" w:type="pct"/>
                  <w:shd w:val="clear" w:color="auto" w:fill="auto"/>
                  <w:noWrap w:val="0"/>
                  <w:vAlign w:val="center"/>
                </w:tcPr>
                <w:p w14:paraId="04AFDDAC">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填缝棒</w:t>
                  </w:r>
                </w:p>
              </w:tc>
            </w:tr>
            <w:tr w14:paraId="19F6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shd w:val="clear" w:color="auto" w:fill="auto"/>
                  <w:noWrap w:val="0"/>
                  <w:vAlign w:val="center"/>
                </w:tcPr>
                <w:p w14:paraId="50B5AA34">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16</w:t>
                  </w:r>
                </w:p>
              </w:tc>
              <w:tc>
                <w:tcPr>
                  <w:tcW w:w="931" w:type="pct"/>
                  <w:shd w:val="clear" w:color="auto" w:fill="auto"/>
                  <w:noWrap w:val="0"/>
                  <w:vAlign w:val="center"/>
                </w:tcPr>
                <w:p w14:paraId="44983205">
                  <w:pPr>
                    <w:pStyle w:val="40"/>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防冻剂</w:t>
                  </w:r>
                </w:p>
              </w:tc>
              <w:tc>
                <w:tcPr>
                  <w:tcW w:w="676" w:type="pct"/>
                  <w:shd w:val="clear" w:color="auto" w:fill="auto"/>
                  <w:noWrap w:val="0"/>
                  <w:vAlign w:val="center"/>
                </w:tcPr>
                <w:p w14:paraId="2765461D">
                  <w:pPr>
                    <w:keepLines w:val="0"/>
                    <w:pageBreakBefore w:val="0"/>
                    <w:kinsoku/>
                    <w:wordWrap/>
                    <w:topLinePunct w:val="0"/>
                    <w:autoSpaceDE/>
                    <w:autoSpaceDN/>
                    <w:bidi w:val="0"/>
                    <w:spacing w:beforeAutospacing="0" w:afterAutospacing="0"/>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default"/>
                      <w:lang w:val="en-US" w:eastAsia="zh-CN"/>
                    </w:rPr>
                    <w:t>t/a</w:t>
                  </w:r>
                </w:p>
              </w:tc>
              <w:tc>
                <w:tcPr>
                  <w:tcW w:w="582" w:type="pct"/>
                  <w:shd w:val="clear" w:color="auto" w:fill="auto"/>
                  <w:noWrap w:val="0"/>
                  <w:vAlign w:val="center"/>
                </w:tcPr>
                <w:p w14:paraId="0370398A">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18</w:t>
                  </w:r>
                </w:p>
              </w:tc>
              <w:tc>
                <w:tcPr>
                  <w:tcW w:w="676" w:type="pct"/>
                  <w:shd w:val="clear" w:color="auto" w:fill="auto"/>
                  <w:noWrap w:val="0"/>
                  <w:vAlign w:val="center"/>
                </w:tcPr>
                <w:p w14:paraId="621AE534">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default"/>
                    </w:rPr>
                    <w:t>外购</w:t>
                  </w:r>
                </w:p>
              </w:tc>
              <w:tc>
                <w:tcPr>
                  <w:tcW w:w="1705" w:type="pct"/>
                  <w:shd w:val="clear" w:color="auto" w:fill="auto"/>
                  <w:noWrap w:val="0"/>
                  <w:vAlign w:val="center"/>
                </w:tcPr>
                <w:p w14:paraId="5C2280A8">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w:t>
                  </w:r>
                </w:p>
              </w:tc>
            </w:tr>
            <w:tr w14:paraId="1BD67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shd w:val="clear" w:color="auto" w:fill="auto"/>
                  <w:noWrap w:val="0"/>
                  <w:vAlign w:val="center"/>
                </w:tcPr>
                <w:p w14:paraId="789A452D">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17</w:t>
                  </w:r>
                </w:p>
              </w:tc>
              <w:tc>
                <w:tcPr>
                  <w:tcW w:w="931" w:type="pct"/>
                  <w:shd w:val="clear" w:color="auto" w:fill="auto"/>
                  <w:noWrap w:val="0"/>
                  <w:vAlign w:val="center"/>
                </w:tcPr>
                <w:p w14:paraId="1B6E8C11">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土工布</w:t>
                  </w:r>
                </w:p>
              </w:tc>
              <w:tc>
                <w:tcPr>
                  <w:tcW w:w="676" w:type="pct"/>
                  <w:shd w:val="clear" w:color="auto" w:fill="auto"/>
                  <w:noWrap w:val="0"/>
                  <w:vAlign w:val="center"/>
                </w:tcPr>
                <w:p w14:paraId="647E6237">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t/a</w:t>
                  </w:r>
                </w:p>
              </w:tc>
              <w:tc>
                <w:tcPr>
                  <w:tcW w:w="582" w:type="pct"/>
                  <w:shd w:val="clear" w:color="auto" w:fill="auto"/>
                  <w:noWrap w:val="0"/>
                  <w:vAlign w:val="center"/>
                </w:tcPr>
                <w:p w14:paraId="3B5F1D9F">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676" w:type="pct"/>
                  <w:shd w:val="clear" w:color="auto" w:fill="auto"/>
                  <w:noWrap w:val="0"/>
                  <w:vAlign w:val="center"/>
                </w:tcPr>
                <w:p w14:paraId="2B0A03D8">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default"/>
                    </w:rPr>
                    <w:t>外购</w:t>
                  </w:r>
                </w:p>
              </w:tc>
              <w:tc>
                <w:tcPr>
                  <w:tcW w:w="1705" w:type="pct"/>
                  <w:shd w:val="clear" w:color="auto" w:fill="auto"/>
                  <w:noWrap w:val="0"/>
                  <w:vAlign w:val="center"/>
                </w:tcPr>
                <w:p w14:paraId="5E21D8B7">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养护使用</w:t>
                  </w:r>
                </w:p>
              </w:tc>
            </w:tr>
            <w:tr w14:paraId="06E00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shd w:val="clear" w:color="auto" w:fill="auto"/>
                  <w:noWrap w:val="0"/>
                  <w:vAlign w:val="center"/>
                </w:tcPr>
                <w:p w14:paraId="54A56FF0">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18</w:t>
                  </w:r>
                </w:p>
              </w:tc>
              <w:tc>
                <w:tcPr>
                  <w:tcW w:w="931" w:type="pct"/>
                  <w:shd w:val="clear" w:color="auto" w:fill="auto"/>
                  <w:noWrap w:val="0"/>
                  <w:vAlign w:val="center"/>
                </w:tcPr>
                <w:p w14:paraId="088B2A32">
                  <w:pPr>
                    <w:pStyle w:val="40"/>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柴油</w:t>
                  </w:r>
                </w:p>
              </w:tc>
              <w:tc>
                <w:tcPr>
                  <w:tcW w:w="676" w:type="pct"/>
                  <w:shd w:val="clear" w:color="auto" w:fill="auto"/>
                  <w:noWrap w:val="0"/>
                  <w:vAlign w:val="center"/>
                </w:tcPr>
                <w:p w14:paraId="57EED989">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t/a</w:t>
                  </w:r>
                </w:p>
              </w:tc>
              <w:tc>
                <w:tcPr>
                  <w:tcW w:w="582" w:type="pct"/>
                  <w:shd w:val="clear" w:color="auto" w:fill="auto"/>
                  <w:noWrap w:val="0"/>
                  <w:vAlign w:val="center"/>
                </w:tcPr>
                <w:p w14:paraId="18CB0418">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25</w:t>
                  </w:r>
                </w:p>
              </w:tc>
              <w:tc>
                <w:tcPr>
                  <w:tcW w:w="676" w:type="pct"/>
                  <w:shd w:val="clear" w:color="auto" w:fill="auto"/>
                  <w:noWrap w:val="0"/>
                  <w:vAlign w:val="center"/>
                </w:tcPr>
                <w:p w14:paraId="2087A9E8">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外购</w:t>
                  </w:r>
                </w:p>
              </w:tc>
              <w:tc>
                <w:tcPr>
                  <w:tcW w:w="1705" w:type="pct"/>
                  <w:shd w:val="clear" w:color="auto" w:fill="auto"/>
                  <w:noWrap w:val="0"/>
                  <w:vAlign w:val="center"/>
                </w:tcPr>
                <w:p w14:paraId="46E116BD">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附近加油站供给，厂内不储存</w:t>
                  </w:r>
                </w:p>
              </w:tc>
            </w:tr>
            <w:tr w14:paraId="6C235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14:paraId="74A727DB">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19</w:t>
                  </w:r>
                </w:p>
              </w:tc>
              <w:tc>
                <w:tcPr>
                  <w:tcW w:w="931" w:type="pct"/>
                  <w:shd w:val="clear" w:color="auto" w:fill="auto"/>
                  <w:noWrap w:val="0"/>
                  <w:vAlign w:val="center"/>
                </w:tcPr>
                <w:p w14:paraId="410A6EDA">
                  <w:pPr>
                    <w:pStyle w:val="40"/>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全厂用</w:t>
                  </w:r>
                  <w:r>
                    <w:t>电</w:t>
                  </w:r>
                  <w:r>
                    <w:rPr>
                      <w:rFonts w:hint="eastAsia"/>
                      <w:lang w:val="en-US" w:eastAsia="zh-CN"/>
                    </w:rPr>
                    <w:t>量</w:t>
                  </w:r>
                </w:p>
              </w:tc>
              <w:tc>
                <w:tcPr>
                  <w:tcW w:w="676" w:type="pct"/>
                  <w:shd w:val="clear" w:color="auto" w:fill="auto"/>
                  <w:noWrap w:val="0"/>
                  <w:vAlign w:val="center"/>
                </w:tcPr>
                <w:p w14:paraId="56F0EDFA">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万</w:t>
                  </w:r>
                  <w:r>
                    <w:rPr>
                      <w:rFonts w:hint="eastAsia"/>
                    </w:rPr>
                    <w:t>kWh/</w:t>
                  </w:r>
                  <w:r>
                    <w:rPr>
                      <w:rFonts w:hint="eastAsia"/>
                      <w:lang w:val="en-US" w:eastAsia="zh-CN"/>
                    </w:rPr>
                    <w:t>a</w:t>
                  </w:r>
                </w:p>
              </w:tc>
              <w:tc>
                <w:tcPr>
                  <w:tcW w:w="582" w:type="pct"/>
                  <w:shd w:val="clear" w:color="auto" w:fill="auto"/>
                  <w:noWrap w:val="0"/>
                  <w:vAlign w:val="center"/>
                </w:tcPr>
                <w:p w14:paraId="30A80BF2">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630</w:t>
                  </w:r>
                </w:p>
              </w:tc>
              <w:tc>
                <w:tcPr>
                  <w:tcW w:w="676" w:type="pct"/>
                  <w:shd w:val="clear" w:color="auto" w:fill="auto"/>
                  <w:noWrap w:val="0"/>
                  <w:vAlign w:val="center"/>
                </w:tcPr>
                <w:p w14:paraId="1430F4B1">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市政供电</w:t>
                  </w:r>
                </w:p>
              </w:tc>
              <w:tc>
                <w:tcPr>
                  <w:tcW w:w="1705" w:type="pct"/>
                  <w:shd w:val="clear" w:color="auto" w:fill="auto"/>
                  <w:noWrap w:val="0"/>
                  <w:vAlign w:val="center"/>
                </w:tcPr>
                <w:p w14:paraId="7E589593">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w:t>
                  </w:r>
                </w:p>
              </w:tc>
            </w:tr>
            <w:tr w14:paraId="1CE8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14:paraId="64C07FDB">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20</w:t>
                  </w:r>
                </w:p>
              </w:tc>
              <w:tc>
                <w:tcPr>
                  <w:tcW w:w="931" w:type="pct"/>
                  <w:shd w:val="clear" w:color="auto" w:fill="auto"/>
                  <w:noWrap w:val="0"/>
                  <w:vAlign w:val="center"/>
                </w:tcPr>
                <w:p w14:paraId="5C8ACFAB">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highlight w:val="none"/>
                      <w:lang w:val="en-US" w:eastAsia="zh-CN" w:bidi="ar-SA"/>
                    </w:rPr>
                  </w:pPr>
                  <w:r>
                    <w:rPr>
                      <w:rFonts w:hint="eastAsia"/>
                      <w:highlight w:val="none"/>
                      <w:lang w:val="en-US" w:eastAsia="zh-CN"/>
                    </w:rPr>
                    <w:t>全厂用水量</w:t>
                  </w:r>
                </w:p>
              </w:tc>
              <w:tc>
                <w:tcPr>
                  <w:tcW w:w="676" w:type="pct"/>
                  <w:shd w:val="clear" w:color="auto" w:fill="auto"/>
                  <w:noWrap w:val="0"/>
                  <w:vAlign w:val="center"/>
                </w:tcPr>
                <w:p w14:paraId="0049AE86">
                  <w:pPr>
                    <w:pStyle w:val="40"/>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highlight w:val="none"/>
                      <w:lang w:val="en-US" w:eastAsia="zh-CN" w:bidi="ar-SA"/>
                    </w:rPr>
                  </w:pPr>
                  <w:r>
                    <w:rPr>
                      <w:rFonts w:hint="eastAsia"/>
                      <w:highlight w:val="none"/>
                      <w:lang w:val="en-US" w:eastAsia="zh-CN"/>
                    </w:rPr>
                    <w:t>m</w:t>
                  </w:r>
                  <w:r>
                    <w:rPr>
                      <w:rFonts w:hint="eastAsia"/>
                      <w:highlight w:val="none"/>
                      <w:vertAlign w:val="superscript"/>
                      <w:lang w:val="en-US" w:eastAsia="zh-CN"/>
                    </w:rPr>
                    <w:t>3</w:t>
                  </w:r>
                  <w:r>
                    <w:rPr>
                      <w:rFonts w:hint="eastAsia"/>
                      <w:highlight w:val="none"/>
                      <w:lang w:val="en-US" w:eastAsia="zh-CN"/>
                    </w:rPr>
                    <w:t>/a</w:t>
                  </w:r>
                </w:p>
              </w:tc>
              <w:tc>
                <w:tcPr>
                  <w:tcW w:w="582" w:type="pct"/>
                  <w:shd w:val="clear" w:color="auto" w:fill="auto"/>
                  <w:noWrap w:val="0"/>
                  <w:vAlign w:val="center"/>
                </w:tcPr>
                <w:p w14:paraId="7246C8E1">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24250</w:t>
                  </w:r>
                </w:p>
              </w:tc>
              <w:tc>
                <w:tcPr>
                  <w:tcW w:w="676" w:type="pct"/>
                  <w:shd w:val="clear" w:color="auto" w:fill="auto"/>
                  <w:noWrap w:val="0"/>
                  <w:vAlign w:val="center"/>
                </w:tcPr>
                <w:p w14:paraId="150F8C8E">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highlight w:val="none"/>
                      <w:lang w:val="en-US" w:eastAsia="zh-CN" w:bidi="ar-SA"/>
                    </w:rPr>
                  </w:pPr>
                  <w:r>
                    <w:rPr>
                      <w:rFonts w:hint="eastAsia"/>
                      <w:highlight w:val="none"/>
                      <w:lang w:val="en-US" w:eastAsia="zh-CN"/>
                    </w:rPr>
                    <w:t>市政供水</w:t>
                  </w:r>
                </w:p>
              </w:tc>
              <w:tc>
                <w:tcPr>
                  <w:tcW w:w="1705" w:type="pct"/>
                  <w:shd w:val="clear" w:color="auto" w:fill="auto"/>
                  <w:noWrap w:val="0"/>
                  <w:vAlign w:val="center"/>
                </w:tcPr>
                <w:p w14:paraId="77BA80E4">
                  <w:pPr>
                    <w:pStyle w:val="40"/>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highlight w:val="none"/>
                      <w:lang w:val="en-US" w:eastAsia="zh-CN" w:bidi="ar-SA"/>
                    </w:rPr>
                  </w:pPr>
                  <w:r>
                    <w:rPr>
                      <w:rFonts w:hint="eastAsia"/>
                      <w:highlight w:val="none"/>
                      <w:lang w:val="en-US" w:eastAsia="zh-CN"/>
                    </w:rPr>
                    <w:t>/</w:t>
                  </w:r>
                </w:p>
              </w:tc>
            </w:tr>
          </w:tbl>
          <w:p w14:paraId="49494005">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本项目原辅材料理化性质详见下表。</w:t>
            </w:r>
          </w:p>
          <w:p w14:paraId="182D587D">
            <w:pPr>
              <w:pStyle w:val="42"/>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表2-5    原辅料理化性质一览表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917"/>
              <w:gridCol w:w="6499"/>
            </w:tblGrid>
            <w:tr w14:paraId="0CF43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noWrap w:val="0"/>
                  <w:vAlign w:val="center"/>
                </w:tcPr>
                <w:p w14:paraId="02BB6FE9">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序号</w:t>
                  </w:r>
                </w:p>
              </w:tc>
              <w:tc>
                <w:tcPr>
                  <w:tcW w:w="566" w:type="pct"/>
                  <w:noWrap w:val="0"/>
                  <w:vAlign w:val="center"/>
                </w:tcPr>
                <w:p w14:paraId="1122A2EE">
                  <w:pPr>
                    <w:pStyle w:val="40"/>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名称</w:t>
                  </w:r>
                </w:p>
              </w:tc>
              <w:tc>
                <w:tcPr>
                  <w:tcW w:w="4012" w:type="pct"/>
                  <w:noWrap w:val="0"/>
                  <w:vAlign w:val="center"/>
                </w:tcPr>
                <w:p w14:paraId="7C7E08E3">
                  <w:pPr>
                    <w:pStyle w:val="40"/>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理化性质</w:t>
                  </w:r>
                </w:p>
              </w:tc>
            </w:tr>
            <w:tr w14:paraId="6F74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shd w:val="clear" w:color="auto" w:fill="auto"/>
                  <w:noWrap w:val="0"/>
                  <w:vAlign w:val="center"/>
                </w:tcPr>
                <w:p w14:paraId="35C6FE05">
                  <w:pPr>
                    <w:pStyle w:val="40"/>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1</w:t>
                  </w:r>
                </w:p>
              </w:tc>
              <w:tc>
                <w:tcPr>
                  <w:tcW w:w="566" w:type="pct"/>
                  <w:noWrap w:val="0"/>
                  <w:vAlign w:val="center"/>
                </w:tcPr>
                <w:p w14:paraId="5EECDF45">
                  <w:pPr>
                    <w:jc w:val="center"/>
                    <w:rPr>
                      <w:rFonts w:hint="default" w:ascii="Times New Roman" w:hAnsi="Times New Roman" w:eastAsia="宋体" w:cs="Times New Roman"/>
                      <w:snapToGrid w:val="0"/>
                      <w:szCs w:val="21"/>
                      <w:lang w:val="en-US" w:eastAsia="zh-CN"/>
                    </w:rPr>
                  </w:pPr>
                  <w:r>
                    <w:rPr>
                      <w:rFonts w:hint="default" w:ascii="Times New Roman" w:hAnsi="Times New Roman" w:eastAsia="宋体" w:cs="Times New Roman"/>
                      <w:snapToGrid w:val="0"/>
                      <w:szCs w:val="21"/>
                      <w:lang w:val="en-US" w:eastAsia="zh-CN"/>
                    </w:rPr>
                    <w:t>铝粉膏</w:t>
                  </w:r>
                </w:p>
              </w:tc>
              <w:tc>
                <w:tcPr>
                  <w:tcW w:w="4012" w:type="pct"/>
                  <w:noWrap w:val="0"/>
                  <w:vAlign w:val="center"/>
                </w:tcPr>
                <w:p w14:paraId="1792C84E">
                  <w:pPr>
                    <w:rPr>
                      <w:rFonts w:hint="default" w:ascii="Times New Roman" w:hAnsi="Times New Roman" w:eastAsia="宋体" w:cs="Times New Roman"/>
                      <w:snapToGrid w:val="0"/>
                      <w:szCs w:val="21"/>
                    </w:rPr>
                  </w:pPr>
                  <w:r>
                    <w:rPr>
                      <w:rFonts w:hint="default" w:ascii="Times New Roman" w:hAnsi="Times New Roman" w:eastAsia="宋体" w:cs="Times New Roman"/>
                      <w:snapToGrid w:val="0"/>
                      <w:szCs w:val="21"/>
                      <w:lang w:val="en-US" w:eastAsia="zh-CN"/>
                    </w:rPr>
                    <w:t>主要由铝粉、防锈剂、分散剂和水组成，其中铝粉为主要有效成分，呈鳞片状或颗粒状。</w:t>
                  </w:r>
                  <w:r>
                    <w:rPr>
                      <w:rFonts w:hint="default" w:ascii="Times New Roman" w:hAnsi="Times New Roman" w:eastAsia="宋体" w:cs="Times New Roman"/>
                      <w:snapToGrid w:val="0"/>
                      <w:szCs w:val="21"/>
                    </w:rPr>
                    <w:t>外观与状态：灰色膏状混合物，具有金属光泽。</w:t>
                  </w:r>
                </w:p>
                <w:p w14:paraId="21D1885D">
                  <w:pPr>
                    <w:rPr>
                      <w:rFonts w:hint="default" w:ascii="Times New Roman" w:hAnsi="Times New Roman" w:eastAsia="宋体" w:cs="Times New Roman"/>
                      <w:snapToGrid w:val="0"/>
                      <w:szCs w:val="21"/>
                    </w:rPr>
                  </w:pPr>
                  <w:r>
                    <w:rPr>
                      <w:rFonts w:hint="default" w:ascii="Times New Roman" w:hAnsi="Times New Roman" w:eastAsia="宋体" w:cs="Times New Roman"/>
                      <w:snapToGrid w:val="0"/>
                      <w:szCs w:val="21"/>
                    </w:rPr>
                    <w:t>稳定性：遇水或潮湿环境会与碱性物质反应，释放氢气，属于遇水放出易燃气体的物质，储存时需严格防潮、防水。</w:t>
                  </w:r>
                </w:p>
                <w:p w14:paraId="170B3D7C">
                  <w:pPr>
                    <w:rPr>
                      <w:rFonts w:hint="default" w:ascii="Times New Roman" w:hAnsi="Times New Roman" w:eastAsia="宋体" w:cs="Times New Roman"/>
                      <w:snapToGrid w:val="0"/>
                      <w:szCs w:val="21"/>
                    </w:rPr>
                  </w:pPr>
                  <w:r>
                    <w:rPr>
                      <w:rFonts w:hint="default" w:ascii="Times New Roman" w:hAnsi="Times New Roman" w:eastAsia="宋体" w:cs="Times New Roman"/>
                      <w:snapToGrid w:val="0"/>
                      <w:szCs w:val="21"/>
                    </w:rPr>
                    <w:t>安全性：不属于易燃易爆品，但反应产生的氢气具有易燃易爆性，使用和储存过程中需防静电、远离火源。</w:t>
                  </w:r>
                </w:p>
              </w:tc>
            </w:tr>
            <w:tr w14:paraId="55828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shd w:val="clear" w:color="auto" w:fill="auto"/>
                  <w:noWrap w:val="0"/>
                  <w:vAlign w:val="center"/>
                </w:tcPr>
                <w:p w14:paraId="7F5F35BE">
                  <w:pPr>
                    <w:pStyle w:val="40"/>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2</w:t>
                  </w:r>
                </w:p>
              </w:tc>
              <w:tc>
                <w:tcPr>
                  <w:tcW w:w="566" w:type="pct"/>
                  <w:noWrap w:val="0"/>
                  <w:vAlign w:val="center"/>
                </w:tcPr>
                <w:p w14:paraId="461A3FA6">
                  <w:pPr>
                    <w:jc w:val="center"/>
                    <w:rPr>
                      <w:rFonts w:hint="default" w:ascii="Times New Roman" w:hAnsi="Times New Roman" w:eastAsia="宋体" w:cs="Times New Roman"/>
                      <w:snapToGrid w:val="0"/>
                      <w:szCs w:val="21"/>
                    </w:rPr>
                  </w:pPr>
                  <w:r>
                    <w:rPr>
                      <w:rFonts w:hint="default" w:ascii="Times New Roman" w:hAnsi="Times New Roman" w:eastAsia="宋体" w:cs="Times New Roman"/>
                      <w:snapToGrid w:val="0"/>
                      <w:szCs w:val="21"/>
                      <w:lang w:val="en-US" w:eastAsia="zh-CN"/>
                    </w:rPr>
                    <w:t>成品发泡EPS颗粒</w:t>
                  </w:r>
                </w:p>
              </w:tc>
              <w:tc>
                <w:tcPr>
                  <w:tcW w:w="4012" w:type="pct"/>
                  <w:noWrap w:val="0"/>
                  <w:vAlign w:val="center"/>
                </w:tcPr>
                <w:p w14:paraId="134C6BFC">
                  <w:pPr>
                    <w:rPr>
                      <w:rFonts w:hint="default" w:ascii="Times New Roman" w:hAnsi="Times New Roman" w:eastAsia="宋体" w:cs="Times New Roman"/>
                      <w:snapToGrid w:val="0"/>
                      <w:szCs w:val="21"/>
                    </w:rPr>
                  </w:pPr>
                  <w:r>
                    <w:rPr>
                      <w:rFonts w:hint="default" w:ascii="Times New Roman" w:hAnsi="Times New Roman" w:eastAsia="宋体" w:cs="Times New Roman"/>
                      <w:snapToGrid w:val="0"/>
                      <w:szCs w:val="21"/>
                      <w:lang w:val="en-US" w:eastAsia="zh-CN"/>
                    </w:rPr>
                    <w:t>成品发泡EPS颗粒主要由可发性聚苯乙烯树脂经预发泡制成，内部充满空气，呈多孔结构。</w:t>
                  </w:r>
                </w:p>
                <w:p w14:paraId="5EB6DB21">
                  <w:pPr>
                    <w:rPr>
                      <w:rFonts w:hint="default" w:ascii="Times New Roman" w:hAnsi="Times New Roman" w:eastAsia="宋体" w:cs="Times New Roman"/>
                      <w:snapToGrid w:val="0"/>
                      <w:szCs w:val="21"/>
                    </w:rPr>
                  </w:pPr>
                  <w:r>
                    <w:rPr>
                      <w:rFonts w:hint="default" w:ascii="Times New Roman" w:hAnsi="Times New Roman" w:eastAsia="宋体" w:cs="Times New Roman"/>
                      <w:snapToGrid w:val="0"/>
                      <w:szCs w:val="21"/>
                    </w:rPr>
                    <w:t>外观与状态：白色或微黄色轻质颗粒，粒径均匀，质轻、多孔。</w:t>
                  </w:r>
                </w:p>
                <w:p w14:paraId="5A00BB0D">
                  <w:pPr>
                    <w:rPr>
                      <w:rFonts w:hint="default" w:ascii="Times New Roman" w:hAnsi="Times New Roman" w:eastAsia="宋体" w:cs="Times New Roman"/>
                      <w:snapToGrid w:val="0"/>
                      <w:szCs w:val="21"/>
                    </w:rPr>
                  </w:pPr>
                  <w:r>
                    <w:rPr>
                      <w:rFonts w:hint="default" w:ascii="Times New Roman" w:hAnsi="Times New Roman" w:eastAsia="宋体" w:cs="Times New Roman"/>
                      <w:snapToGrid w:val="0"/>
                      <w:szCs w:val="21"/>
                    </w:rPr>
                    <w:t>稳定性：化学性质稳定，耐酸碱、耐腐蚀，不易与其他原料发生化学反应。</w:t>
                  </w:r>
                </w:p>
                <w:p w14:paraId="0E21C364">
                  <w:pPr>
                    <w:rPr>
                      <w:rFonts w:hint="default" w:ascii="Times New Roman" w:hAnsi="Times New Roman" w:eastAsia="宋体" w:cs="Times New Roman"/>
                      <w:snapToGrid w:val="0"/>
                      <w:szCs w:val="21"/>
                    </w:rPr>
                  </w:pPr>
                  <w:r>
                    <w:rPr>
                      <w:rFonts w:hint="default" w:ascii="Times New Roman" w:hAnsi="Times New Roman" w:eastAsia="宋体" w:cs="Times New Roman"/>
                      <w:snapToGrid w:val="0"/>
                      <w:szCs w:val="21"/>
                    </w:rPr>
                    <w:t>安全性：属于可燃固体，遇明火、高温易燃烧，燃烧时会产生黑烟和有毒气体（如苯乙烯单体），储存时需远离火源。</w:t>
                  </w:r>
                </w:p>
                <w:p w14:paraId="7D0533B3">
                  <w:pPr>
                    <w:rPr>
                      <w:rFonts w:hint="eastAsia" w:ascii="Times New Roman" w:hAnsi="Times New Roman" w:eastAsia="宋体" w:cs="Times New Roman"/>
                      <w:snapToGrid w:val="0"/>
                      <w:szCs w:val="21"/>
                      <w:lang w:eastAsia="zh-CN"/>
                    </w:rPr>
                  </w:pPr>
                  <w:r>
                    <w:rPr>
                      <w:rFonts w:hint="default" w:ascii="Times New Roman" w:hAnsi="Times New Roman" w:eastAsia="宋体" w:cs="Times New Roman"/>
                      <w:snapToGrid w:val="0"/>
                      <w:szCs w:val="21"/>
                    </w:rPr>
                    <w:t>挥发性：常温下无明显挥发性</w:t>
                  </w:r>
                  <w:r>
                    <w:rPr>
                      <w:rFonts w:hint="eastAsia" w:ascii="Times New Roman" w:hAnsi="Times New Roman" w:eastAsia="宋体" w:cs="Times New Roman"/>
                      <w:snapToGrid w:val="0"/>
                      <w:szCs w:val="21"/>
                      <w:lang w:eastAsia="zh-CN"/>
                    </w:rPr>
                    <w:t>。</w:t>
                  </w:r>
                </w:p>
              </w:tc>
            </w:tr>
            <w:tr w14:paraId="14D2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shd w:val="clear" w:color="auto" w:fill="auto"/>
                  <w:noWrap w:val="0"/>
                  <w:vAlign w:val="center"/>
                </w:tcPr>
                <w:p w14:paraId="452B7DAD">
                  <w:pPr>
                    <w:pStyle w:val="40"/>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3</w:t>
                  </w:r>
                </w:p>
              </w:tc>
              <w:tc>
                <w:tcPr>
                  <w:tcW w:w="566" w:type="pct"/>
                  <w:noWrap w:val="0"/>
                  <w:vAlign w:val="center"/>
                </w:tcPr>
                <w:p w14:paraId="44E88E39">
                  <w:pPr>
                    <w:jc w:val="center"/>
                    <w:rPr>
                      <w:rFonts w:hint="eastAsia"/>
                      <w:lang w:val="en-US" w:eastAsia="zh-CN"/>
                    </w:rPr>
                  </w:pPr>
                  <w:r>
                    <w:rPr>
                      <w:rFonts w:hint="default" w:ascii="Times New Roman" w:hAnsi="Times New Roman" w:eastAsia="宋体" w:cs="Times New Roman"/>
                      <w:snapToGrid w:val="0"/>
                      <w:szCs w:val="21"/>
                    </w:rPr>
                    <w:t>聚羧酸减水剂</w:t>
                  </w:r>
                </w:p>
              </w:tc>
              <w:tc>
                <w:tcPr>
                  <w:tcW w:w="4012" w:type="pct"/>
                  <w:noWrap w:val="0"/>
                  <w:vAlign w:val="center"/>
                </w:tcPr>
                <w:p w14:paraId="0D8C6CFC">
                  <w:pPr>
                    <w:rPr>
                      <w:rFonts w:hint="eastAsia"/>
                      <w:lang w:eastAsia="zh-CN"/>
                    </w:rPr>
                  </w:pPr>
                  <w:r>
                    <w:rPr>
                      <w:rFonts w:hint="default" w:ascii="Times New Roman" w:hAnsi="Times New Roman" w:eastAsia="宋体" w:cs="Times New Roman"/>
                      <w:snapToGrid w:val="0"/>
                      <w:szCs w:val="21"/>
                    </w:rPr>
                    <w:t>聚羧酸减水剂主要由聚羧酸混合物、助剂和溶剂组成</w:t>
                  </w:r>
                  <w:r>
                    <w:rPr>
                      <w:rFonts w:hint="eastAsia" w:ascii="Times New Roman" w:hAnsi="Times New Roman" w:eastAsia="宋体" w:cs="Times New Roman"/>
                      <w:snapToGrid w:val="0"/>
                      <w:szCs w:val="21"/>
                      <w:lang w:eastAsia="zh-CN"/>
                    </w:rPr>
                    <w:t>，</w:t>
                  </w:r>
                  <w:r>
                    <w:rPr>
                      <w:rFonts w:hint="default" w:ascii="Times New Roman" w:hAnsi="Times New Roman" w:eastAsia="宋体" w:cs="Times New Roman"/>
                      <w:snapToGrid w:val="0"/>
                      <w:szCs w:val="21"/>
                    </w:rPr>
                    <w:t>其中，聚羧酸混合物是聚醚类单体与羧酸类型（如丙烯酸、顺丁烯二酸等）单体的共聚物，具有高分子量、分子结构复杂、分子链柔韧等特点</w:t>
                  </w:r>
                  <w:r>
                    <w:rPr>
                      <w:rFonts w:hint="default" w:ascii="Times New Roman" w:hAnsi="Times New Roman" w:eastAsia="宋体" w:cs="Times New Roman"/>
                      <w:snapToGrid w:val="0"/>
                      <w:szCs w:val="21"/>
                      <w:lang w:eastAsia="zh-CN"/>
                    </w:rPr>
                    <w:t>。</w:t>
                  </w:r>
                  <w:r>
                    <w:rPr>
                      <w:rFonts w:hint="default" w:ascii="Times New Roman" w:hAnsi="Times New Roman" w:eastAsia="宋体" w:cs="Times New Roman"/>
                      <w:snapToGrid w:val="0"/>
                      <w:szCs w:val="21"/>
                      <w:lang w:val="en-US" w:eastAsia="zh-CN"/>
                    </w:rPr>
                    <w:t>绿色环保，不易燃，不易爆，可以安全使用火车和汽车运输。稳定性好：低温时无沉淀析出，产品稳定性高，碱含量极低：碱含量通常≤0.2%，有利于混凝土的稳定性。一般物质、不属于挥发性有机物</w:t>
                  </w:r>
                  <w:r>
                    <w:rPr>
                      <w:rFonts w:hint="eastAsia" w:ascii="Times New Roman" w:hAnsi="Times New Roman" w:eastAsia="宋体" w:cs="Times New Roman"/>
                      <w:snapToGrid w:val="0"/>
                      <w:szCs w:val="21"/>
                      <w:lang w:val="en-US" w:eastAsia="zh-CN"/>
                    </w:rPr>
                    <w:t>。</w:t>
                  </w:r>
                </w:p>
              </w:tc>
            </w:tr>
            <w:tr w14:paraId="52C6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shd w:val="clear" w:color="auto" w:fill="auto"/>
                  <w:noWrap w:val="0"/>
                  <w:vAlign w:val="center"/>
                </w:tcPr>
                <w:p w14:paraId="28594970">
                  <w:pPr>
                    <w:pStyle w:val="40"/>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4</w:t>
                  </w:r>
                </w:p>
              </w:tc>
              <w:tc>
                <w:tcPr>
                  <w:tcW w:w="566" w:type="pct"/>
                  <w:shd w:val="clear" w:color="auto" w:fill="auto"/>
                  <w:noWrap w:val="0"/>
                  <w:vAlign w:val="center"/>
                </w:tcPr>
                <w:p w14:paraId="25CF011B">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激发剂</w:t>
                  </w:r>
                </w:p>
              </w:tc>
              <w:tc>
                <w:tcPr>
                  <w:tcW w:w="4012" w:type="pct"/>
                  <w:shd w:val="clear" w:color="auto" w:fill="auto"/>
                  <w:noWrap w:val="0"/>
                  <w:vAlign w:val="center"/>
                </w:tcPr>
                <w:p w14:paraId="7D5DA007">
                  <w:pPr>
                    <w:pStyle w:val="40"/>
                    <w:keepLines w:val="0"/>
                    <w:pageBreakBefore w:val="0"/>
                    <w:kinsoku/>
                    <w:wordWrap/>
                    <w:topLinePunct w:val="0"/>
                    <w:autoSpaceDE/>
                    <w:autoSpaceDN/>
                    <w:bidi w:val="0"/>
                    <w:spacing w:beforeAutospacing="0" w:afterAutospacing="0"/>
                    <w:jc w:val="both"/>
                    <w:textAlignment w:val="auto"/>
                    <w:rPr>
                      <w:rFonts w:hint="eastAsia"/>
                      <w:lang w:val="en-US" w:eastAsia="zh-CN"/>
                    </w:rPr>
                  </w:pPr>
                  <w:r>
                    <w:rPr>
                      <w:rFonts w:hint="eastAsia"/>
                      <w:lang w:val="en-US" w:eastAsia="zh-CN"/>
                    </w:rPr>
                    <w:t>激发剂主要由碱性盐类（如氢氧化钠、碳酸钠）等活性组分组成，用于激发粉煤灰等工业废渣的活性。</w:t>
                  </w:r>
                </w:p>
                <w:p w14:paraId="0F6F7B20">
                  <w:pPr>
                    <w:pStyle w:val="40"/>
                    <w:keepLines w:val="0"/>
                    <w:pageBreakBefore w:val="0"/>
                    <w:kinsoku/>
                    <w:wordWrap/>
                    <w:topLinePunct w:val="0"/>
                    <w:autoSpaceDE/>
                    <w:autoSpaceDN/>
                    <w:bidi w:val="0"/>
                    <w:spacing w:beforeAutospacing="0" w:afterAutospacing="0"/>
                    <w:jc w:val="both"/>
                    <w:textAlignment w:val="auto"/>
                    <w:rPr>
                      <w:rFonts w:hint="eastAsia"/>
                      <w:lang w:val="en-US" w:eastAsia="zh-CN"/>
                    </w:rPr>
                  </w:pPr>
                  <w:r>
                    <w:rPr>
                      <w:rFonts w:hint="eastAsia"/>
                      <w:lang w:val="en-US" w:eastAsia="zh-CN"/>
                    </w:rPr>
                    <w:t>外观与状态：白色或灰白色粉末状固体，部分为液体溶液。</w:t>
                  </w:r>
                </w:p>
                <w:p w14:paraId="0F071C7E">
                  <w:pPr>
                    <w:pStyle w:val="40"/>
                    <w:keepLines w:val="0"/>
                    <w:pageBreakBefore w:val="0"/>
                    <w:kinsoku/>
                    <w:wordWrap/>
                    <w:topLinePunct w:val="0"/>
                    <w:autoSpaceDE/>
                    <w:autoSpaceDN/>
                    <w:bidi w:val="0"/>
                    <w:spacing w:beforeAutospacing="0" w:afterAutospacing="0"/>
                    <w:jc w:val="both"/>
                    <w:textAlignment w:val="auto"/>
                    <w:rPr>
                      <w:rFonts w:hint="eastAsia"/>
                      <w:lang w:val="en-US" w:eastAsia="zh-CN"/>
                    </w:rPr>
                  </w:pPr>
                  <w:r>
                    <w:rPr>
                      <w:rFonts w:hint="eastAsia"/>
                      <w:lang w:val="en-US" w:eastAsia="zh-CN"/>
                    </w:rPr>
                    <w:t>稳定性：化学性质活泼，易吸潮结块，储存时需防潮、防水。</w:t>
                  </w:r>
                </w:p>
                <w:p w14:paraId="0083C2A2">
                  <w:pPr>
                    <w:pStyle w:val="40"/>
                    <w:keepLines w:val="0"/>
                    <w:pageBreakBefore w:val="0"/>
                    <w:kinsoku/>
                    <w:wordWrap/>
                    <w:topLinePunct w:val="0"/>
                    <w:autoSpaceDE/>
                    <w:autoSpaceDN/>
                    <w:bidi w:val="0"/>
                    <w:spacing w:beforeAutospacing="0" w:afterAutospacing="0"/>
                    <w:jc w:val="both"/>
                    <w:textAlignment w:val="auto"/>
                    <w:rPr>
                      <w:rFonts w:hint="eastAsia"/>
                      <w:lang w:val="en-US" w:eastAsia="zh-CN"/>
                    </w:rPr>
                  </w:pPr>
                  <w:r>
                    <w:rPr>
                      <w:rFonts w:hint="eastAsia"/>
                      <w:lang w:val="en-US" w:eastAsia="zh-CN"/>
                    </w:rPr>
                    <w:t>安全性：具有一定腐蚀性，接触皮肤和黏膜会造成刺激和灼伤，操作时需佩戴防护用品。</w:t>
                  </w:r>
                </w:p>
              </w:tc>
            </w:tr>
            <w:tr w14:paraId="3E55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21" w:type="pct"/>
                  <w:noWrap w:val="0"/>
                  <w:vAlign w:val="center"/>
                </w:tcPr>
                <w:p w14:paraId="7145CC4A">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5</w:t>
                  </w:r>
                </w:p>
              </w:tc>
              <w:tc>
                <w:tcPr>
                  <w:tcW w:w="566" w:type="pct"/>
                  <w:shd w:val="clear" w:color="auto" w:fill="auto"/>
                  <w:noWrap w:val="0"/>
                  <w:vAlign w:val="center"/>
                </w:tcPr>
                <w:p w14:paraId="36970264">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脱模剂</w:t>
                  </w:r>
                </w:p>
              </w:tc>
              <w:tc>
                <w:tcPr>
                  <w:tcW w:w="4012" w:type="pct"/>
                  <w:shd w:val="clear" w:color="auto" w:fill="auto"/>
                  <w:noWrap w:val="0"/>
                  <w:vAlign w:val="center"/>
                </w:tcPr>
                <w:p w14:paraId="08D34FAC">
                  <w:pPr>
                    <w:pStyle w:val="40"/>
                    <w:keepLines w:val="0"/>
                    <w:pageBreakBefore w:val="0"/>
                    <w:kinsoku/>
                    <w:wordWrap/>
                    <w:topLinePunct w:val="0"/>
                    <w:autoSpaceDE/>
                    <w:autoSpaceDN/>
                    <w:bidi w:val="0"/>
                    <w:spacing w:beforeAutospacing="0" w:afterAutospacing="0"/>
                    <w:jc w:val="both"/>
                    <w:textAlignment w:val="auto"/>
                    <w:rPr>
                      <w:rFonts w:hint="default"/>
                      <w:lang w:val="en-US" w:eastAsia="zh-CN"/>
                    </w:rPr>
                  </w:pPr>
                  <w:r>
                    <w:rPr>
                      <w:rFonts w:hint="default"/>
                      <w:lang w:val="en-US" w:eastAsia="zh-CN"/>
                    </w:rPr>
                    <w:t>本项目使用的脱模剂为无机粉末系列，主要成分为滑石、云母、陶土、白粘土等，是一种介于模具和成品之间的功能性物质，脱模剂的作用是让已固化的复合材料制品能顺利地从模具上分离开来，从而得到光滑平整的制品并保证模具多次使用的物质。</w:t>
                  </w:r>
                </w:p>
              </w:tc>
            </w:tr>
          </w:tbl>
          <w:p w14:paraId="0AA485BE">
            <w:pPr>
              <w:pStyle w:val="53"/>
              <w:bidi w:val="0"/>
              <w:rPr>
                <w:rFonts w:hint="eastAsia"/>
                <w:lang w:val="en-US" w:eastAsia="zh-CN"/>
              </w:rPr>
            </w:pPr>
            <w:r>
              <w:rPr>
                <w:rFonts w:hint="eastAsia"/>
                <w:lang w:val="en-US" w:eastAsia="zh-CN"/>
              </w:rPr>
              <w:t>本项目产品物料平衡见下表。</w:t>
            </w:r>
          </w:p>
          <w:p w14:paraId="6BC3514E">
            <w:pPr>
              <w:pStyle w:val="42"/>
              <w:bidi w:val="0"/>
              <w:rPr>
                <w:rFonts w:hint="default"/>
                <w:lang w:val="en-US" w:eastAsia="zh-CN"/>
              </w:rPr>
            </w:pPr>
            <w:r>
              <w:rPr>
                <w:rFonts w:hint="default"/>
                <w:lang w:val="en-US" w:eastAsia="zh-CN"/>
              </w:rPr>
              <w:t>表2-</w:t>
            </w:r>
            <w:r>
              <w:rPr>
                <w:rFonts w:hint="eastAsia"/>
                <w:lang w:val="en-US" w:eastAsia="zh-CN"/>
              </w:rPr>
              <w:t>6</w:t>
            </w:r>
            <w:r>
              <w:rPr>
                <w:rFonts w:hint="default"/>
                <w:lang w:val="en-US" w:eastAsia="zh-CN"/>
              </w:rPr>
              <w:t xml:space="preserve">    </w:t>
            </w:r>
            <w:r>
              <w:rPr>
                <w:rFonts w:hint="eastAsia"/>
                <w:lang w:val="en-US" w:eastAsia="zh-CN"/>
              </w:rPr>
              <w:t>现代化加气块物料平衡</w:t>
            </w:r>
            <w:r>
              <w:rPr>
                <w:rFonts w:hint="default"/>
                <w:lang w:val="en-US" w:eastAsia="zh-CN"/>
              </w:rPr>
              <w:t>一览表</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1"/>
              <w:gridCol w:w="2027"/>
              <w:gridCol w:w="2025"/>
              <w:gridCol w:w="2025"/>
            </w:tblGrid>
            <w:tr w14:paraId="6CEC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2499" w:type="pct"/>
                  <w:gridSpan w:val="2"/>
                  <w:vAlign w:val="center"/>
                </w:tcPr>
                <w:p w14:paraId="4D9E5924">
                  <w:pPr>
                    <w:pStyle w:val="40"/>
                    <w:bidi w:val="0"/>
                    <w:rPr>
                      <w:rFonts w:hint="default"/>
                      <w:lang w:val="en-US" w:eastAsia="zh-CN"/>
                    </w:rPr>
                  </w:pPr>
                  <w:r>
                    <w:rPr>
                      <w:rFonts w:hint="eastAsia"/>
                      <w:lang w:val="en-US" w:eastAsia="zh-CN"/>
                    </w:rPr>
                    <w:t>投入</w:t>
                  </w:r>
                </w:p>
              </w:tc>
              <w:tc>
                <w:tcPr>
                  <w:tcW w:w="2500" w:type="pct"/>
                  <w:gridSpan w:val="2"/>
                  <w:vAlign w:val="center"/>
                </w:tcPr>
                <w:p w14:paraId="45FD6154">
                  <w:pPr>
                    <w:pStyle w:val="40"/>
                    <w:bidi w:val="0"/>
                    <w:rPr>
                      <w:rFonts w:hint="default"/>
                      <w:lang w:val="en-US" w:eastAsia="zh-CN"/>
                    </w:rPr>
                  </w:pPr>
                  <w:r>
                    <w:rPr>
                      <w:rFonts w:hint="eastAsia"/>
                      <w:lang w:val="en-US" w:eastAsia="zh-CN"/>
                    </w:rPr>
                    <w:t>产出</w:t>
                  </w:r>
                </w:p>
              </w:tc>
            </w:tr>
            <w:tr w14:paraId="27A6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248" w:type="pct"/>
                  <w:vAlign w:val="center"/>
                </w:tcPr>
                <w:p w14:paraId="4B7BF1A5">
                  <w:pPr>
                    <w:pStyle w:val="40"/>
                    <w:bidi w:val="0"/>
                    <w:rPr>
                      <w:rFonts w:hint="default"/>
                      <w:lang w:val="en-US" w:eastAsia="zh-CN"/>
                    </w:rPr>
                  </w:pPr>
                  <w:r>
                    <w:rPr>
                      <w:rFonts w:hint="eastAsia"/>
                      <w:lang w:val="en-US" w:eastAsia="zh-CN"/>
                    </w:rPr>
                    <w:t>名称</w:t>
                  </w:r>
                </w:p>
              </w:tc>
              <w:tc>
                <w:tcPr>
                  <w:tcW w:w="1251" w:type="pct"/>
                  <w:vAlign w:val="center"/>
                </w:tcPr>
                <w:p w14:paraId="799A9CE6">
                  <w:pPr>
                    <w:pStyle w:val="40"/>
                    <w:bidi w:val="0"/>
                    <w:rPr>
                      <w:rFonts w:hint="default"/>
                      <w:lang w:val="en-US" w:eastAsia="zh-CN"/>
                    </w:rPr>
                  </w:pPr>
                  <w:r>
                    <w:rPr>
                      <w:rFonts w:hint="eastAsia"/>
                      <w:lang w:val="en-US" w:eastAsia="zh-CN"/>
                    </w:rPr>
                    <w:t>消耗量（t/a）</w:t>
                  </w:r>
                </w:p>
              </w:tc>
              <w:tc>
                <w:tcPr>
                  <w:tcW w:w="1250" w:type="pct"/>
                  <w:vAlign w:val="center"/>
                </w:tcPr>
                <w:p w14:paraId="160C95F0">
                  <w:pPr>
                    <w:pStyle w:val="40"/>
                    <w:bidi w:val="0"/>
                    <w:rPr>
                      <w:rFonts w:hint="default"/>
                      <w:lang w:val="en-US" w:eastAsia="zh-CN"/>
                    </w:rPr>
                  </w:pPr>
                  <w:r>
                    <w:rPr>
                      <w:rFonts w:hint="eastAsia"/>
                      <w:lang w:val="en-US" w:eastAsia="zh-CN"/>
                    </w:rPr>
                    <w:t>名称</w:t>
                  </w:r>
                </w:p>
              </w:tc>
              <w:tc>
                <w:tcPr>
                  <w:tcW w:w="1250" w:type="pct"/>
                  <w:vAlign w:val="center"/>
                </w:tcPr>
                <w:p w14:paraId="314B7286">
                  <w:pPr>
                    <w:pStyle w:val="40"/>
                    <w:bidi w:val="0"/>
                    <w:rPr>
                      <w:rFonts w:hint="default"/>
                      <w:lang w:val="en-US" w:eastAsia="zh-CN"/>
                    </w:rPr>
                  </w:pPr>
                  <w:r>
                    <w:rPr>
                      <w:rFonts w:hint="eastAsia"/>
                      <w:lang w:val="en-US" w:eastAsia="zh-CN"/>
                    </w:rPr>
                    <w:t>消耗量（t/a）</w:t>
                  </w:r>
                </w:p>
              </w:tc>
            </w:tr>
            <w:tr w14:paraId="2366C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8" w:type="pct"/>
                  <w:vAlign w:val="center"/>
                </w:tcPr>
                <w:p w14:paraId="322400C4">
                  <w:pPr>
                    <w:pStyle w:val="40"/>
                    <w:bidi w:val="0"/>
                    <w:rPr>
                      <w:rFonts w:hint="default"/>
                      <w:lang w:val="en-US" w:eastAsia="zh-CN"/>
                    </w:rPr>
                  </w:pPr>
                  <w:r>
                    <w:rPr>
                      <w:rFonts w:hint="eastAsia"/>
                      <w:lang w:val="en-US" w:eastAsia="zh-CN"/>
                    </w:rPr>
                    <w:t>水泥</w:t>
                  </w:r>
                </w:p>
              </w:tc>
              <w:tc>
                <w:tcPr>
                  <w:tcW w:w="1251" w:type="pct"/>
                  <w:vAlign w:val="center"/>
                </w:tcPr>
                <w:p w14:paraId="16ECE135">
                  <w:pPr>
                    <w:pStyle w:val="40"/>
                    <w:bidi w:val="0"/>
                    <w:rPr>
                      <w:rFonts w:hint="default"/>
                      <w:lang w:val="en-US" w:eastAsia="zh-CN"/>
                    </w:rPr>
                  </w:pPr>
                  <w:r>
                    <w:rPr>
                      <w:rFonts w:hint="eastAsia"/>
                      <w:lang w:val="en-US" w:eastAsia="zh-CN"/>
                    </w:rPr>
                    <w:t>2500</w:t>
                  </w:r>
                </w:p>
              </w:tc>
              <w:tc>
                <w:tcPr>
                  <w:tcW w:w="1250" w:type="pct"/>
                  <w:vAlign w:val="center"/>
                </w:tcPr>
                <w:p w14:paraId="37D4188C">
                  <w:pPr>
                    <w:pStyle w:val="40"/>
                    <w:bidi w:val="0"/>
                    <w:rPr>
                      <w:rFonts w:hint="default"/>
                      <w:lang w:val="en-US" w:eastAsia="zh-CN"/>
                    </w:rPr>
                  </w:pPr>
                  <w:r>
                    <w:rPr>
                      <w:rFonts w:hint="eastAsia"/>
                      <w:lang w:val="en-US" w:eastAsia="zh-CN"/>
                    </w:rPr>
                    <w:t>产品（5万m</w:t>
                  </w:r>
                  <w:r>
                    <w:rPr>
                      <w:rFonts w:hint="eastAsia"/>
                      <w:vertAlign w:val="superscript"/>
                      <w:lang w:val="en-US" w:eastAsia="zh-CN"/>
                    </w:rPr>
                    <w:t>2</w:t>
                  </w:r>
                  <w:r>
                    <w:rPr>
                      <w:rFonts w:hint="eastAsia"/>
                      <w:lang w:val="en-US" w:eastAsia="zh-CN"/>
                    </w:rPr>
                    <w:t>加气块）</w:t>
                  </w:r>
                </w:p>
              </w:tc>
              <w:tc>
                <w:tcPr>
                  <w:tcW w:w="1250" w:type="pct"/>
                  <w:vAlign w:val="center"/>
                </w:tcPr>
                <w:p w14:paraId="0FDC459F">
                  <w:pPr>
                    <w:pStyle w:val="40"/>
                    <w:bidi w:val="0"/>
                    <w:rPr>
                      <w:rFonts w:hint="default"/>
                      <w:lang w:val="en-US" w:eastAsia="zh-CN"/>
                    </w:rPr>
                  </w:pPr>
                  <w:r>
                    <w:rPr>
                      <w:rFonts w:hint="eastAsia"/>
                      <w:lang w:val="en-US" w:eastAsia="zh-CN"/>
                    </w:rPr>
                    <w:t>30000</w:t>
                  </w:r>
                </w:p>
              </w:tc>
            </w:tr>
            <w:tr w14:paraId="49D5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8" w:type="pct"/>
                  <w:vAlign w:val="center"/>
                </w:tcPr>
                <w:p w14:paraId="3943C632">
                  <w:pPr>
                    <w:pStyle w:val="40"/>
                    <w:bidi w:val="0"/>
                    <w:rPr>
                      <w:rFonts w:hint="default"/>
                      <w:lang w:val="en-US" w:eastAsia="zh-CN"/>
                    </w:rPr>
                  </w:pPr>
                  <w:r>
                    <w:rPr>
                      <w:rFonts w:hint="eastAsia"/>
                      <w:lang w:val="en-US" w:eastAsia="zh-CN"/>
                    </w:rPr>
                    <w:t>粉煤灰</w:t>
                  </w:r>
                </w:p>
              </w:tc>
              <w:tc>
                <w:tcPr>
                  <w:tcW w:w="1251" w:type="pct"/>
                  <w:vAlign w:val="center"/>
                </w:tcPr>
                <w:p w14:paraId="18F60826">
                  <w:pPr>
                    <w:pStyle w:val="40"/>
                    <w:bidi w:val="0"/>
                    <w:rPr>
                      <w:rFonts w:hint="default"/>
                      <w:lang w:val="en-US" w:eastAsia="zh-CN"/>
                    </w:rPr>
                  </w:pPr>
                  <w:r>
                    <w:rPr>
                      <w:rFonts w:hint="eastAsia"/>
                      <w:lang w:val="en-US" w:eastAsia="zh-CN"/>
                    </w:rPr>
                    <w:t>18500</w:t>
                  </w:r>
                </w:p>
              </w:tc>
              <w:tc>
                <w:tcPr>
                  <w:tcW w:w="1250" w:type="pct"/>
                  <w:vAlign w:val="center"/>
                </w:tcPr>
                <w:p w14:paraId="2FFE9F83">
                  <w:pPr>
                    <w:pStyle w:val="40"/>
                    <w:bidi w:val="0"/>
                    <w:rPr>
                      <w:rFonts w:hint="default"/>
                      <w:lang w:val="en-US" w:eastAsia="zh-CN"/>
                    </w:rPr>
                  </w:pPr>
                  <w:r>
                    <w:rPr>
                      <w:rFonts w:hint="eastAsia"/>
                      <w:lang w:val="en-US" w:eastAsia="zh-CN"/>
                    </w:rPr>
                    <w:t>水泥筒仓除尘灰</w:t>
                  </w:r>
                </w:p>
              </w:tc>
              <w:tc>
                <w:tcPr>
                  <w:tcW w:w="1250" w:type="pct"/>
                  <w:vAlign w:val="center"/>
                </w:tcPr>
                <w:p w14:paraId="0D64BC84">
                  <w:pPr>
                    <w:pStyle w:val="40"/>
                    <w:bidi w:val="0"/>
                    <w:rPr>
                      <w:rFonts w:hint="default"/>
                      <w:lang w:val="en-US" w:eastAsia="zh-CN"/>
                    </w:rPr>
                  </w:pPr>
                  <w:r>
                    <w:rPr>
                      <w:rFonts w:hint="eastAsia"/>
                      <w:lang w:val="en-US" w:eastAsia="zh-CN"/>
                    </w:rPr>
                    <w:t>1.292</w:t>
                  </w:r>
                </w:p>
              </w:tc>
            </w:tr>
            <w:tr w14:paraId="23D8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248" w:type="pct"/>
                  <w:vAlign w:val="center"/>
                </w:tcPr>
                <w:p w14:paraId="1E0EC943">
                  <w:pPr>
                    <w:pStyle w:val="40"/>
                    <w:bidi w:val="0"/>
                    <w:rPr>
                      <w:rFonts w:hint="default"/>
                      <w:lang w:val="en-US" w:eastAsia="zh-CN"/>
                    </w:rPr>
                  </w:pPr>
                  <w:r>
                    <w:rPr>
                      <w:rFonts w:hint="eastAsia"/>
                      <w:lang w:val="en-US" w:eastAsia="zh-CN"/>
                    </w:rPr>
                    <w:t>生石灰</w:t>
                  </w:r>
                </w:p>
              </w:tc>
              <w:tc>
                <w:tcPr>
                  <w:tcW w:w="1251" w:type="pct"/>
                  <w:vAlign w:val="center"/>
                </w:tcPr>
                <w:p w14:paraId="76EA6ED7">
                  <w:pPr>
                    <w:pStyle w:val="40"/>
                    <w:bidi w:val="0"/>
                    <w:rPr>
                      <w:rFonts w:hint="default"/>
                      <w:lang w:val="en-US" w:eastAsia="zh-CN"/>
                    </w:rPr>
                  </w:pPr>
                  <w:r>
                    <w:rPr>
                      <w:rFonts w:hint="eastAsia"/>
                      <w:lang w:val="en-US" w:eastAsia="zh-CN"/>
                    </w:rPr>
                    <w:t>7590</w:t>
                  </w:r>
                </w:p>
              </w:tc>
              <w:tc>
                <w:tcPr>
                  <w:tcW w:w="1250" w:type="pct"/>
                  <w:vAlign w:val="center"/>
                </w:tcPr>
                <w:p w14:paraId="64743082">
                  <w:pPr>
                    <w:pStyle w:val="40"/>
                    <w:bidi w:val="0"/>
                    <w:rPr>
                      <w:rFonts w:hint="default"/>
                      <w:lang w:val="en-US" w:eastAsia="zh-CN"/>
                    </w:rPr>
                  </w:pPr>
                  <w:r>
                    <w:rPr>
                      <w:rFonts w:hint="eastAsia"/>
                      <w:lang w:val="en-US" w:eastAsia="zh-CN"/>
                    </w:rPr>
                    <w:t>粉煤灰筒仓除尘灰</w:t>
                  </w:r>
                </w:p>
              </w:tc>
              <w:tc>
                <w:tcPr>
                  <w:tcW w:w="1250" w:type="pct"/>
                  <w:vAlign w:val="center"/>
                </w:tcPr>
                <w:p w14:paraId="2B6803FF">
                  <w:pPr>
                    <w:pStyle w:val="40"/>
                    <w:bidi w:val="0"/>
                    <w:rPr>
                      <w:rFonts w:hint="default"/>
                      <w:lang w:val="en-US" w:eastAsia="zh-CN"/>
                    </w:rPr>
                  </w:pPr>
                  <w:r>
                    <w:rPr>
                      <w:rFonts w:hint="eastAsia"/>
                      <w:lang w:val="en-US" w:eastAsia="zh-CN"/>
                    </w:rPr>
                    <w:t>1.117</w:t>
                  </w:r>
                </w:p>
              </w:tc>
            </w:tr>
            <w:tr w14:paraId="6BFE1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248" w:type="pct"/>
                  <w:vMerge w:val="restart"/>
                  <w:vAlign w:val="center"/>
                </w:tcPr>
                <w:p w14:paraId="1B6E4820">
                  <w:pPr>
                    <w:pStyle w:val="40"/>
                    <w:bidi w:val="0"/>
                    <w:rPr>
                      <w:rFonts w:hint="default"/>
                      <w:lang w:val="en-US" w:eastAsia="zh-CN"/>
                    </w:rPr>
                  </w:pPr>
                  <w:r>
                    <w:rPr>
                      <w:rFonts w:hint="eastAsia"/>
                      <w:lang w:val="en-US" w:eastAsia="zh-CN"/>
                    </w:rPr>
                    <w:t>石膏</w:t>
                  </w:r>
                </w:p>
              </w:tc>
              <w:tc>
                <w:tcPr>
                  <w:tcW w:w="1251" w:type="pct"/>
                  <w:vMerge w:val="restart"/>
                  <w:vAlign w:val="center"/>
                </w:tcPr>
                <w:p w14:paraId="27C1A5F9">
                  <w:pPr>
                    <w:pStyle w:val="40"/>
                    <w:bidi w:val="0"/>
                    <w:rPr>
                      <w:rFonts w:hint="default"/>
                      <w:lang w:val="en-US" w:eastAsia="zh-CN"/>
                    </w:rPr>
                  </w:pPr>
                  <w:r>
                    <w:rPr>
                      <w:rFonts w:hint="eastAsia"/>
                      <w:lang w:val="en-US" w:eastAsia="zh-CN"/>
                    </w:rPr>
                    <w:t>750</w:t>
                  </w:r>
                </w:p>
              </w:tc>
              <w:tc>
                <w:tcPr>
                  <w:tcW w:w="1250" w:type="pct"/>
                  <w:vAlign w:val="center"/>
                </w:tcPr>
                <w:p w14:paraId="0804F1A2">
                  <w:pPr>
                    <w:pStyle w:val="40"/>
                    <w:bidi w:val="0"/>
                    <w:rPr>
                      <w:rFonts w:hint="default"/>
                      <w:lang w:val="en-US" w:eastAsia="zh-CN"/>
                    </w:rPr>
                  </w:pPr>
                  <w:r>
                    <w:rPr>
                      <w:rFonts w:hint="eastAsia"/>
                      <w:lang w:val="en-US" w:eastAsia="zh-CN"/>
                    </w:rPr>
                    <w:t>投料除尘灰</w:t>
                  </w:r>
                </w:p>
              </w:tc>
              <w:tc>
                <w:tcPr>
                  <w:tcW w:w="1250" w:type="pct"/>
                  <w:vAlign w:val="center"/>
                </w:tcPr>
                <w:p w14:paraId="7D3E2090">
                  <w:pPr>
                    <w:pStyle w:val="40"/>
                    <w:bidi w:val="0"/>
                    <w:rPr>
                      <w:rFonts w:hint="default"/>
                      <w:lang w:val="en-US" w:eastAsia="zh-CN"/>
                    </w:rPr>
                  </w:pPr>
                  <w:r>
                    <w:rPr>
                      <w:rFonts w:hint="eastAsia"/>
                      <w:lang w:val="en-US" w:eastAsia="zh-CN"/>
                    </w:rPr>
                    <w:t>0.055</w:t>
                  </w:r>
                </w:p>
              </w:tc>
            </w:tr>
            <w:tr w14:paraId="187D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1248" w:type="pct"/>
                  <w:vMerge w:val="continue"/>
                  <w:vAlign w:val="center"/>
                </w:tcPr>
                <w:p w14:paraId="1377C4FD">
                  <w:pPr>
                    <w:pStyle w:val="40"/>
                    <w:bidi w:val="0"/>
                    <w:rPr>
                      <w:rFonts w:hint="eastAsia"/>
                      <w:lang w:val="en-US" w:eastAsia="zh-CN"/>
                    </w:rPr>
                  </w:pPr>
                </w:p>
              </w:tc>
              <w:tc>
                <w:tcPr>
                  <w:tcW w:w="1251" w:type="pct"/>
                  <w:vMerge w:val="continue"/>
                  <w:vAlign w:val="center"/>
                </w:tcPr>
                <w:p w14:paraId="36D8A2A9">
                  <w:pPr>
                    <w:pStyle w:val="40"/>
                    <w:bidi w:val="0"/>
                    <w:rPr>
                      <w:rFonts w:hint="eastAsia"/>
                      <w:lang w:val="en-US" w:eastAsia="zh-CN"/>
                    </w:rPr>
                  </w:pPr>
                </w:p>
              </w:tc>
              <w:tc>
                <w:tcPr>
                  <w:tcW w:w="1250" w:type="pct"/>
                  <w:vAlign w:val="center"/>
                </w:tcPr>
                <w:p w14:paraId="7E4B509D">
                  <w:pPr>
                    <w:pStyle w:val="40"/>
                    <w:bidi w:val="0"/>
                    <w:rPr>
                      <w:rFonts w:hint="eastAsia"/>
                      <w:lang w:val="en-US" w:eastAsia="zh-CN"/>
                    </w:rPr>
                  </w:pPr>
                  <w:r>
                    <w:rPr>
                      <w:rFonts w:hint="eastAsia"/>
                      <w:lang w:val="en-US" w:eastAsia="zh-CN"/>
                    </w:rPr>
                    <w:t>搅拌除尘灰</w:t>
                  </w:r>
                </w:p>
              </w:tc>
              <w:tc>
                <w:tcPr>
                  <w:tcW w:w="1250" w:type="pct"/>
                  <w:vAlign w:val="center"/>
                </w:tcPr>
                <w:p w14:paraId="1AFD0EFA">
                  <w:pPr>
                    <w:pStyle w:val="40"/>
                    <w:bidi w:val="0"/>
                    <w:rPr>
                      <w:rFonts w:hint="eastAsia"/>
                      <w:lang w:val="en-US" w:eastAsia="zh-CN"/>
                    </w:rPr>
                  </w:pPr>
                  <w:r>
                    <w:rPr>
                      <w:rFonts w:hint="eastAsia"/>
                      <w:lang w:val="en-US" w:eastAsia="zh-CN"/>
                    </w:rPr>
                    <w:t>12.514</w:t>
                  </w:r>
                </w:p>
              </w:tc>
            </w:tr>
            <w:tr w14:paraId="08D9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248" w:type="pct"/>
                  <w:vAlign w:val="center"/>
                </w:tcPr>
                <w:p w14:paraId="61599B47">
                  <w:pPr>
                    <w:pStyle w:val="40"/>
                    <w:bidi w:val="0"/>
                    <w:rPr>
                      <w:rFonts w:hint="default"/>
                      <w:lang w:val="en-US" w:eastAsia="zh-CN"/>
                    </w:rPr>
                  </w:pPr>
                  <w:r>
                    <w:rPr>
                      <w:rFonts w:hint="eastAsia"/>
                      <w:lang w:val="en-US" w:eastAsia="zh-CN"/>
                    </w:rPr>
                    <w:t>铝粉膏</w:t>
                  </w:r>
                </w:p>
              </w:tc>
              <w:tc>
                <w:tcPr>
                  <w:tcW w:w="1251" w:type="pct"/>
                  <w:vAlign w:val="center"/>
                </w:tcPr>
                <w:p w14:paraId="2A9366BC">
                  <w:pPr>
                    <w:pStyle w:val="40"/>
                    <w:bidi w:val="0"/>
                    <w:rPr>
                      <w:rFonts w:hint="default"/>
                      <w:lang w:val="en-US" w:eastAsia="zh-CN"/>
                    </w:rPr>
                  </w:pPr>
                  <w:r>
                    <w:rPr>
                      <w:rFonts w:hint="eastAsia"/>
                      <w:lang w:val="en-US" w:eastAsia="zh-CN"/>
                    </w:rPr>
                    <w:t>20</w:t>
                  </w:r>
                </w:p>
              </w:tc>
              <w:tc>
                <w:tcPr>
                  <w:tcW w:w="2102" w:type="dxa"/>
                  <w:vAlign w:val="center"/>
                </w:tcPr>
                <w:p w14:paraId="70D05BC2">
                  <w:pPr>
                    <w:pStyle w:val="40"/>
                    <w:bidi w:val="0"/>
                    <w:rPr>
                      <w:rFonts w:hint="default"/>
                      <w:lang w:val="en-US" w:eastAsia="zh-CN"/>
                    </w:rPr>
                  </w:pPr>
                  <w:r>
                    <w:rPr>
                      <w:rFonts w:hint="eastAsia"/>
                      <w:lang w:val="en-US" w:eastAsia="zh-CN"/>
                    </w:rPr>
                    <w:t>投料工序无组织逸散粉尘</w:t>
                  </w:r>
                </w:p>
              </w:tc>
              <w:tc>
                <w:tcPr>
                  <w:tcW w:w="1250" w:type="pct"/>
                  <w:vAlign w:val="center"/>
                </w:tcPr>
                <w:p w14:paraId="71513D87">
                  <w:pPr>
                    <w:pStyle w:val="40"/>
                    <w:bidi w:val="0"/>
                    <w:rPr>
                      <w:rFonts w:hint="default"/>
                      <w:lang w:val="en-US" w:eastAsia="zh-CN"/>
                    </w:rPr>
                  </w:pPr>
                  <w:r>
                    <w:rPr>
                      <w:rFonts w:hint="eastAsia"/>
                      <w:lang w:val="en-US" w:eastAsia="zh-CN"/>
                    </w:rPr>
                    <w:t>0.03262</w:t>
                  </w:r>
                </w:p>
              </w:tc>
            </w:tr>
            <w:tr w14:paraId="761E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248" w:type="pct"/>
                  <w:vMerge w:val="restart"/>
                  <w:vAlign w:val="center"/>
                </w:tcPr>
                <w:p w14:paraId="6B58EA9F">
                  <w:pPr>
                    <w:pStyle w:val="40"/>
                    <w:bidi w:val="0"/>
                    <w:rPr>
                      <w:rFonts w:hint="default"/>
                      <w:lang w:val="en-US" w:eastAsia="zh-CN"/>
                    </w:rPr>
                  </w:pPr>
                  <w:r>
                    <w:rPr>
                      <w:rFonts w:hint="eastAsia"/>
                      <w:lang w:val="en-US" w:eastAsia="zh-CN"/>
                    </w:rPr>
                    <w:t>成品发泡EPS颗粒</w:t>
                  </w:r>
                </w:p>
              </w:tc>
              <w:tc>
                <w:tcPr>
                  <w:tcW w:w="1251" w:type="pct"/>
                  <w:vMerge w:val="restart"/>
                  <w:vAlign w:val="center"/>
                </w:tcPr>
                <w:p w14:paraId="7C42671A">
                  <w:pPr>
                    <w:pStyle w:val="40"/>
                    <w:bidi w:val="0"/>
                    <w:rPr>
                      <w:rFonts w:hint="default"/>
                      <w:lang w:val="en-US" w:eastAsia="zh-CN"/>
                    </w:rPr>
                  </w:pPr>
                  <w:r>
                    <w:rPr>
                      <w:rFonts w:hint="eastAsia"/>
                      <w:lang w:val="en-US" w:eastAsia="zh-CN"/>
                    </w:rPr>
                    <w:t>50</w:t>
                  </w:r>
                </w:p>
              </w:tc>
              <w:tc>
                <w:tcPr>
                  <w:tcW w:w="2102" w:type="dxa"/>
                  <w:shd w:val="clear" w:color="auto" w:fill="auto"/>
                  <w:vAlign w:val="center"/>
                </w:tcPr>
                <w:p w14:paraId="3C421E24">
                  <w:pPr>
                    <w:pStyle w:val="40"/>
                    <w:bidi w:val="0"/>
                    <w:rPr>
                      <w:rFonts w:hint="default"/>
                      <w:lang w:val="en-US" w:eastAsia="zh-CN"/>
                    </w:rPr>
                  </w:pPr>
                  <w:r>
                    <w:rPr>
                      <w:rFonts w:hint="eastAsia"/>
                      <w:lang w:val="en-US" w:eastAsia="zh-CN"/>
                    </w:rPr>
                    <w:t>搅拌工序无组织逸散粉尘</w:t>
                  </w:r>
                </w:p>
              </w:tc>
              <w:tc>
                <w:tcPr>
                  <w:tcW w:w="1250" w:type="pct"/>
                  <w:shd w:val="clear" w:color="auto" w:fill="auto"/>
                  <w:vAlign w:val="center"/>
                </w:tcPr>
                <w:p w14:paraId="7BAF6787">
                  <w:pPr>
                    <w:pStyle w:val="40"/>
                    <w:bidi w:val="0"/>
                    <w:rPr>
                      <w:rFonts w:hint="default"/>
                      <w:lang w:val="en-US" w:eastAsia="zh-CN"/>
                    </w:rPr>
                  </w:pPr>
                  <w:r>
                    <w:rPr>
                      <w:rFonts w:hint="eastAsia"/>
                      <w:lang w:val="en-US" w:eastAsia="zh-CN"/>
                    </w:rPr>
                    <w:t>3.138</w:t>
                  </w:r>
                </w:p>
              </w:tc>
            </w:tr>
            <w:tr w14:paraId="51F9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48" w:type="pct"/>
                  <w:vMerge w:val="continue"/>
                  <w:vAlign w:val="center"/>
                </w:tcPr>
                <w:p w14:paraId="2E924544">
                  <w:pPr>
                    <w:pStyle w:val="40"/>
                    <w:bidi w:val="0"/>
                    <w:rPr>
                      <w:rFonts w:hint="eastAsia"/>
                      <w:lang w:val="en-US" w:eastAsia="zh-CN"/>
                    </w:rPr>
                  </w:pPr>
                </w:p>
              </w:tc>
              <w:tc>
                <w:tcPr>
                  <w:tcW w:w="1251" w:type="pct"/>
                  <w:vMerge w:val="continue"/>
                  <w:vAlign w:val="center"/>
                </w:tcPr>
                <w:p w14:paraId="2D3C0C9F">
                  <w:pPr>
                    <w:pStyle w:val="40"/>
                    <w:bidi w:val="0"/>
                    <w:rPr>
                      <w:rFonts w:hint="eastAsia"/>
                      <w:lang w:val="en-US" w:eastAsia="zh-CN"/>
                    </w:rPr>
                  </w:pPr>
                </w:p>
              </w:tc>
              <w:tc>
                <w:tcPr>
                  <w:tcW w:w="1250" w:type="pct"/>
                  <w:shd w:val="clear" w:color="auto" w:fill="auto"/>
                  <w:vAlign w:val="center"/>
                </w:tcPr>
                <w:p w14:paraId="2E650E32">
                  <w:pPr>
                    <w:pStyle w:val="40"/>
                    <w:bidi w:val="0"/>
                    <w:rPr>
                      <w:rFonts w:hint="eastAsia"/>
                      <w:lang w:val="en-US" w:eastAsia="zh-CN"/>
                    </w:rPr>
                  </w:pPr>
                  <w:r>
                    <w:rPr>
                      <w:rFonts w:hint="eastAsia"/>
                      <w:lang w:val="en-US" w:eastAsia="zh-CN"/>
                    </w:rPr>
                    <w:t>蒸发水80%</w:t>
                  </w:r>
                </w:p>
              </w:tc>
              <w:tc>
                <w:tcPr>
                  <w:tcW w:w="1250" w:type="pct"/>
                  <w:shd w:val="clear" w:color="auto" w:fill="auto"/>
                  <w:vAlign w:val="center"/>
                </w:tcPr>
                <w:p w14:paraId="6EE23C05">
                  <w:pPr>
                    <w:pStyle w:val="40"/>
                    <w:bidi w:val="0"/>
                    <w:rPr>
                      <w:rFonts w:hint="eastAsia"/>
                      <w:lang w:val="en-US" w:eastAsia="zh-CN"/>
                    </w:rPr>
                  </w:pPr>
                  <w:r>
                    <w:rPr>
                      <w:rFonts w:hint="eastAsia"/>
                      <w:lang w:val="en-US" w:eastAsia="zh-CN"/>
                    </w:rPr>
                    <w:t>7480</w:t>
                  </w:r>
                </w:p>
              </w:tc>
            </w:tr>
            <w:tr w14:paraId="1CE1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248" w:type="pct"/>
                  <w:vAlign w:val="center"/>
                </w:tcPr>
                <w:p w14:paraId="0375E047">
                  <w:pPr>
                    <w:pStyle w:val="40"/>
                    <w:bidi w:val="0"/>
                    <w:rPr>
                      <w:rFonts w:hint="default"/>
                      <w:lang w:val="en-US" w:eastAsia="zh-CN"/>
                    </w:rPr>
                  </w:pPr>
                  <w:r>
                    <w:rPr>
                      <w:rFonts w:hint="eastAsia"/>
                      <w:lang w:val="en-US" w:eastAsia="zh-CN"/>
                    </w:rPr>
                    <w:t>减水剂</w:t>
                  </w:r>
                </w:p>
              </w:tc>
              <w:tc>
                <w:tcPr>
                  <w:tcW w:w="1251" w:type="pct"/>
                  <w:vAlign w:val="center"/>
                </w:tcPr>
                <w:p w14:paraId="38751EBA">
                  <w:pPr>
                    <w:pStyle w:val="40"/>
                    <w:bidi w:val="0"/>
                    <w:rPr>
                      <w:rFonts w:hint="default"/>
                      <w:lang w:val="en-US" w:eastAsia="zh-CN"/>
                    </w:rPr>
                  </w:pPr>
                  <w:r>
                    <w:rPr>
                      <w:rFonts w:hint="eastAsia"/>
                      <w:lang w:val="en-US" w:eastAsia="zh-CN"/>
                    </w:rPr>
                    <w:t>50</w:t>
                  </w:r>
                </w:p>
              </w:tc>
              <w:tc>
                <w:tcPr>
                  <w:tcW w:w="1250" w:type="pct"/>
                  <w:shd w:val="clear" w:color="auto" w:fill="auto"/>
                  <w:vAlign w:val="center"/>
                </w:tcPr>
                <w:p w14:paraId="04790959">
                  <w:pPr>
                    <w:pStyle w:val="40"/>
                    <w:bidi w:val="0"/>
                    <w:rPr>
                      <w:rFonts w:hint="default"/>
                      <w:lang w:val="en-US" w:eastAsia="zh-CN"/>
                    </w:rPr>
                  </w:pPr>
                  <w:r>
                    <w:rPr>
                      <w:rFonts w:hint="eastAsia"/>
                      <w:lang w:val="en-US" w:eastAsia="zh-CN"/>
                    </w:rPr>
                    <w:t>边角料及不合格产品约4.3%</w:t>
                  </w:r>
                </w:p>
              </w:tc>
              <w:tc>
                <w:tcPr>
                  <w:tcW w:w="1250" w:type="pct"/>
                  <w:shd w:val="clear" w:color="auto" w:fill="auto"/>
                  <w:vAlign w:val="center"/>
                </w:tcPr>
                <w:p w14:paraId="3926CD2A">
                  <w:pPr>
                    <w:pStyle w:val="40"/>
                    <w:bidi w:val="0"/>
                    <w:rPr>
                      <w:rFonts w:hint="default"/>
                      <w:lang w:val="en-US" w:eastAsia="zh-CN"/>
                    </w:rPr>
                  </w:pPr>
                  <w:r>
                    <w:rPr>
                      <w:rFonts w:hint="eastAsia"/>
                      <w:lang w:val="en-US" w:eastAsia="zh-CN"/>
                    </w:rPr>
                    <w:t>1290</w:t>
                  </w:r>
                </w:p>
              </w:tc>
            </w:tr>
            <w:tr w14:paraId="6B30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248" w:type="pct"/>
                  <w:vMerge w:val="restart"/>
                  <w:vAlign w:val="center"/>
                </w:tcPr>
                <w:p w14:paraId="0E01141C">
                  <w:pPr>
                    <w:pStyle w:val="40"/>
                    <w:bidi w:val="0"/>
                    <w:rPr>
                      <w:rFonts w:hint="default"/>
                      <w:lang w:val="en-US" w:eastAsia="zh-CN"/>
                    </w:rPr>
                  </w:pPr>
                  <w:r>
                    <w:rPr>
                      <w:rFonts w:hint="eastAsia"/>
                      <w:lang w:val="en-US" w:eastAsia="zh-CN"/>
                    </w:rPr>
                    <w:t>水</w:t>
                  </w:r>
                </w:p>
              </w:tc>
              <w:tc>
                <w:tcPr>
                  <w:tcW w:w="1251" w:type="pct"/>
                  <w:vMerge w:val="restart"/>
                  <w:vAlign w:val="center"/>
                </w:tcPr>
                <w:p w14:paraId="3D3347E8">
                  <w:pPr>
                    <w:pStyle w:val="40"/>
                    <w:bidi w:val="0"/>
                    <w:rPr>
                      <w:rFonts w:hint="default"/>
                      <w:lang w:val="en-US" w:eastAsia="zh-CN"/>
                    </w:rPr>
                  </w:pPr>
                  <w:r>
                    <w:rPr>
                      <w:rFonts w:hint="eastAsia"/>
                      <w:lang w:val="en-US" w:eastAsia="zh-CN"/>
                    </w:rPr>
                    <w:t>9350</w:t>
                  </w:r>
                </w:p>
              </w:tc>
              <w:tc>
                <w:tcPr>
                  <w:tcW w:w="1250" w:type="pct"/>
                  <w:shd w:val="clear" w:color="auto" w:fill="auto"/>
                  <w:vAlign w:val="center"/>
                </w:tcPr>
                <w:p w14:paraId="5F21DB6F">
                  <w:pPr>
                    <w:pStyle w:val="40"/>
                    <w:bidi w:val="0"/>
                    <w:rPr>
                      <w:rFonts w:hint="default"/>
                      <w:lang w:val="en-US" w:eastAsia="zh-CN"/>
                    </w:rPr>
                  </w:pPr>
                  <w:r>
                    <w:rPr>
                      <w:rFonts w:hint="eastAsia"/>
                      <w:lang w:val="en-US" w:eastAsia="zh-CN"/>
                    </w:rPr>
                    <w:t>沉渣</w:t>
                  </w:r>
                </w:p>
              </w:tc>
              <w:tc>
                <w:tcPr>
                  <w:tcW w:w="1250" w:type="pct"/>
                  <w:shd w:val="clear" w:color="auto" w:fill="auto"/>
                  <w:vAlign w:val="center"/>
                </w:tcPr>
                <w:p w14:paraId="06D010A6">
                  <w:pPr>
                    <w:pStyle w:val="40"/>
                    <w:bidi w:val="0"/>
                    <w:rPr>
                      <w:rFonts w:hint="default"/>
                      <w:lang w:val="en-US" w:eastAsia="zh-CN"/>
                    </w:rPr>
                  </w:pPr>
                  <w:r>
                    <w:rPr>
                      <w:rFonts w:hint="eastAsia"/>
                      <w:lang w:val="en-US" w:eastAsia="zh-CN"/>
                    </w:rPr>
                    <w:t>1.2</w:t>
                  </w:r>
                </w:p>
              </w:tc>
            </w:tr>
            <w:tr w14:paraId="462C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248" w:type="pct"/>
                  <w:vMerge w:val="continue"/>
                  <w:vAlign w:val="center"/>
                </w:tcPr>
                <w:p w14:paraId="1069E80B">
                  <w:pPr>
                    <w:pStyle w:val="40"/>
                    <w:bidi w:val="0"/>
                    <w:rPr>
                      <w:rFonts w:hint="eastAsia"/>
                      <w:lang w:val="en-US" w:eastAsia="zh-CN"/>
                    </w:rPr>
                  </w:pPr>
                </w:p>
              </w:tc>
              <w:tc>
                <w:tcPr>
                  <w:tcW w:w="1251" w:type="pct"/>
                  <w:vMerge w:val="continue"/>
                  <w:vAlign w:val="center"/>
                </w:tcPr>
                <w:p w14:paraId="08D04DF8">
                  <w:pPr>
                    <w:pStyle w:val="40"/>
                    <w:bidi w:val="0"/>
                    <w:rPr>
                      <w:rFonts w:hint="default"/>
                      <w:lang w:val="en-US" w:eastAsia="zh-CN"/>
                    </w:rPr>
                  </w:pPr>
                </w:p>
              </w:tc>
              <w:tc>
                <w:tcPr>
                  <w:tcW w:w="1250" w:type="pct"/>
                  <w:vAlign w:val="center"/>
                </w:tcPr>
                <w:p w14:paraId="60B6A05F">
                  <w:pPr>
                    <w:pStyle w:val="40"/>
                    <w:bidi w:val="0"/>
                    <w:rPr>
                      <w:rFonts w:hint="default"/>
                      <w:lang w:val="en-US" w:eastAsia="zh-CN"/>
                    </w:rPr>
                  </w:pPr>
                  <w:r>
                    <w:rPr>
                      <w:rFonts w:hint="eastAsia"/>
                      <w:lang w:val="en-US" w:eastAsia="zh-CN"/>
                    </w:rPr>
                    <w:t>差值损耗</w:t>
                  </w:r>
                </w:p>
              </w:tc>
              <w:tc>
                <w:tcPr>
                  <w:tcW w:w="1250" w:type="pct"/>
                  <w:vAlign w:val="center"/>
                </w:tcPr>
                <w:p w14:paraId="0FFF1547">
                  <w:pPr>
                    <w:pStyle w:val="40"/>
                    <w:bidi w:val="0"/>
                    <w:rPr>
                      <w:rFonts w:hint="default"/>
                      <w:lang w:val="en-US" w:eastAsia="zh-CN"/>
                    </w:rPr>
                  </w:pPr>
                  <w:r>
                    <w:rPr>
                      <w:rFonts w:hint="eastAsia"/>
                      <w:lang w:val="en-US" w:eastAsia="zh-CN"/>
                    </w:rPr>
                    <w:t>20.65138</w:t>
                  </w:r>
                </w:p>
              </w:tc>
            </w:tr>
            <w:tr w14:paraId="0D91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248" w:type="pct"/>
                  <w:vAlign w:val="center"/>
                </w:tcPr>
                <w:p w14:paraId="0D78EF5D">
                  <w:pPr>
                    <w:pStyle w:val="40"/>
                    <w:bidi w:val="0"/>
                    <w:rPr>
                      <w:rFonts w:hint="eastAsia"/>
                      <w:lang w:val="en-US" w:eastAsia="zh-CN"/>
                    </w:rPr>
                  </w:pPr>
                  <w:r>
                    <w:rPr>
                      <w:rFonts w:hint="eastAsia"/>
                      <w:lang w:val="en-US" w:eastAsia="zh-CN"/>
                    </w:rPr>
                    <w:t>合计</w:t>
                  </w:r>
                </w:p>
              </w:tc>
              <w:tc>
                <w:tcPr>
                  <w:tcW w:w="1251" w:type="pct"/>
                  <w:vAlign w:val="center"/>
                </w:tcPr>
                <w:p w14:paraId="41243DC2">
                  <w:pPr>
                    <w:pStyle w:val="40"/>
                    <w:bidi w:val="0"/>
                    <w:rPr>
                      <w:rFonts w:hint="eastAsia"/>
                      <w:lang w:val="en-US" w:eastAsia="zh-CN"/>
                    </w:rPr>
                  </w:pPr>
                  <w:r>
                    <w:rPr>
                      <w:rFonts w:hint="eastAsia"/>
                      <w:lang w:val="en-US" w:eastAsia="zh-CN"/>
                    </w:rPr>
                    <w:t>38810</w:t>
                  </w:r>
                </w:p>
              </w:tc>
              <w:tc>
                <w:tcPr>
                  <w:tcW w:w="1250" w:type="pct"/>
                  <w:vAlign w:val="center"/>
                </w:tcPr>
                <w:p w14:paraId="334161CB">
                  <w:pPr>
                    <w:pStyle w:val="40"/>
                    <w:bidi w:val="0"/>
                    <w:rPr>
                      <w:rFonts w:hint="default"/>
                      <w:lang w:val="en-US" w:eastAsia="zh-CN"/>
                    </w:rPr>
                  </w:pPr>
                  <w:r>
                    <w:rPr>
                      <w:rFonts w:hint="eastAsia"/>
                      <w:lang w:val="en-US" w:eastAsia="zh-CN"/>
                    </w:rPr>
                    <w:t>合计</w:t>
                  </w:r>
                </w:p>
              </w:tc>
              <w:tc>
                <w:tcPr>
                  <w:tcW w:w="1250" w:type="pct"/>
                  <w:vAlign w:val="center"/>
                </w:tcPr>
                <w:p w14:paraId="51D0D5B4">
                  <w:pPr>
                    <w:pStyle w:val="40"/>
                    <w:bidi w:val="0"/>
                    <w:rPr>
                      <w:rFonts w:hint="default"/>
                      <w:lang w:val="en-US" w:eastAsia="zh-CN"/>
                    </w:rPr>
                  </w:pPr>
                  <w:r>
                    <w:rPr>
                      <w:rFonts w:hint="eastAsia"/>
                      <w:lang w:val="en-US" w:eastAsia="zh-CN"/>
                    </w:rPr>
                    <w:t>38810</w:t>
                  </w:r>
                </w:p>
              </w:tc>
            </w:tr>
          </w:tbl>
          <w:p w14:paraId="3DFCA1D6">
            <w:pPr>
              <w:pStyle w:val="42"/>
              <w:bidi w:val="0"/>
              <w:rPr>
                <w:rFonts w:hint="default"/>
                <w:lang w:val="en-US" w:eastAsia="zh-CN"/>
              </w:rPr>
            </w:pPr>
            <w:r>
              <w:rPr>
                <w:rFonts w:hint="default"/>
                <w:lang w:val="en-US" w:eastAsia="zh-CN"/>
              </w:rPr>
              <w:t>表2-</w:t>
            </w:r>
            <w:r>
              <w:rPr>
                <w:rFonts w:hint="eastAsia"/>
                <w:lang w:val="en-US" w:eastAsia="zh-CN"/>
              </w:rPr>
              <w:t>7</w:t>
            </w:r>
            <w:r>
              <w:rPr>
                <w:rFonts w:hint="default"/>
                <w:lang w:val="en-US" w:eastAsia="zh-CN"/>
              </w:rPr>
              <w:t xml:space="preserve">    </w:t>
            </w:r>
            <w:r>
              <w:rPr>
                <w:rFonts w:hint="eastAsia"/>
                <w:lang w:val="en-US" w:eastAsia="zh-CN"/>
              </w:rPr>
              <w:t>商品混凝土</w:t>
            </w:r>
            <w:r>
              <w:rPr>
                <w:rFonts w:hint="default"/>
                <w:lang w:val="en-US" w:eastAsia="zh-CN"/>
              </w:rPr>
              <w:t>物料平衡一览表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7"/>
              <w:gridCol w:w="3"/>
              <w:gridCol w:w="2025"/>
              <w:gridCol w:w="2030"/>
              <w:gridCol w:w="2025"/>
            </w:tblGrid>
            <w:tr w14:paraId="2F83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5" w:type="dxa"/>
                  <w:gridSpan w:val="3"/>
                  <w:vAlign w:val="center"/>
                </w:tcPr>
                <w:p w14:paraId="2714DE96">
                  <w:pPr>
                    <w:pStyle w:val="40"/>
                    <w:bidi w:val="0"/>
                    <w:rPr>
                      <w:rFonts w:hint="default"/>
                      <w:lang w:val="en-US" w:eastAsia="zh-CN"/>
                    </w:rPr>
                  </w:pPr>
                  <w:r>
                    <w:rPr>
                      <w:rFonts w:hint="eastAsia"/>
                      <w:lang w:val="en-US" w:eastAsia="zh-CN"/>
                    </w:rPr>
                    <w:t>投入</w:t>
                  </w:r>
                </w:p>
              </w:tc>
              <w:tc>
                <w:tcPr>
                  <w:tcW w:w="4204" w:type="dxa"/>
                  <w:gridSpan w:val="2"/>
                  <w:vAlign w:val="center"/>
                </w:tcPr>
                <w:p w14:paraId="6D07C1C9">
                  <w:pPr>
                    <w:pStyle w:val="40"/>
                    <w:bidi w:val="0"/>
                    <w:rPr>
                      <w:rFonts w:hint="default"/>
                      <w:lang w:val="en-US" w:eastAsia="zh-CN"/>
                    </w:rPr>
                  </w:pPr>
                  <w:r>
                    <w:rPr>
                      <w:rFonts w:hint="eastAsia"/>
                      <w:lang w:val="en-US" w:eastAsia="zh-CN"/>
                    </w:rPr>
                    <w:t>产出</w:t>
                  </w:r>
                </w:p>
              </w:tc>
            </w:tr>
            <w:tr w14:paraId="772FF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9" w:type="dxa"/>
                  <w:vAlign w:val="center"/>
                </w:tcPr>
                <w:p w14:paraId="1ACB0292">
                  <w:pPr>
                    <w:pStyle w:val="40"/>
                    <w:bidi w:val="0"/>
                    <w:rPr>
                      <w:rFonts w:hint="default"/>
                      <w:lang w:val="en-US" w:eastAsia="zh-CN"/>
                    </w:rPr>
                  </w:pPr>
                  <w:r>
                    <w:rPr>
                      <w:rFonts w:hint="eastAsia"/>
                      <w:lang w:val="en-US" w:eastAsia="zh-CN"/>
                    </w:rPr>
                    <w:t>名称</w:t>
                  </w:r>
                </w:p>
              </w:tc>
              <w:tc>
                <w:tcPr>
                  <w:tcW w:w="2106" w:type="dxa"/>
                  <w:gridSpan w:val="2"/>
                  <w:vAlign w:val="center"/>
                </w:tcPr>
                <w:p w14:paraId="2244817B">
                  <w:pPr>
                    <w:pStyle w:val="40"/>
                    <w:bidi w:val="0"/>
                    <w:rPr>
                      <w:rFonts w:hint="default"/>
                      <w:lang w:val="en-US" w:eastAsia="zh-CN"/>
                    </w:rPr>
                  </w:pPr>
                  <w:r>
                    <w:rPr>
                      <w:rFonts w:hint="eastAsia"/>
                      <w:lang w:val="en-US" w:eastAsia="zh-CN"/>
                    </w:rPr>
                    <w:t>消耗量（t/a）</w:t>
                  </w:r>
                </w:p>
              </w:tc>
              <w:tc>
                <w:tcPr>
                  <w:tcW w:w="2102" w:type="dxa"/>
                  <w:vAlign w:val="center"/>
                </w:tcPr>
                <w:p w14:paraId="7450BBA9">
                  <w:pPr>
                    <w:pStyle w:val="40"/>
                    <w:bidi w:val="0"/>
                    <w:rPr>
                      <w:rFonts w:hint="default"/>
                      <w:lang w:val="en-US" w:eastAsia="zh-CN"/>
                    </w:rPr>
                  </w:pPr>
                  <w:r>
                    <w:rPr>
                      <w:rFonts w:hint="eastAsia"/>
                      <w:lang w:val="en-US" w:eastAsia="zh-CN"/>
                    </w:rPr>
                    <w:t>名称</w:t>
                  </w:r>
                </w:p>
              </w:tc>
              <w:tc>
                <w:tcPr>
                  <w:tcW w:w="2102" w:type="dxa"/>
                  <w:vAlign w:val="center"/>
                </w:tcPr>
                <w:p w14:paraId="49E721F3">
                  <w:pPr>
                    <w:pStyle w:val="40"/>
                    <w:bidi w:val="0"/>
                    <w:rPr>
                      <w:rFonts w:hint="default"/>
                      <w:lang w:val="en-US" w:eastAsia="zh-CN"/>
                    </w:rPr>
                  </w:pPr>
                  <w:r>
                    <w:rPr>
                      <w:rFonts w:hint="eastAsia"/>
                      <w:lang w:val="en-US" w:eastAsia="zh-CN"/>
                    </w:rPr>
                    <w:t>消耗量（t/a）</w:t>
                  </w:r>
                </w:p>
              </w:tc>
            </w:tr>
            <w:tr w14:paraId="51801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dxa"/>
                  <w:gridSpan w:val="2"/>
                  <w:vAlign w:val="center"/>
                </w:tcPr>
                <w:p w14:paraId="5AAD43A5">
                  <w:pPr>
                    <w:pStyle w:val="40"/>
                    <w:bidi w:val="0"/>
                    <w:rPr>
                      <w:rFonts w:hint="default"/>
                      <w:lang w:val="en-US" w:eastAsia="zh-CN"/>
                    </w:rPr>
                  </w:pPr>
                  <w:r>
                    <w:rPr>
                      <w:rFonts w:hint="eastAsia"/>
                      <w:lang w:val="en-US" w:eastAsia="zh-CN"/>
                    </w:rPr>
                    <w:t>水泥</w:t>
                  </w:r>
                </w:p>
              </w:tc>
              <w:tc>
                <w:tcPr>
                  <w:tcW w:w="2103" w:type="dxa"/>
                  <w:vAlign w:val="center"/>
                </w:tcPr>
                <w:p w14:paraId="4582159A">
                  <w:pPr>
                    <w:pStyle w:val="40"/>
                    <w:bidi w:val="0"/>
                    <w:rPr>
                      <w:rFonts w:hint="default"/>
                      <w:lang w:val="en-US" w:eastAsia="zh-CN"/>
                    </w:rPr>
                  </w:pPr>
                  <w:r>
                    <w:rPr>
                      <w:rFonts w:hint="eastAsia"/>
                      <w:lang w:val="en-US" w:eastAsia="zh-CN"/>
                    </w:rPr>
                    <w:t>26400</w:t>
                  </w:r>
                </w:p>
              </w:tc>
              <w:tc>
                <w:tcPr>
                  <w:tcW w:w="2102" w:type="dxa"/>
                  <w:vAlign w:val="center"/>
                </w:tcPr>
                <w:p w14:paraId="65838576">
                  <w:pPr>
                    <w:pStyle w:val="40"/>
                    <w:bidi w:val="0"/>
                    <w:rPr>
                      <w:rFonts w:hint="default"/>
                      <w:lang w:val="en-US" w:eastAsia="zh-CN"/>
                    </w:rPr>
                  </w:pPr>
                  <w:r>
                    <w:rPr>
                      <w:rFonts w:hint="eastAsia"/>
                      <w:lang w:val="en-US" w:eastAsia="zh-CN"/>
                    </w:rPr>
                    <w:t>产品（8万m</w:t>
                  </w:r>
                  <w:r>
                    <w:rPr>
                      <w:rFonts w:hint="eastAsia"/>
                      <w:vertAlign w:val="superscript"/>
                      <w:lang w:val="en-US" w:eastAsia="zh-CN"/>
                    </w:rPr>
                    <w:t>2</w:t>
                  </w:r>
                  <w:r>
                    <w:rPr>
                      <w:rFonts w:hint="eastAsia"/>
                      <w:lang w:val="en-US" w:eastAsia="zh-CN"/>
                    </w:rPr>
                    <w:t>商品混凝土）</w:t>
                  </w:r>
                </w:p>
              </w:tc>
              <w:tc>
                <w:tcPr>
                  <w:tcW w:w="2102" w:type="dxa"/>
                  <w:vAlign w:val="center"/>
                </w:tcPr>
                <w:p w14:paraId="4E826C13">
                  <w:pPr>
                    <w:pStyle w:val="40"/>
                    <w:bidi w:val="0"/>
                    <w:rPr>
                      <w:rFonts w:hint="default"/>
                      <w:lang w:val="en-US" w:eastAsia="zh-CN"/>
                    </w:rPr>
                  </w:pPr>
                  <w:r>
                    <w:rPr>
                      <w:rFonts w:hint="eastAsia"/>
                      <w:lang w:val="en-US" w:eastAsia="zh-CN"/>
                    </w:rPr>
                    <w:t>192000</w:t>
                  </w:r>
                </w:p>
              </w:tc>
            </w:tr>
            <w:tr w14:paraId="471E2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dxa"/>
                  <w:gridSpan w:val="2"/>
                  <w:vAlign w:val="center"/>
                </w:tcPr>
                <w:p w14:paraId="25ABFFC5">
                  <w:pPr>
                    <w:pStyle w:val="40"/>
                    <w:bidi w:val="0"/>
                    <w:rPr>
                      <w:rFonts w:hint="default"/>
                      <w:lang w:val="en-US" w:eastAsia="zh-CN"/>
                    </w:rPr>
                  </w:pPr>
                  <w:r>
                    <w:rPr>
                      <w:rFonts w:hint="eastAsia"/>
                      <w:lang w:val="en-US" w:eastAsia="zh-CN"/>
                    </w:rPr>
                    <w:t>粉煤灰</w:t>
                  </w:r>
                </w:p>
              </w:tc>
              <w:tc>
                <w:tcPr>
                  <w:tcW w:w="2103" w:type="dxa"/>
                  <w:vAlign w:val="center"/>
                </w:tcPr>
                <w:p w14:paraId="6A07FFFB">
                  <w:pPr>
                    <w:pStyle w:val="40"/>
                    <w:bidi w:val="0"/>
                    <w:rPr>
                      <w:rFonts w:hint="default"/>
                      <w:lang w:val="en-US" w:eastAsia="zh-CN"/>
                    </w:rPr>
                  </w:pPr>
                  <w:r>
                    <w:rPr>
                      <w:rFonts w:hint="eastAsia"/>
                      <w:lang w:val="en-US" w:eastAsia="zh-CN"/>
                    </w:rPr>
                    <w:t>8000</w:t>
                  </w:r>
                </w:p>
              </w:tc>
              <w:tc>
                <w:tcPr>
                  <w:tcW w:w="2102" w:type="dxa"/>
                  <w:vAlign w:val="center"/>
                </w:tcPr>
                <w:p w14:paraId="3D628909">
                  <w:pPr>
                    <w:pStyle w:val="40"/>
                    <w:bidi w:val="0"/>
                    <w:rPr>
                      <w:rFonts w:hint="default"/>
                      <w:lang w:val="en-US" w:eastAsia="zh-CN"/>
                    </w:rPr>
                  </w:pPr>
                  <w:r>
                    <w:rPr>
                      <w:rFonts w:hint="eastAsia"/>
                      <w:lang w:val="en-US" w:eastAsia="zh-CN"/>
                    </w:rPr>
                    <w:t>水泥筒仓除尘灰</w:t>
                  </w:r>
                </w:p>
              </w:tc>
              <w:tc>
                <w:tcPr>
                  <w:tcW w:w="2102" w:type="dxa"/>
                  <w:vAlign w:val="center"/>
                </w:tcPr>
                <w:p w14:paraId="419113D6">
                  <w:pPr>
                    <w:pStyle w:val="40"/>
                    <w:bidi w:val="0"/>
                    <w:rPr>
                      <w:rFonts w:hint="default"/>
                      <w:lang w:val="en-US" w:eastAsia="zh-CN"/>
                    </w:rPr>
                  </w:pPr>
                  <w:r>
                    <w:rPr>
                      <w:rFonts w:hint="eastAsia"/>
                      <w:lang w:val="en-US" w:eastAsia="zh-CN"/>
                    </w:rPr>
                    <w:t>1.292</w:t>
                  </w:r>
                </w:p>
              </w:tc>
            </w:tr>
            <w:tr w14:paraId="7E06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dxa"/>
                  <w:gridSpan w:val="2"/>
                  <w:vAlign w:val="center"/>
                </w:tcPr>
                <w:p w14:paraId="4E3C6E4B">
                  <w:pPr>
                    <w:pStyle w:val="40"/>
                    <w:bidi w:val="0"/>
                    <w:rPr>
                      <w:rFonts w:hint="default"/>
                      <w:lang w:val="en-US" w:eastAsia="zh-CN"/>
                    </w:rPr>
                  </w:pPr>
                  <w:r>
                    <w:rPr>
                      <w:rFonts w:hint="eastAsia"/>
                      <w:lang w:val="en-US" w:eastAsia="zh-CN"/>
                    </w:rPr>
                    <w:t>砂</w:t>
                  </w:r>
                </w:p>
              </w:tc>
              <w:tc>
                <w:tcPr>
                  <w:tcW w:w="2103" w:type="dxa"/>
                  <w:vAlign w:val="center"/>
                </w:tcPr>
                <w:p w14:paraId="3047FD06">
                  <w:pPr>
                    <w:pStyle w:val="40"/>
                    <w:bidi w:val="0"/>
                    <w:rPr>
                      <w:rFonts w:hint="default"/>
                      <w:lang w:val="en-US" w:eastAsia="zh-CN"/>
                    </w:rPr>
                  </w:pPr>
                  <w:r>
                    <w:rPr>
                      <w:rFonts w:hint="eastAsia"/>
                      <w:lang w:val="en-US" w:eastAsia="zh-CN"/>
                    </w:rPr>
                    <w:t>62400</w:t>
                  </w:r>
                </w:p>
              </w:tc>
              <w:tc>
                <w:tcPr>
                  <w:tcW w:w="2102" w:type="dxa"/>
                  <w:vAlign w:val="center"/>
                </w:tcPr>
                <w:p w14:paraId="0D23ECE8">
                  <w:pPr>
                    <w:pStyle w:val="40"/>
                    <w:bidi w:val="0"/>
                    <w:rPr>
                      <w:rFonts w:hint="default"/>
                      <w:lang w:val="en-US" w:eastAsia="zh-CN"/>
                    </w:rPr>
                  </w:pPr>
                  <w:r>
                    <w:rPr>
                      <w:rFonts w:hint="eastAsia"/>
                      <w:lang w:val="en-US" w:eastAsia="zh-CN"/>
                    </w:rPr>
                    <w:t>粉煤灰筒仓除尘灰</w:t>
                  </w:r>
                </w:p>
              </w:tc>
              <w:tc>
                <w:tcPr>
                  <w:tcW w:w="2102" w:type="dxa"/>
                  <w:vAlign w:val="center"/>
                </w:tcPr>
                <w:p w14:paraId="3D52DC84">
                  <w:pPr>
                    <w:pStyle w:val="40"/>
                    <w:bidi w:val="0"/>
                    <w:rPr>
                      <w:rFonts w:hint="default"/>
                      <w:lang w:val="en-US" w:eastAsia="zh-CN"/>
                    </w:rPr>
                  </w:pPr>
                  <w:r>
                    <w:rPr>
                      <w:rFonts w:hint="eastAsia"/>
                      <w:lang w:val="en-US" w:eastAsia="zh-CN"/>
                    </w:rPr>
                    <w:t>1.117</w:t>
                  </w:r>
                </w:p>
              </w:tc>
            </w:tr>
            <w:tr w14:paraId="6E02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2102" w:type="dxa"/>
                  <w:gridSpan w:val="2"/>
                  <w:vMerge w:val="restart"/>
                  <w:vAlign w:val="center"/>
                </w:tcPr>
                <w:p w14:paraId="21BDBCB8">
                  <w:pPr>
                    <w:pStyle w:val="40"/>
                    <w:bidi w:val="0"/>
                    <w:rPr>
                      <w:rFonts w:hint="default"/>
                      <w:lang w:val="en-US" w:eastAsia="zh-CN"/>
                    </w:rPr>
                  </w:pPr>
                  <w:r>
                    <w:rPr>
                      <w:rFonts w:hint="eastAsia"/>
                      <w:lang w:val="en-US" w:eastAsia="zh-CN"/>
                    </w:rPr>
                    <w:t>石子</w:t>
                  </w:r>
                </w:p>
              </w:tc>
              <w:tc>
                <w:tcPr>
                  <w:tcW w:w="2103" w:type="dxa"/>
                  <w:vMerge w:val="restart"/>
                  <w:vAlign w:val="center"/>
                </w:tcPr>
                <w:p w14:paraId="75508D58">
                  <w:pPr>
                    <w:pStyle w:val="40"/>
                    <w:bidi w:val="0"/>
                    <w:rPr>
                      <w:rFonts w:hint="default"/>
                      <w:lang w:val="en-US" w:eastAsia="zh-CN"/>
                    </w:rPr>
                  </w:pPr>
                  <w:r>
                    <w:rPr>
                      <w:rFonts w:hint="eastAsia"/>
                      <w:lang w:val="en-US" w:eastAsia="zh-CN"/>
                    </w:rPr>
                    <w:t>85600</w:t>
                  </w:r>
                </w:p>
              </w:tc>
              <w:tc>
                <w:tcPr>
                  <w:tcW w:w="2102" w:type="dxa"/>
                  <w:vAlign w:val="center"/>
                </w:tcPr>
                <w:p w14:paraId="25158179">
                  <w:pPr>
                    <w:pStyle w:val="40"/>
                    <w:bidi w:val="0"/>
                    <w:rPr>
                      <w:rFonts w:hint="default"/>
                      <w:lang w:val="en-US" w:eastAsia="zh-CN"/>
                    </w:rPr>
                  </w:pPr>
                  <w:r>
                    <w:rPr>
                      <w:rFonts w:hint="eastAsia"/>
                      <w:lang w:val="en-US" w:eastAsia="zh-CN"/>
                    </w:rPr>
                    <w:t>投料除尘灰</w:t>
                  </w:r>
                </w:p>
              </w:tc>
              <w:tc>
                <w:tcPr>
                  <w:tcW w:w="2102" w:type="dxa"/>
                  <w:vAlign w:val="center"/>
                </w:tcPr>
                <w:p w14:paraId="3EA81403">
                  <w:pPr>
                    <w:pStyle w:val="40"/>
                    <w:bidi w:val="0"/>
                    <w:rPr>
                      <w:rFonts w:hint="default"/>
                      <w:lang w:val="en-US" w:eastAsia="zh-CN"/>
                    </w:rPr>
                  </w:pPr>
                  <w:r>
                    <w:rPr>
                      <w:rFonts w:hint="eastAsia"/>
                      <w:lang w:val="en-US" w:eastAsia="zh-CN"/>
                    </w:rPr>
                    <w:t>0.959</w:t>
                  </w:r>
                </w:p>
              </w:tc>
            </w:tr>
            <w:tr w14:paraId="67D9F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102" w:type="dxa"/>
                  <w:gridSpan w:val="2"/>
                  <w:vMerge w:val="continue"/>
                  <w:vAlign w:val="center"/>
                </w:tcPr>
                <w:p w14:paraId="51830D07">
                  <w:pPr>
                    <w:pStyle w:val="40"/>
                    <w:bidi w:val="0"/>
                    <w:rPr>
                      <w:rFonts w:hint="eastAsia"/>
                      <w:lang w:val="en-US" w:eastAsia="zh-CN"/>
                    </w:rPr>
                  </w:pPr>
                </w:p>
              </w:tc>
              <w:tc>
                <w:tcPr>
                  <w:tcW w:w="2103" w:type="dxa"/>
                  <w:vMerge w:val="continue"/>
                  <w:vAlign w:val="center"/>
                </w:tcPr>
                <w:p w14:paraId="7BE7BDB9">
                  <w:pPr>
                    <w:pStyle w:val="40"/>
                    <w:bidi w:val="0"/>
                    <w:rPr>
                      <w:rFonts w:hint="eastAsia"/>
                      <w:lang w:val="en-US" w:eastAsia="zh-CN"/>
                    </w:rPr>
                  </w:pPr>
                </w:p>
              </w:tc>
              <w:tc>
                <w:tcPr>
                  <w:tcW w:w="2102" w:type="dxa"/>
                  <w:shd w:val="clear" w:color="auto" w:fill="auto"/>
                  <w:vAlign w:val="center"/>
                </w:tcPr>
                <w:p w14:paraId="4A4E77AE">
                  <w:pPr>
                    <w:pStyle w:val="40"/>
                    <w:bidi w:val="0"/>
                    <w:rPr>
                      <w:rFonts w:hint="eastAsia"/>
                      <w:lang w:val="en-US" w:eastAsia="zh-CN"/>
                    </w:rPr>
                  </w:pPr>
                  <w:r>
                    <w:rPr>
                      <w:rFonts w:hint="eastAsia"/>
                      <w:lang w:val="en-US" w:eastAsia="zh-CN"/>
                    </w:rPr>
                    <w:t>搅拌除尘灰</w:t>
                  </w:r>
                </w:p>
              </w:tc>
              <w:tc>
                <w:tcPr>
                  <w:tcW w:w="2102" w:type="dxa"/>
                  <w:shd w:val="clear" w:color="auto" w:fill="auto"/>
                  <w:vAlign w:val="center"/>
                </w:tcPr>
                <w:p w14:paraId="542B084F">
                  <w:pPr>
                    <w:pStyle w:val="40"/>
                    <w:bidi w:val="0"/>
                    <w:rPr>
                      <w:rFonts w:hint="eastAsia"/>
                      <w:lang w:val="en-US" w:eastAsia="zh-CN"/>
                    </w:rPr>
                  </w:pPr>
                  <w:r>
                    <w:rPr>
                      <w:rFonts w:hint="eastAsia"/>
                      <w:lang w:val="en-US" w:eastAsia="zh-CN"/>
                    </w:rPr>
                    <w:t>80.092</w:t>
                  </w:r>
                </w:p>
              </w:tc>
            </w:tr>
            <w:tr w14:paraId="2799F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2102" w:type="dxa"/>
                  <w:gridSpan w:val="2"/>
                  <w:vMerge w:val="restart"/>
                  <w:vAlign w:val="center"/>
                </w:tcPr>
                <w:p w14:paraId="596B9DC2">
                  <w:pPr>
                    <w:pStyle w:val="40"/>
                    <w:bidi w:val="0"/>
                    <w:rPr>
                      <w:rFonts w:hint="default"/>
                      <w:lang w:val="en-US" w:eastAsia="zh-CN"/>
                    </w:rPr>
                  </w:pPr>
                  <w:r>
                    <w:rPr>
                      <w:rFonts w:hint="eastAsia"/>
                      <w:lang w:val="en-US" w:eastAsia="zh-CN"/>
                    </w:rPr>
                    <w:t>减水剂</w:t>
                  </w:r>
                </w:p>
              </w:tc>
              <w:tc>
                <w:tcPr>
                  <w:tcW w:w="2103" w:type="dxa"/>
                  <w:vMerge w:val="restart"/>
                  <w:vAlign w:val="center"/>
                </w:tcPr>
                <w:p w14:paraId="1C488933">
                  <w:pPr>
                    <w:pStyle w:val="40"/>
                    <w:bidi w:val="0"/>
                    <w:rPr>
                      <w:rFonts w:hint="default"/>
                      <w:lang w:val="en-US" w:eastAsia="zh-CN"/>
                    </w:rPr>
                  </w:pPr>
                  <w:r>
                    <w:rPr>
                      <w:rFonts w:hint="eastAsia"/>
                      <w:lang w:val="en-US" w:eastAsia="zh-CN"/>
                    </w:rPr>
                    <w:t>720</w:t>
                  </w:r>
                </w:p>
              </w:tc>
              <w:tc>
                <w:tcPr>
                  <w:tcW w:w="2102" w:type="dxa"/>
                  <w:shd w:val="clear" w:color="auto" w:fill="auto"/>
                  <w:vAlign w:val="center"/>
                </w:tcPr>
                <w:p w14:paraId="786BDF3D">
                  <w:pPr>
                    <w:pStyle w:val="40"/>
                    <w:bidi w:val="0"/>
                    <w:rPr>
                      <w:rFonts w:hint="default"/>
                      <w:lang w:val="en-US" w:eastAsia="zh-CN"/>
                    </w:rPr>
                  </w:pPr>
                  <w:r>
                    <w:rPr>
                      <w:rFonts w:hint="eastAsia"/>
                      <w:lang w:val="en-US" w:eastAsia="zh-CN"/>
                    </w:rPr>
                    <w:t>投料工序无组织逸散粉尘</w:t>
                  </w:r>
                </w:p>
              </w:tc>
              <w:tc>
                <w:tcPr>
                  <w:tcW w:w="2102" w:type="dxa"/>
                  <w:shd w:val="clear" w:color="auto" w:fill="auto"/>
                  <w:vAlign w:val="center"/>
                </w:tcPr>
                <w:p w14:paraId="1E639C07">
                  <w:pPr>
                    <w:pStyle w:val="40"/>
                    <w:bidi w:val="0"/>
                    <w:rPr>
                      <w:rFonts w:hint="default"/>
                      <w:lang w:val="en-US" w:eastAsia="zh-CN"/>
                    </w:rPr>
                  </w:pPr>
                  <w:r>
                    <w:rPr>
                      <w:rFonts w:hint="eastAsia"/>
                      <w:lang w:val="en-US" w:eastAsia="zh-CN"/>
                    </w:rPr>
                    <w:t>0.518</w:t>
                  </w:r>
                </w:p>
              </w:tc>
            </w:tr>
            <w:tr w14:paraId="6CAAB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2102" w:type="dxa"/>
                  <w:gridSpan w:val="2"/>
                  <w:vMerge w:val="continue"/>
                  <w:vAlign w:val="center"/>
                </w:tcPr>
                <w:p w14:paraId="6F8BFB95">
                  <w:pPr>
                    <w:pStyle w:val="40"/>
                    <w:bidi w:val="0"/>
                    <w:rPr>
                      <w:rFonts w:hint="eastAsia"/>
                      <w:lang w:val="en-US" w:eastAsia="zh-CN"/>
                    </w:rPr>
                  </w:pPr>
                </w:p>
              </w:tc>
              <w:tc>
                <w:tcPr>
                  <w:tcW w:w="2103" w:type="dxa"/>
                  <w:vMerge w:val="continue"/>
                  <w:vAlign w:val="center"/>
                </w:tcPr>
                <w:p w14:paraId="6FCF1FF0">
                  <w:pPr>
                    <w:pStyle w:val="40"/>
                    <w:bidi w:val="0"/>
                    <w:rPr>
                      <w:rFonts w:hint="eastAsia"/>
                      <w:lang w:val="en-US" w:eastAsia="zh-CN"/>
                    </w:rPr>
                  </w:pPr>
                </w:p>
              </w:tc>
              <w:tc>
                <w:tcPr>
                  <w:tcW w:w="2102" w:type="dxa"/>
                  <w:shd w:val="clear" w:color="auto" w:fill="auto"/>
                  <w:vAlign w:val="center"/>
                </w:tcPr>
                <w:p w14:paraId="7CFE863A">
                  <w:pPr>
                    <w:pStyle w:val="40"/>
                    <w:bidi w:val="0"/>
                    <w:rPr>
                      <w:rFonts w:hint="eastAsia"/>
                      <w:lang w:val="en-US" w:eastAsia="zh-CN"/>
                    </w:rPr>
                  </w:pPr>
                  <w:r>
                    <w:rPr>
                      <w:rFonts w:hint="eastAsia"/>
                      <w:lang w:val="en-US" w:eastAsia="zh-CN"/>
                    </w:rPr>
                    <w:t>搅拌工序无组织逸散粉尘</w:t>
                  </w:r>
                </w:p>
              </w:tc>
              <w:tc>
                <w:tcPr>
                  <w:tcW w:w="2102" w:type="dxa"/>
                  <w:shd w:val="clear" w:color="auto" w:fill="auto"/>
                  <w:vAlign w:val="center"/>
                </w:tcPr>
                <w:p w14:paraId="5DF87051">
                  <w:pPr>
                    <w:pStyle w:val="40"/>
                    <w:bidi w:val="0"/>
                    <w:rPr>
                      <w:rFonts w:hint="eastAsia"/>
                      <w:lang w:val="en-US" w:eastAsia="zh-CN"/>
                    </w:rPr>
                  </w:pPr>
                  <w:r>
                    <w:rPr>
                      <w:rFonts w:hint="eastAsia"/>
                      <w:lang w:val="en-US" w:eastAsia="zh-CN"/>
                    </w:rPr>
                    <w:t>20.083</w:t>
                  </w:r>
                </w:p>
              </w:tc>
            </w:tr>
            <w:tr w14:paraId="3524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2102" w:type="dxa"/>
                  <w:gridSpan w:val="2"/>
                  <w:vMerge w:val="restart"/>
                  <w:vAlign w:val="center"/>
                </w:tcPr>
                <w:p w14:paraId="76CA8A06">
                  <w:pPr>
                    <w:pStyle w:val="40"/>
                    <w:bidi w:val="0"/>
                    <w:rPr>
                      <w:rFonts w:hint="default"/>
                      <w:lang w:val="en-US" w:eastAsia="zh-CN"/>
                    </w:rPr>
                  </w:pPr>
                  <w:r>
                    <w:rPr>
                      <w:rFonts w:hint="eastAsia"/>
                      <w:lang w:val="en-US" w:eastAsia="zh-CN"/>
                    </w:rPr>
                    <w:t>水</w:t>
                  </w:r>
                </w:p>
              </w:tc>
              <w:tc>
                <w:tcPr>
                  <w:tcW w:w="2103" w:type="dxa"/>
                  <w:vMerge w:val="restart"/>
                  <w:vAlign w:val="center"/>
                </w:tcPr>
                <w:p w14:paraId="2ED15C3F">
                  <w:pPr>
                    <w:pStyle w:val="40"/>
                    <w:bidi w:val="0"/>
                    <w:rPr>
                      <w:rFonts w:hint="default"/>
                      <w:lang w:val="en-US" w:eastAsia="zh-CN"/>
                    </w:rPr>
                  </w:pPr>
                  <w:r>
                    <w:rPr>
                      <w:rFonts w:hint="eastAsia"/>
                      <w:lang w:val="en-US" w:eastAsia="zh-CN"/>
                    </w:rPr>
                    <w:t>12000</w:t>
                  </w:r>
                </w:p>
              </w:tc>
              <w:tc>
                <w:tcPr>
                  <w:tcW w:w="2102" w:type="dxa"/>
                  <w:shd w:val="clear" w:color="auto" w:fill="auto"/>
                  <w:vAlign w:val="center"/>
                </w:tcPr>
                <w:p w14:paraId="3F9479A9">
                  <w:pPr>
                    <w:pStyle w:val="40"/>
                    <w:bidi w:val="0"/>
                    <w:rPr>
                      <w:rFonts w:hint="default"/>
                      <w:lang w:val="en-US" w:eastAsia="zh-CN"/>
                    </w:rPr>
                  </w:pPr>
                  <w:r>
                    <w:rPr>
                      <w:rFonts w:hint="eastAsia"/>
                      <w:lang w:val="en-US" w:eastAsia="zh-CN"/>
                    </w:rPr>
                    <w:t>蒸发水25%</w:t>
                  </w:r>
                </w:p>
              </w:tc>
              <w:tc>
                <w:tcPr>
                  <w:tcW w:w="2102" w:type="dxa"/>
                  <w:shd w:val="clear" w:color="auto" w:fill="auto"/>
                  <w:vAlign w:val="center"/>
                </w:tcPr>
                <w:p w14:paraId="2AABC512">
                  <w:pPr>
                    <w:pStyle w:val="40"/>
                    <w:bidi w:val="0"/>
                    <w:rPr>
                      <w:rFonts w:hint="default"/>
                      <w:lang w:val="en-US" w:eastAsia="zh-CN"/>
                    </w:rPr>
                  </w:pPr>
                  <w:r>
                    <w:rPr>
                      <w:rFonts w:hint="eastAsia"/>
                      <w:lang w:val="en-US" w:eastAsia="zh-CN"/>
                    </w:rPr>
                    <w:t>3000</w:t>
                  </w:r>
                </w:p>
              </w:tc>
            </w:tr>
            <w:tr w14:paraId="2F12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2102" w:type="dxa"/>
                  <w:gridSpan w:val="2"/>
                  <w:vMerge w:val="continue"/>
                  <w:vAlign w:val="center"/>
                </w:tcPr>
                <w:p w14:paraId="218C313F">
                  <w:pPr>
                    <w:pStyle w:val="40"/>
                    <w:bidi w:val="0"/>
                    <w:rPr>
                      <w:rFonts w:hint="eastAsia"/>
                      <w:lang w:val="en-US" w:eastAsia="zh-CN"/>
                    </w:rPr>
                  </w:pPr>
                </w:p>
              </w:tc>
              <w:tc>
                <w:tcPr>
                  <w:tcW w:w="2103" w:type="dxa"/>
                  <w:vMerge w:val="continue"/>
                  <w:vAlign w:val="center"/>
                </w:tcPr>
                <w:p w14:paraId="1EB1FD8A">
                  <w:pPr>
                    <w:pStyle w:val="40"/>
                    <w:bidi w:val="0"/>
                    <w:rPr>
                      <w:rFonts w:hint="eastAsia"/>
                      <w:lang w:val="en-US" w:eastAsia="zh-CN"/>
                    </w:rPr>
                  </w:pPr>
                </w:p>
              </w:tc>
              <w:tc>
                <w:tcPr>
                  <w:tcW w:w="2102" w:type="dxa"/>
                  <w:shd w:val="clear" w:color="auto" w:fill="auto"/>
                  <w:vAlign w:val="center"/>
                </w:tcPr>
                <w:p w14:paraId="608F6F2B">
                  <w:pPr>
                    <w:pStyle w:val="40"/>
                    <w:bidi w:val="0"/>
                    <w:rPr>
                      <w:rFonts w:hint="eastAsia"/>
                      <w:lang w:val="en-US" w:eastAsia="zh-CN"/>
                    </w:rPr>
                  </w:pPr>
                  <w:r>
                    <w:rPr>
                      <w:rFonts w:hint="default"/>
                      <w:lang w:val="en-US" w:eastAsia="zh-CN"/>
                    </w:rPr>
                    <w:t>差值损耗</w:t>
                  </w:r>
                </w:p>
              </w:tc>
              <w:tc>
                <w:tcPr>
                  <w:tcW w:w="2102" w:type="dxa"/>
                  <w:shd w:val="clear" w:color="auto" w:fill="auto"/>
                  <w:vAlign w:val="center"/>
                </w:tcPr>
                <w:p w14:paraId="0EC31E27">
                  <w:pPr>
                    <w:pStyle w:val="40"/>
                    <w:bidi w:val="0"/>
                    <w:rPr>
                      <w:rFonts w:hint="default"/>
                      <w:lang w:val="en-US" w:eastAsia="zh-CN"/>
                    </w:rPr>
                  </w:pPr>
                  <w:r>
                    <w:rPr>
                      <w:rFonts w:hint="eastAsia"/>
                      <w:lang w:val="en-US" w:eastAsia="zh-CN"/>
                    </w:rPr>
                    <w:t>15.939</w:t>
                  </w:r>
                </w:p>
              </w:tc>
            </w:tr>
            <w:tr w14:paraId="3378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dxa"/>
                  <w:gridSpan w:val="2"/>
                  <w:vAlign w:val="center"/>
                </w:tcPr>
                <w:p w14:paraId="19BF49F4">
                  <w:pPr>
                    <w:pStyle w:val="40"/>
                    <w:bidi w:val="0"/>
                    <w:rPr>
                      <w:rFonts w:hint="eastAsia"/>
                      <w:lang w:val="en-US" w:eastAsia="zh-CN"/>
                    </w:rPr>
                  </w:pPr>
                  <w:r>
                    <w:rPr>
                      <w:rFonts w:hint="eastAsia"/>
                      <w:lang w:val="en-US" w:eastAsia="zh-CN"/>
                    </w:rPr>
                    <w:t>合计</w:t>
                  </w:r>
                </w:p>
              </w:tc>
              <w:tc>
                <w:tcPr>
                  <w:tcW w:w="2103" w:type="dxa"/>
                  <w:vAlign w:val="center"/>
                </w:tcPr>
                <w:p w14:paraId="4B2E9C0C">
                  <w:pPr>
                    <w:pStyle w:val="40"/>
                    <w:bidi w:val="0"/>
                    <w:rPr>
                      <w:rFonts w:hint="default"/>
                      <w:lang w:val="en-US" w:eastAsia="zh-CN"/>
                    </w:rPr>
                  </w:pPr>
                  <w:r>
                    <w:rPr>
                      <w:rFonts w:hint="eastAsia"/>
                      <w:lang w:val="en-US" w:eastAsia="zh-CN"/>
                    </w:rPr>
                    <w:t>195120</w:t>
                  </w:r>
                </w:p>
              </w:tc>
              <w:tc>
                <w:tcPr>
                  <w:tcW w:w="2102" w:type="dxa"/>
                  <w:vAlign w:val="center"/>
                </w:tcPr>
                <w:p w14:paraId="6BE55A3C">
                  <w:pPr>
                    <w:pStyle w:val="40"/>
                    <w:bidi w:val="0"/>
                    <w:rPr>
                      <w:rFonts w:hint="default"/>
                      <w:lang w:val="en-US" w:eastAsia="zh-CN"/>
                    </w:rPr>
                  </w:pPr>
                  <w:r>
                    <w:rPr>
                      <w:rFonts w:hint="eastAsia"/>
                      <w:lang w:val="en-US" w:eastAsia="zh-CN"/>
                    </w:rPr>
                    <w:t>合计</w:t>
                  </w:r>
                </w:p>
              </w:tc>
              <w:tc>
                <w:tcPr>
                  <w:tcW w:w="2102" w:type="dxa"/>
                  <w:vAlign w:val="center"/>
                </w:tcPr>
                <w:p w14:paraId="7C975BF3">
                  <w:pPr>
                    <w:pStyle w:val="40"/>
                    <w:bidi w:val="0"/>
                    <w:rPr>
                      <w:rFonts w:hint="default"/>
                      <w:lang w:val="en-US" w:eastAsia="zh-CN"/>
                    </w:rPr>
                  </w:pPr>
                  <w:r>
                    <w:rPr>
                      <w:rFonts w:hint="eastAsia"/>
                      <w:lang w:val="en-US" w:eastAsia="zh-CN"/>
                    </w:rPr>
                    <w:t>195120</w:t>
                  </w:r>
                </w:p>
              </w:tc>
            </w:tr>
          </w:tbl>
          <w:p w14:paraId="07C7372C">
            <w:pPr>
              <w:pStyle w:val="42"/>
              <w:bidi w:val="0"/>
              <w:rPr>
                <w:rFonts w:hint="default"/>
                <w:lang w:val="en-US" w:eastAsia="zh-CN"/>
              </w:rPr>
            </w:pPr>
            <w:r>
              <w:rPr>
                <w:rFonts w:hint="default"/>
                <w:lang w:val="en-US" w:eastAsia="zh-CN"/>
              </w:rPr>
              <w:t>表2-</w:t>
            </w:r>
            <w:r>
              <w:rPr>
                <w:rFonts w:hint="eastAsia"/>
                <w:lang w:val="en-US" w:eastAsia="zh-CN"/>
              </w:rPr>
              <w:t>8</w:t>
            </w:r>
            <w:r>
              <w:rPr>
                <w:rFonts w:hint="default"/>
                <w:lang w:val="en-US" w:eastAsia="zh-CN"/>
              </w:rPr>
              <w:t xml:space="preserve">    </w:t>
            </w:r>
            <w:r>
              <w:rPr>
                <w:rFonts w:hint="eastAsia"/>
                <w:lang w:val="en-US" w:eastAsia="zh-CN"/>
              </w:rPr>
              <w:t>水泥砖</w:t>
            </w:r>
            <w:r>
              <w:rPr>
                <w:rFonts w:hint="default"/>
                <w:lang w:val="en-US" w:eastAsia="zh-CN"/>
              </w:rPr>
              <w:t>物料平衡一览表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7"/>
              <w:gridCol w:w="3"/>
              <w:gridCol w:w="2025"/>
              <w:gridCol w:w="2030"/>
              <w:gridCol w:w="2025"/>
            </w:tblGrid>
            <w:tr w14:paraId="182C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5" w:type="dxa"/>
                  <w:gridSpan w:val="3"/>
                  <w:vAlign w:val="center"/>
                </w:tcPr>
                <w:p w14:paraId="70825371">
                  <w:pPr>
                    <w:pStyle w:val="40"/>
                    <w:bidi w:val="0"/>
                    <w:rPr>
                      <w:rFonts w:hint="default"/>
                      <w:lang w:val="en-US" w:eastAsia="zh-CN"/>
                    </w:rPr>
                  </w:pPr>
                  <w:r>
                    <w:rPr>
                      <w:rFonts w:hint="eastAsia"/>
                      <w:lang w:val="en-US" w:eastAsia="zh-CN"/>
                    </w:rPr>
                    <w:t>投入</w:t>
                  </w:r>
                </w:p>
              </w:tc>
              <w:tc>
                <w:tcPr>
                  <w:tcW w:w="4204" w:type="dxa"/>
                  <w:gridSpan w:val="2"/>
                  <w:vAlign w:val="center"/>
                </w:tcPr>
                <w:p w14:paraId="5921A3FE">
                  <w:pPr>
                    <w:pStyle w:val="40"/>
                    <w:bidi w:val="0"/>
                    <w:rPr>
                      <w:rFonts w:hint="default"/>
                      <w:lang w:val="en-US" w:eastAsia="zh-CN"/>
                    </w:rPr>
                  </w:pPr>
                  <w:r>
                    <w:rPr>
                      <w:rFonts w:hint="eastAsia"/>
                      <w:lang w:val="en-US" w:eastAsia="zh-CN"/>
                    </w:rPr>
                    <w:t>产出</w:t>
                  </w:r>
                </w:p>
              </w:tc>
            </w:tr>
            <w:tr w14:paraId="269D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9" w:type="dxa"/>
                  <w:vAlign w:val="center"/>
                </w:tcPr>
                <w:p w14:paraId="1AE6A353">
                  <w:pPr>
                    <w:pStyle w:val="40"/>
                    <w:bidi w:val="0"/>
                    <w:rPr>
                      <w:rFonts w:hint="default"/>
                      <w:lang w:val="en-US" w:eastAsia="zh-CN"/>
                    </w:rPr>
                  </w:pPr>
                  <w:r>
                    <w:rPr>
                      <w:rFonts w:hint="eastAsia"/>
                      <w:lang w:val="en-US" w:eastAsia="zh-CN"/>
                    </w:rPr>
                    <w:t>名称</w:t>
                  </w:r>
                </w:p>
              </w:tc>
              <w:tc>
                <w:tcPr>
                  <w:tcW w:w="2106" w:type="dxa"/>
                  <w:gridSpan w:val="2"/>
                  <w:vAlign w:val="center"/>
                </w:tcPr>
                <w:p w14:paraId="4F81795C">
                  <w:pPr>
                    <w:pStyle w:val="40"/>
                    <w:bidi w:val="0"/>
                    <w:rPr>
                      <w:rFonts w:hint="default"/>
                      <w:lang w:val="en-US" w:eastAsia="zh-CN"/>
                    </w:rPr>
                  </w:pPr>
                  <w:r>
                    <w:rPr>
                      <w:rFonts w:hint="eastAsia"/>
                      <w:lang w:val="en-US" w:eastAsia="zh-CN"/>
                    </w:rPr>
                    <w:t>消耗量（t/a）</w:t>
                  </w:r>
                </w:p>
              </w:tc>
              <w:tc>
                <w:tcPr>
                  <w:tcW w:w="2102" w:type="dxa"/>
                  <w:vAlign w:val="center"/>
                </w:tcPr>
                <w:p w14:paraId="15AF81B7">
                  <w:pPr>
                    <w:pStyle w:val="40"/>
                    <w:bidi w:val="0"/>
                    <w:rPr>
                      <w:rFonts w:hint="default"/>
                      <w:lang w:val="en-US" w:eastAsia="zh-CN"/>
                    </w:rPr>
                  </w:pPr>
                  <w:r>
                    <w:rPr>
                      <w:rFonts w:hint="eastAsia"/>
                      <w:lang w:val="en-US" w:eastAsia="zh-CN"/>
                    </w:rPr>
                    <w:t>名称</w:t>
                  </w:r>
                </w:p>
              </w:tc>
              <w:tc>
                <w:tcPr>
                  <w:tcW w:w="2102" w:type="dxa"/>
                  <w:vAlign w:val="center"/>
                </w:tcPr>
                <w:p w14:paraId="62634A4D">
                  <w:pPr>
                    <w:pStyle w:val="40"/>
                    <w:bidi w:val="0"/>
                    <w:rPr>
                      <w:rFonts w:hint="default"/>
                      <w:lang w:val="en-US" w:eastAsia="zh-CN"/>
                    </w:rPr>
                  </w:pPr>
                  <w:r>
                    <w:rPr>
                      <w:rFonts w:hint="eastAsia"/>
                      <w:lang w:val="en-US" w:eastAsia="zh-CN"/>
                    </w:rPr>
                    <w:t>消耗量（t/a）</w:t>
                  </w:r>
                </w:p>
              </w:tc>
            </w:tr>
            <w:tr w14:paraId="1A557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dxa"/>
                  <w:gridSpan w:val="2"/>
                  <w:vAlign w:val="center"/>
                </w:tcPr>
                <w:p w14:paraId="012AFBF6">
                  <w:pPr>
                    <w:pStyle w:val="40"/>
                    <w:bidi w:val="0"/>
                    <w:rPr>
                      <w:rFonts w:hint="default"/>
                      <w:lang w:val="en-US" w:eastAsia="zh-CN"/>
                    </w:rPr>
                  </w:pPr>
                  <w:r>
                    <w:rPr>
                      <w:rFonts w:hint="eastAsia"/>
                      <w:lang w:val="en-US" w:eastAsia="zh-CN"/>
                    </w:rPr>
                    <w:t>水泥</w:t>
                  </w:r>
                </w:p>
              </w:tc>
              <w:tc>
                <w:tcPr>
                  <w:tcW w:w="2103" w:type="dxa"/>
                  <w:vAlign w:val="center"/>
                </w:tcPr>
                <w:p w14:paraId="1EABBCF5">
                  <w:pPr>
                    <w:pStyle w:val="40"/>
                    <w:bidi w:val="0"/>
                    <w:rPr>
                      <w:rFonts w:hint="default"/>
                      <w:lang w:val="en-US" w:eastAsia="zh-CN"/>
                    </w:rPr>
                  </w:pPr>
                  <w:r>
                    <w:rPr>
                      <w:rFonts w:hint="eastAsia"/>
                      <w:lang w:val="en-US" w:eastAsia="zh-CN"/>
                    </w:rPr>
                    <w:t>3500</w:t>
                  </w:r>
                </w:p>
              </w:tc>
              <w:tc>
                <w:tcPr>
                  <w:tcW w:w="2102" w:type="dxa"/>
                  <w:vAlign w:val="center"/>
                </w:tcPr>
                <w:p w14:paraId="42565312">
                  <w:pPr>
                    <w:pStyle w:val="40"/>
                    <w:bidi w:val="0"/>
                    <w:rPr>
                      <w:rFonts w:hint="default"/>
                      <w:lang w:val="en-US" w:eastAsia="zh-CN"/>
                    </w:rPr>
                  </w:pPr>
                  <w:r>
                    <w:rPr>
                      <w:rFonts w:hint="eastAsia"/>
                      <w:lang w:val="en-US" w:eastAsia="zh-CN"/>
                    </w:rPr>
                    <w:t>产品（1000万块水泥砖）</w:t>
                  </w:r>
                </w:p>
              </w:tc>
              <w:tc>
                <w:tcPr>
                  <w:tcW w:w="2102" w:type="dxa"/>
                  <w:vAlign w:val="center"/>
                </w:tcPr>
                <w:p w14:paraId="7352E454">
                  <w:pPr>
                    <w:pStyle w:val="40"/>
                    <w:bidi w:val="0"/>
                    <w:rPr>
                      <w:rFonts w:hint="default"/>
                      <w:lang w:val="en-US" w:eastAsia="zh-CN"/>
                    </w:rPr>
                  </w:pPr>
                  <w:r>
                    <w:rPr>
                      <w:rFonts w:hint="eastAsia"/>
                      <w:lang w:val="en-US" w:eastAsia="zh-CN"/>
                    </w:rPr>
                    <w:t>25000</w:t>
                  </w:r>
                </w:p>
              </w:tc>
            </w:tr>
            <w:tr w14:paraId="3E41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dxa"/>
                  <w:gridSpan w:val="2"/>
                  <w:vAlign w:val="center"/>
                </w:tcPr>
                <w:p w14:paraId="59BDD8F6">
                  <w:pPr>
                    <w:pStyle w:val="40"/>
                    <w:bidi w:val="0"/>
                    <w:rPr>
                      <w:rFonts w:hint="default"/>
                      <w:lang w:val="en-US" w:eastAsia="zh-CN"/>
                    </w:rPr>
                  </w:pPr>
                  <w:r>
                    <w:rPr>
                      <w:rFonts w:hint="eastAsia"/>
                      <w:lang w:val="en-US" w:eastAsia="zh-CN"/>
                    </w:rPr>
                    <w:t>粉煤灰</w:t>
                  </w:r>
                </w:p>
              </w:tc>
              <w:tc>
                <w:tcPr>
                  <w:tcW w:w="2103" w:type="dxa"/>
                  <w:vAlign w:val="center"/>
                </w:tcPr>
                <w:p w14:paraId="6F7A2042">
                  <w:pPr>
                    <w:pStyle w:val="40"/>
                    <w:bidi w:val="0"/>
                    <w:rPr>
                      <w:rFonts w:hint="default"/>
                      <w:lang w:val="en-US" w:eastAsia="zh-CN"/>
                    </w:rPr>
                  </w:pPr>
                  <w:r>
                    <w:rPr>
                      <w:rFonts w:hint="eastAsia"/>
                      <w:lang w:val="en-US" w:eastAsia="zh-CN"/>
                    </w:rPr>
                    <w:t>1500</w:t>
                  </w:r>
                </w:p>
              </w:tc>
              <w:tc>
                <w:tcPr>
                  <w:tcW w:w="2102" w:type="dxa"/>
                  <w:vAlign w:val="center"/>
                </w:tcPr>
                <w:p w14:paraId="6B541336">
                  <w:pPr>
                    <w:pStyle w:val="40"/>
                    <w:bidi w:val="0"/>
                    <w:rPr>
                      <w:rFonts w:hint="default"/>
                      <w:lang w:val="en-US" w:eastAsia="zh-CN"/>
                    </w:rPr>
                  </w:pPr>
                  <w:r>
                    <w:rPr>
                      <w:rFonts w:hint="eastAsia"/>
                      <w:lang w:val="en-US" w:eastAsia="zh-CN"/>
                    </w:rPr>
                    <w:t>水泥筒仓除尘灰</w:t>
                  </w:r>
                </w:p>
              </w:tc>
              <w:tc>
                <w:tcPr>
                  <w:tcW w:w="2102" w:type="dxa"/>
                  <w:vAlign w:val="center"/>
                </w:tcPr>
                <w:p w14:paraId="55520AF0">
                  <w:pPr>
                    <w:pStyle w:val="40"/>
                    <w:bidi w:val="0"/>
                    <w:rPr>
                      <w:rFonts w:hint="default"/>
                      <w:lang w:val="en-US" w:eastAsia="zh-CN"/>
                    </w:rPr>
                  </w:pPr>
                  <w:r>
                    <w:rPr>
                      <w:rFonts w:hint="eastAsia"/>
                      <w:lang w:val="en-US" w:eastAsia="zh-CN"/>
                    </w:rPr>
                    <w:t>1.292</w:t>
                  </w:r>
                </w:p>
              </w:tc>
            </w:tr>
            <w:tr w14:paraId="3DE82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dxa"/>
                  <w:gridSpan w:val="2"/>
                  <w:vAlign w:val="center"/>
                </w:tcPr>
                <w:p w14:paraId="633981FB">
                  <w:pPr>
                    <w:pStyle w:val="40"/>
                    <w:bidi w:val="0"/>
                    <w:rPr>
                      <w:rFonts w:hint="default"/>
                      <w:lang w:val="en-US" w:eastAsia="zh-CN"/>
                    </w:rPr>
                  </w:pPr>
                  <w:r>
                    <w:rPr>
                      <w:rFonts w:hint="eastAsia"/>
                      <w:lang w:val="en-US" w:eastAsia="zh-CN"/>
                    </w:rPr>
                    <w:t>砂</w:t>
                  </w:r>
                </w:p>
              </w:tc>
              <w:tc>
                <w:tcPr>
                  <w:tcW w:w="2103" w:type="dxa"/>
                  <w:vAlign w:val="center"/>
                </w:tcPr>
                <w:p w14:paraId="4A344AD5">
                  <w:pPr>
                    <w:pStyle w:val="40"/>
                    <w:bidi w:val="0"/>
                    <w:rPr>
                      <w:rFonts w:hint="default"/>
                      <w:lang w:val="en-US" w:eastAsia="zh-CN"/>
                    </w:rPr>
                  </w:pPr>
                  <w:r>
                    <w:rPr>
                      <w:rFonts w:hint="eastAsia"/>
                      <w:lang w:val="en-US" w:eastAsia="zh-CN"/>
                    </w:rPr>
                    <w:t>8000</w:t>
                  </w:r>
                </w:p>
              </w:tc>
              <w:tc>
                <w:tcPr>
                  <w:tcW w:w="2102" w:type="dxa"/>
                  <w:vAlign w:val="center"/>
                </w:tcPr>
                <w:p w14:paraId="45CBE926">
                  <w:pPr>
                    <w:pStyle w:val="40"/>
                    <w:bidi w:val="0"/>
                    <w:rPr>
                      <w:rFonts w:hint="default"/>
                      <w:lang w:val="en-US" w:eastAsia="zh-CN"/>
                    </w:rPr>
                  </w:pPr>
                  <w:r>
                    <w:rPr>
                      <w:rFonts w:hint="eastAsia"/>
                      <w:lang w:val="en-US" w:eastAsia="zh-CN"/>
                    </w:rPr>
                    <w:t>粉煤灰筒仓除尘灰</w:t>
                  </w:r>
                </w:p>
              </w:tc>
              <w:tc>
                <w:tcPr>
                  <w:tcW w:w="2102" w:type="dxa"/>
                  <w:vAlign w:val="center"/>
                </w:tcPr>
                <w:p w14:paraId="3A0A2FB5">
                  <w:pPr>
                    <w:pStyle w:val="40"/>
                    <w:bidi w:val="0"/>
                    <w:rPr>
                      <w:rFonts w:hint="default"/>
                      <w:lang w:val="en-US" w:eastAsia="zh-CN"/>
                    </w:rPr>
                  </w:pPr>
                  <w:r>
                    <w:rPr>
                      <w:rFonts w:hint="eastAsia"/>
                      <w:lang w:val="en-US" w:eastAsia="zh-CN"/>
                    </w:rPr>
                    <w:t>1.117</w:t>
                  </w:r>
                </w:p>
              </w:tc>
            </w:tr>
            <w:tr w14:paraId="6FD4C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2102" w:type="dxa"/>
                  <w:gridSpan w:val="2"/>
                  <w:vMerge w:val="restart"/>
                  <w:vAlign w:val="center"/>
                </w:tcPr>
                <w:p w14:paraId="1C7DDC6F">
                  <w:pPr>
                    <w:pStyle w:val="40"/>
                    <w:bidi w:val="0"/>
                    <w:rPr>
                      <w:rFonts w:hint="default"/>
                      <w:lang w:val="en-US" w:eastAsia="zh-CN"/>
                    </w:rPr>
                  </w:pPr>
                  <w:r>
                    <w:rPr>
                      <w:rFonts w:hint="eastAsia"/>
                      <w:lang w:val="en-US" w:eastAsia="zh-CN"/>
                    </w:rPr>
                    <w:t xml:space="preserve">石子 </w:t>
                  </w:r>
                </w:p>
              </w:tc>
              <w:tc>
                <w:tcPr>
                  <w:tcW w:w="2103" w:type="dxa"/>
                  <w:vMerge w:val="restart"/>
                  <w:vAlign w:val="center"/>
                </w:tcPr>
                <w:p w14:paraId="0C8A64A9">
                  <w:pPr>
                    <w:pStyle w:val="40"/>
                    <w:bidi w:val="0"/>
                    <w:rPr>
                      <w:rFonts w:hint="default"/>
                      <w:lang w:val="en-US" w:eastAsia="zh-CN"/>
                    </w:rPr>
                  </w:pPr>
                  <w:r>
                    <w:rPr>
                      <w:rFonts w:hint="eastAsia"/>
                      <w:lang w:val="en-US" w:eastAsia="zh-CN"/>
                    </w:rPr>
                    <w:t>12700</w:t>
                  </w:r>
                </w:p>
              </w:tc>
              <w:tc>
                <w:tcPr>
                  <w:tcW w:w="2102" w:type="dxa"/>
                  <w:vAlign w:val="center"/>
                </w:tcPr>
                <w:p w14:paraId="39C76587">
                  <w:pPr>
                    <w:pStyle w:val="40"/>
                    <w:bidi w:val="0"/>
                    <w:rPr>
                      <w:rFonts w:hint="default"/>
                      <w:lang w:val="en-US" w:eastAsia="zh-CN"/>
                    </w:rPr>
                  </w:pPr>
                  <w:r>
                    <w:rPr>
                      <w:rFonts w:hint="eastAsia"/>
                      <w:lang w:val="en-US" w:eastAsia="zh-CN"/>
                    </w:rPr>
                    <w:t>投料除尘灰</w:t>
                  </w:r>
                </w:p>
              </w:tc>
              <w:tc>
                <w:tcPr>
                  <w:tcW w:w="2102" w:type="dxa"/>
                  <w:vAlign w:val="center"/>
                </w:tcPr>
                <w:p w14:paraId="0E96F584">
                  <w:pPr>
                    <w:pStyle w:val="40"/>
                    <w:bidi w:val="0"/>
                    <w:rPr>
                      <w:rFonts w:hint="default"/>
                      <w:lang w:val="en-US" w:eastAsia="zh-CN"/>
                    </w:rPr>
                  </w:pPr>
                  <w:r>
                    <w:rPr>
                      <w:rFonts w:hint="eastAsia"/>
                      <w:lang w:val="en-US" w:eastAsia="zh-CN"/>
                    </w:rPr>
                    <w:t>0.134</w:t>
                  </w:r>
                </w:p>
              </w:tc>
            </w:tr>
            <w:tr w14:paraId="5BF8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102" w:type="dxa"/>
                  <w:gridSpan w:val="2"/>
                  <w:vMerge w:val="continue"/>
                  <w:vAlign w:val="center"/>
                </w:tcPr>
                <w:p w14:paraId="732C6CF7">
                  <w:pPr>
                    <w:pStyle w:val="40"/>
                    <w:bidi w:val="0"/>
                    <w:rPr>
                      <w:rFonts w:hint="eastAsia"/>
                      <w:lang w:val="en-US" w:eastAsia="zh-CN"/>
                    </w:rPr>
                  </w:pPr>
                </w:p>
              </w:tc>
              <w:tc>
                <w:tcPr>
                  <w:tcW w:w="2103" w:type="dxa"/>
                  <w:vMerge w:val="continue"/>
                  <w:vAlign w:val="center"/>
                </w:tcPr>
                <w:p w14:paraId="77484DED">
                  <w:pPr>
                    <w:pStyle w:val="40"/>
                    <w:bidi w:val="0"/>
                    <w:rPr>
                      <w:rFonts w:hint="eastAsia"/>
                      <w:lang w:val="en-US" w:eastAsia="zh-CN"/>
                    </w:rPr>
                  </w:pPr>
                </w:p>
              </w:tc>
              <w:tc>
                <w:tcPr>
                  <w:tcW w:w="2102" w:type="dxa"/>
                  <w:shd w:val="clear" w:color="auto" w:fill="auto"/>
                  <w:vAlign w:val="center"/>
                </w:tcPr>
                <w:p w14:paraId="500C34B2">
                  <w:pPr>
                    <w:pStyle w:val="40"/>
                    <w:bidi w:val="0"/>
                    <w:rPr>
                      <w:rFonts w:hint="eastAsia"/>
                      <w:lang w:val="en-US" w:eastAsia="zh-CN"/>
                    </w:rPr>
                  </w:pPr>
                  <w:r>
                    <w:rPr>
                      <w:rFonts w:hint="eastAsia"/>
                      <w:lang w:val="en-US" w:eastAsia="zh-CN"/>
                    </w:rPr>
                    <w:t>搅拌除尘灰</w:t>
                  </w:r>
                </w:p>
              </w:tc>
              <w:tc>
                <w:tcPr>
                  <w:tcW w:w="2102" w:type="dxa"/>
                  <w:shd w:val="clear" w:color="auto" w:fill="auto"/>
                  <w:vAlign w:val="center"/>
                </w:tcPr>
                <w:p w14:paraId="35CEAF33">
                  <w:pPr>
                    <w:pStyle w:val="40"/>
                    <w:bidi w:val="0"/>
                    <w:rPr>
                      <w:rFonts w:hint="eastAsia"/>
                      <w:lang w:val="en-US" w:eastAsia="zh-CN"/>
                    </w:rPr>
                  </w:pPr>
                  <w:r>
                    <w:rPr>
                      <w:rFonts w:hint="eastAsia"/>
                      <w:lang w:val="en-US" w:eastAsia="zh-CN"/>
                    </w:rPr>
                    <w:t>10.429</w:t>
                  </w:r>
                </w:p>
              </w:tc>
            </w:tr>
            <w:tr w14:paraId="2486C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2102" w:type="dxa"/>
                  <w:gridSpan w:val="2"/>
                  <w:vMerge w:val="restart"/>
                  <w:vAlign w:val="center"/>
                </w:tcPr>
                <w:p w14:paraId="74174945">
                  <w:pPr>
                    <w:pStyle w:val="40"/>
                    <w:bidi w:val="0"/>
                    <w:rPr>
                      <w:rFonts w:hint="default"/>
                      <w:lang w:val="en-US" w:eastAsia="zh-CN"/>
                    </w:rPr>
                  </w:pPr>
                  <w:r>
                    <w:rPr>
                      <w:rFonts w:hint="eastAsia"/>
                      <w:lang w:val="en-US" w:eastAsia="zh-CN"/>
                    </w:rPr>
                    <w:t>水</w:t>
                  </w:r>
                </w:p>
              </w:tc>
              <w:tc>
                <w:tcPr>
                  <w:tcW w:w="2103" w:type="dxa"/>
                  <w:vMerge w:val="restart"/>
                  <w:vAlign w:val="center"/>
                </w:tcPr>
                <w:p w14:paraId="0C35DEC7">
                  <w:pPr>
                    <w:pStyle w:val="40"/>
                    <w:bidi w:val="0"/>
                    <w:rPr>
                      <w:rFonts w:hint="default"/>
                      <w:lang w:val="en-US" w:eastAsia="zh-CN"/>
                    </w:rPr>
                  </w:pPr>
                  <w:r>
                    <w:rPr>
                      <w:rFonts w:hint="eastAsia"/>
                      <w:lang w:val="en-US" w:eastAsia="zh-CN"/>
                    </w:rPr>
                    <w:t>1400</w:t>
                  </w:r>
                </w:p>
              </w:tc>
              <w:tc>
                <w:tcPr>
                  <w:tcW w:w="2102" w:type="dxa"/>
                  <w:shd w:val="clear" w:color="auto" w:fill="auto"/>
                  <w:vAlign w:val="center"/>
                </w:tcPr>
                <w:p w14:paraId="28D63236">
                  <w:pPr>
                    <w:pStyle w:val="40"/>
                    <w:bidi w:val="0"/>
                    <w:rPr>
                      <w:rFonts w:hint="default"/>
                      <w:lang w:val="en-US" w:eastAsia="zh-CN"/>
                    </w:rPr>
                  </w:pPr>
                  <w:r>
                    <w:rPr>
                      <w:rFonts w:hint="eastAsia"/>
                      <w:lang w:val="en-US" w:eastAsia="zh-CN"/>
                    </w:rPr>
                    <w:t>投料工序无组织逸散粉尘</w:t>
                  </w:r>
                </w:p>
              </w:tc>
              <w:tc>
                <w:tcPr>
                  <w:tcW w:w="2102" w:type="dxa"/>
                  <w:shd w:val="clear" w:color="auto" w:fill="auto"/>
                  <w:vAlign w:val="center"/>
                </w:tcPr>
                <w:p w14:paraId="55DCA13A">
                  <w:pPr>
                    <w:pStyle w:val="40"/>
                    <w:bidi w:val="0"/>
                    <w:rPr>
                      <w:rFonts w:hint="default"/>
                      <w:lang w:val="en-US" w:eastAsia="zh-CN"/>
                    </w:rPr>
                  </w:pPr>
                  <w:r>
                    <w:rPr>
                      <w:rFonts w:hint="eastAsia"/>
                      <w:lang w:val="en-US" w:eastAsia="zh-CN"/>
                    </w:rPr>
                    <w:t>0.07245</w:t>
                  </w:r>
                </w:p>
              </w:tc>
            </w:tr>
            <w:tr w14:paraId="76B8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2102" w:type="dxa"/>
                  <w:gridSpan w:val="2"/>
                  <w:vMerge w:val="continue"/>
                  <w:vAlign w:val="center"/>
                </w:tcPr>
                <w:p w14:paraId="70BCBB5E">
                  <w:pPr>
                    <w:pStyle w:val="40"/>
                    <w:bidi w:val="0"/>
                    <w:rPr>
                      <w:rFonts w:hint="eastAsia"/>
                      <w:lang w:val="en-US" w:eastAsia="zh-CN"/>
                    </w:rPr>
                  </w:pPr>
                </w:p>
              </w:tc>
              <w:tc>
                <w:tcPr>
                  <w:tcW w:w="2103" w:type="dxa"/>
                  <w:vMerge w:val="continue"/>
                  <w:vAlign w:val="center"/>
                </w:tcPr>
                <w:p w14:paraId="1A11638F">
                  <w:pPr>
                    <w:pStyle w:val="40"/>
                    <w:bidi w:val="0"/>
                    <w:rPr>
                      <w:rFonts w:hint="eastAsia"/>
                      <w:lang w:val="en-US" w:eastAsia="zh-CN"/>
                    </w:rPr>
                  </w:pPr>
                </w:p>
              </w:tc>
              <w:tc>
                <w:tcPr>
                  <w:tcW w:w="2102" w:type="dxa"/>
                  <w:shd w:val="clear" w:color="auto" w:fill="auto"/>
                  <w:vAlign w:val="center"/>
                </w:tcPr>
                <w:p w14:paraId="7EF90889">
                  <w:pPr>
                    <w:pStyle w:val="40"/>
                    <w:bidi w:val="0"/>
                    <w:rPr>
                      <w:rFonts w:hint="eastAsia"/>
                      <w:lang w:val="en-US" w:eastAsia="zh-CN"/>
                    </w:rPr>
                  </w:pPr>
                  <w:r>
                    <w:rPr>
                      <w:rFonts w:hint="eastAsia"/>
                      <w:lang w:val="en-US" w:eastAsia="zh-CN"/>
                    </w:rPr>
                    <w:t>搅拌工序无组织逸散粉尘</w:t>
                  </w:r>
                </w:p>
              </w:tc>
              <w:tc>
                <w:tcPr>
                  <w:tcW w:w="2102" w:type="dxa"/>
                  <w:shd w:val="clear" w:color="auto" w:fill="auto"/>
                  <w:vAlign w:val="center"/>
                </w:tcPr>
                <w:p w14:paraId="1D6C727D">
                  <w:pPr>
                    <w:pStyle w:val="40"/>
                    <w:bidi w:val="0"/>
                    <w:rPr>
                      <w:rFonts w:hint="eastAsia"/>
                      <w:lang w:val="en-US" w:eastAsia="zh-CN"/>
                    </w:rPr>
                  </w:pPr>
                  <w:r>
                    <w:rPr>
                      <w:rFonts w:hint="eastAsia"/>
                      <w:lang w:val="en-US" w:eastAsia="zh-CN"/>
                    </w:rPr>
                    <w:t>2.615</w:t>
                  </w:r>
                </w:p>
              </w:tc>
            </w:tr>
            <w:tr w14:paraId="518AF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102" w:type="dxa"/>
                  <w:gridSpan w:val="2"/>
                  <w:vMerge w:val="continue"/>
                  <w:vAlign w:val="center"/>
                </w:tcPr>
                <w:p w14:paraId="71DF8F68">
                  <w:pPr>
                    <w:pStyle w:val="40"/>
                    <w:bidi w:val="0"/>
                    <w:rPr>
                      <w:rFonts w:hint="eastAsia"/>
                      <w:lang w:val="en-US" w:eastAsia="zh-CN"/>
                    </w:rPr>
                  </w:pPr>
                </w:p>
              </w:tc>
              <w:tc>
                <w:tcPr>
                  <w:tcW w:w="2103" w:type="dxa"/>
                  <w:vMerge w:val="continue"/>
                  <w:vAlign w:val="center"/>
                </w:tcPr>
                <w:p w14:paraId="0AC231B5">
                  <w:pPr>
                    <w:pStyle w:val="40"/>
                    <w:bidi w:val="0"/>
                    <w:rPr>
                      <w:rFonts w:hint="eastAsia"/>
                      <w:lang w:val="en-US" w:eastAsia="zh-CN"/>
                    </w:rPr>
                  </w:pPr>
                </w:p>
              </w:tc>
              <w:tc>
                <w:tcPr>
                  <w:tcW w:w="2102" w:type="dxa"/>
                  <w:shd w:val="clear" w:color="auto" w:fill="auto"/>
                  <w:vAlign w:val="center"/>
                </w:tcPr>
                <w:p w14:paraId="4AFBF0E2">
                  <w:pPr>
                    <w:pStyle w:val="40"/>
                    <w:bidi w:val="0"/>
                    <w:rPr>
                      <w:rFonts w:hint="default"/>
                      <w:lang w:val="en-US" w:eastAsia="zh-CN"/>
                    </w:rPr>
                  </w:pPr>
                  <w:r>
                    <w:rPr>
                      <w:rFonts w:hint="eastAsia"/>
                      <w:lang w:val="en-US" w:eastAsia="zh-CN"/>
                    </w:rPr>
                    <w:t>蒸发水80%</w:t>
                  </w:r>
                </w:p>
              </w:tc>
              <w:tc>
                <w:tcPr>
                  <w:tcW w:w="2102" w:type="dxa"/>
                  <w:shd w:val="clear" w:color="auto" w:fill="auto"/>
                  <w:vAlign w:val="center"/>
                </w:tcPr>
                <w:p w14:paraId="3D99DB4D">
                  <w:pPr>
                    <w:pStyle w:val="40"/>
                    <w:bidi w:val="0"/>
                    <w:rPr>
                      <w:rFonts w:hint="default"/>
                      <w:lang w:val="en-US" w:eastAsia="zh-CN"/>
                    </w:rPr>
                  </w:pPr>
                  <w:r>
                    <w:rPr>
                      <w:rFonts w:hint="eastAsia"/>
                      <w:lang w:val="en-US" w:eastAsia="zh-CN"/>
                    </w:rPr>
                    <w:t>1120</w:t>
                  </w:r>
                </w:p>
              </w:tc>
            </w:tr>
            <w:tr w14:paraId="6F882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2102" w:type="dxa"/>
                  <w:gridSpan w:val="2"/>
                  <w:vMerge w:val="continue"/>
                  <w:vAlign w:val="center"/>
                </w:tcPr>
                <w:p w14:paraId="4EC36793">
                  <w:pPr>
                    <w:pStyle w:val="40"/>
                    <w:bidi w:val="0"/>
                    <w:rPr>
                      <w:rFonts w:hint="eastAsia"/>
                      <w:lang w:val="en-US" w:eastAsia="zh-CN"/>
                    </w:rPr>
                  </w:pPr>
                </w:p>
              </w:tc>
              <w:tc>
                <w:tcPr>
                  <w:tcW w:w="2103" w:type="dxa"/>
                  <w:vMerge w:val="continue"/>
                  <w:vAlign w:val="center"/>
                </w:tcPr>
                <w:p w14:paraId="14D96C21">
                  <w:pPr>
                    <w:pStyle w:val="40"/>
                    <w:bidi w:val="0"/>
                    <w:rPr>
                      <w:rFonts w:hint="eastAsia"/>
                      <w:lang w:val="en-US" w:eastAsia="zh-CN"/>
                    </w:rPr>
                  </w:pPr>
                </w:p>
              </w:tc>
              <w:tc>
                <w:tcPr>
                  <w:tcW w:w="2102" w:type="dxa"/>
                  <w:shd w:val="clear" w:color="auto" w:fill="auto"/>
                  <w:vAlign w:val="center"/>
                </w:tcPr>
                <w:p w14:paraId="4C2E3C47">
                  <w:pPr>
                    <w:pStyle w:val="40"/>
                    <w:bidi w:val="0"/>
                    <w:rPr>
                      <w:rFonts w:hint="default"/>
                      <w:lang w:val="en-US" w:eastAsia="zh-CN"/>
                    </w:rPr>
                  </w:pPr>
                  <w:r>
                    <w:rPr>
                      <w:rFonts w:hint="eastAsia"/>
                      <w:lang w:val="en-US" w:eastAsia="zh-CN"/>
                    </w:rPr>
                    <w:t>边角料及不合格产品3.5%</w:t>
                  </w:r>
                </w:p>
              </w:tc>
              <w:tc>
                <w:tcPr>
                  <w:tcW w:w="2102" w:type="dxa"/>
                  <w:shd w:val="clear" w:color="auto" w:fill="auto"/>
                  <w:vAlign w:val="center"/>
                </w:tcPr>
                <w:p w14:paraId="514B71DA">
                  <w:pPr>
                    <w:pStyle w:val="40"/>
                    <w:bidi w:val="0"/>
                    <w:rPr>
                      <w:rFonts w:hint="eastAsia"/>
                      <w:lang w:val="en-US" w:eastAsia="zh-CN"/>
                    </w:rPr>
                  </w:pPr>
                  <w:r>
                    <w:rPr>
                      <w:rFonts w:hint="eastAsia"/>
                      <w:lang w:val="en-US" w:eastAsia="zh-CN"/>
                    </w:rPr>
                    <w:t>875</w:t>
                  </w:r>
                </w:p>
              </w:tc>
            </w:tr>
            <w:tr w14:paraId="7A672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2102" w:type="dxa"/>
                  <w:gridSpan w:val="2"/>
                  <w:vMerge w:val="continue"/>
                  <w:vAlign w:val="center"/>
                </w:tcPr>
                <w:p w14:paraId="7DC370E3">
                  <w:pPr>
                    <w:pStyle w:val="40"/>
                    <w:bidi w:val="0"/>
                    <w:rPr>
                      <w:rFonts w:hint="eastAsia"/>
                      <w:lang w:val="en-US" w:eastAsia="zh-CN"/>
                    </w:rPr>
                  </w:pPr>
                </w:p>
              </w:tc>
              <w:tc>
                <w:tcPr>
                  <w:tcW w:w="2103" w:type="dxa"/>
                  <w:vMerge w:val="continue"/>
                  <w:vAlign w:val="center"/>
                </w:tcPr>
                <w:p w14:paraId="309BA1CA">
                  <w:pPr>
                    <w:pStyle w:val="40"/>
                    <w:bidi w:val="0"/>
                    <w:rPr>
                      <w:rFonts w:hint="eastAsia"/>
                      <w:lang w:val="en-US" w:eastAsia="zh-CN"/>
                    </w:rPr>
                  </w:pPr>
                </w:p>
              </w:tc>
              <w:tc>
                <w:tcPr>
                  <w:tcW w:w="2102" w:type="dxa"/>
                  <w:shd w:val="clear" w:color="auto" w:fill="auto"/>
                  <w:vAlign w:val="center"/>
                </w:tcPr>
                <w:p w14:paraId="15DAB5ED">
                  <w:pPr>
                    <w:pStyle w:val="40"/>
                    <w:bidi w:val="0"/>
                    <w:rPr>
                      <w:rFonts w:hint="default"/>
                      <w:lang w:val="en-US" w:eastAsia="zh-CN"/>
                    </w:rPr>
                  </w:pPr>
                  <w:r>
                    <w:rPr>
                      <w:rFonts w:hint="default"/>
                      <w:lang w:val="en-US" w:eastAsia="zh-CN"/>
                    </w:rPr>
                    <w:t>差值损耗</w:t>
                  </w:r>
                </w:p>
              </w:tc>
              <w:tc>
                <w:tcPr>
                  <w:tcW w:w="2102" w:type="dxa"/>
                  <w:shd w:val="clear" w:color="auto" w:fill="auto"/>
                  <w:vAlign w:val="center"/>
                </w:tcPr>
                <w:p w14:paraId="244B4ABA">
                  <w:pPr>
                    <w:pStyle w:val="40"/>
                    <w:bidi w:val="0"/>
                    <w:rPr>
                      <w:rFonts w:hint="default"/>
                      <w:lang w:val="en-US" w:eastAsia="zh-CN"/>
                    </w:rPr>
                  </w:pPr>
                  <w:r>
                    <w:rPr>
                      <w:rFonts w:hint="eastAsia"/>
                      <w:lang w:val="en-US" w:eastAsia="zh-CN"/>
                    </w:rPr>
                    <w:t>89.34055</w:t>
                  </w:r>
                </w:p>
              </w:tc>
            </w:tr>
            <w:tr w14:paraId="483F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dxa"/>
                  <w:gridSpan w:val="2"/>
                  <w:vAlign w:val="center"/>
                </w:tcPr>
                <w:p w14:paraId="0921D40D">
                  <w:pPr>
                    <w:pStyle w:val="40"/>
                    <w:bidi w:val="0"/>
                    <w:rPr>
                      <w:rFonts w:hint="eastAsia"/>
                      <w:lang w:val="en-US" w:eastAsia="zh-CN"/>
                    </w:rPr>
                  </w:pPr>
                  <w:r>
                    <w:rPr>
                      <w:rFonts w:hint="eastAsia"/>
                      <w:lang w:val="en-US" w:eastAsia="zh-CN"/>
                    </w:rPr>
                    <w:t>合计</w:t>
                  </w:r>
                </w:p>
              </w:tc>
              <w:tc>
                <w:tcPr>
                  <w:tcW w:w="2103" w:type="dxa"/>
                  <w:vAlign w:val="center"/>
                </w:tcPr>
                <w:p w14:paraId="018EC8CB">
                  <w:pPr>
                    <w:pStyle w:val="40"/>
                    <w:bidi w:val="0"/>
                    <w:rPr>
                      <w:rFonts w:hint="default"/>
                      <w:lang w:val="en-US" w:eastAsia="zh-CN"/>
                    </w:rPr>
                  </w:pPr>
                  <w:r>
                    <w:rPr>
                      <w:rFonts w:hint="eastAsia"/>
                      <w:lang w:val="en-US" w:eastAsia="zh-CN"/>
                    </w:rPr>
                    <w:t>27100</w:t>
                  </w:r>
                </w:p>
              </w:tc>
              <w:tc>
                <w:tcPr>
                  <w:tcW w:w="2102" w:type="dxa"/>
                  <w:vAlign w:val="center"/>
                </w:tcPr>
                <w:p w14:paraId="549BD6C6">
                  <w:pPr>
                    <w:pStyle w:val="40"/>
                    <w:bidi w:val="0"/>
                    <w:rPr>
                      <w:rFonts w:hint="default"/>
                      <w:lang w:val="en-US" w:eastAsia="zh-CN"/>
                    </w:rPr>
                  </w:pPr>
                  <w:r>
                    <w:rPr>
                      <w:rFonts w:hint="eastAsia"/>
                      <w:lang w:val="en-US" w:eastAsia="zh-CN"/>
                    </w:rPr>
                    <w:t>合计</w:t>
                  </w:r>
                </w:p>
              </w:tc>
              <w:tc>
                <w:tcPr>
                  <w:tcW w:w="2102" w:type="dxa"/>
                  <w:vAlign w:val="center"/>
                </w:tcPr>
                <w:p w14:paraId="1B802D02">
                  <w:pPr>
                    <w:pStyle w:val="40"/>
                    <w:bidi w:val="0"/>
                    <w:rPr>
                      <w:rFonts w:hint="default"/>
                      <w:lang w:val="en-US" w:eastAsia="zh-CN"/>
                    </w:rPr>
                  </w:pPr>
                  <w:r>
                    <w:rPr>
                      <w:rFonts w:hint="eastAsia"/>
                      <w:lang w:val="en-US" w:eastAsia="zh-CN"/>
                    </w:rPr>
                    <w:t>27100</w:t>
                  </w:r>
                </w:p>
              </w:tc>
            </w:tr>
          </w:tbl>
          <w:p w14:paraId="6BDD4095">
            <w:pPr>
              <w:pStyle w:val="2"/>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8.劳动定员及工作制度</w:t>
            </w:r>
          </w:p>
          <w:p w14:paraId="55B67C45">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劳动定员：本项目新增劳动定员40人，均在厂区内食宿。</w:t>
            </w:r>
          </w:p>
          <w:p w14:paraId="7B483353">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生产制度：年工作300天，每天一班工作制，每班运行8h，年运行时数为2400小时。</w:t>
            </w:r>
          </w:p>
          <w:p w14:paraId="7800F8CF">
            <w:pPr>
              <w:pStyle w:val="2"/>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9.厂区平面布置</w:t>
            </w:r>
          </w:p>
          <w:p w14:paraId="06225124">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项目占地面积为36713m</w:t>
            </w:r>
            <w:r>
              <w:rPr>
                <w:rFonts w:hint="eastAsia"/>
                <w:vertAlign w:val="superscript"/>
                <w:lang w:val="en-US" w:eastAsia="zh-CN"/>
              </w:rPr>
              <w:t>2</w:t>
            </w:r>
            <w:r>
              <w:rPr>
                <w:rFonts w:hint="eastAsia"/>
                <w:lang w:val="en-US" w:eastAsia="zh-CN"/>
              </w:rPr>
              <w:t>，生产区位于厂区的西侧，办公生活区位于厂区的东北。</w:t>
            </w:r>
          </w:p>
          <w:p w14:paraId="58031B6E">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本项目分区明确，总平面布置较好地满足了工艺流程的顺畅性，车间布置紧凑，运输流畅，方便生产；在采取有效的治理措施后，生产废气和设备运转噪声对办公生活区的影响较小</w:t>
            </w:r>
            <w:r>
              <w:rPr>
                <w:rFonts w:hint="eastAsia"/>
                <w:lang w:eastAsia="zh-CN"/>
              </w:rPr>
              <w:t>。</w:t>
            </w:r>
          </w:p>
          <w:p w14:paraId="5640BB8F">
            <w:pPr>
              <w:pStyle w:val="2"/>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10.公用工程</w:t>
            </w:r>
          </w:p>
          <w:p w14:paraId="402AD40B">
            <w:pPr>
              <w:pStyle w:val="2"/>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10.1给排水工程</w:t>
            </w:r>
          </w:p>
          <w:p w14:paraId="56D09E5E">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（1）给水</w:t>
            </w:r>
          </w:p>
          <w:p w14:paraId="0404975C">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本项目用水主要为员工生活用水和生产用水，供水</w:t>
            </w:r>
            <w:r>
              <w:rPr>
                <w:rFonts w:hint="default"/>
                <w:lang w:val="en-US" w:eastAsia="zh-CN"/>
              </w:rPr>
              <w:t>由</w:t>
            </w:r>
            <w:r>
              <w:rPr>
                <w:rFonts w:hint="eastAsia"/>
                <w:lang w:val="en-US" w:eastAsia="zh-CN"/>
              </w:rPr>
              <w:t>市政供水管网提供。</w:t>
            </w:r>
          </w:p>
          <w:p w14:paraId="2AB4424C">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生活用水：</w:t>
            </w:r>
            <w:r>
              <w:rPr>
                <w:rFonts w:hint="default"/>
                <w:lang w:val="en-US" w:eastAsia="zh-CN"/>
              </w:rPr>
              <w:t>项目运营期</w:t>
            </w:r>
            <w:r>
              <w:rPr>
                <w:rFonts w:hint="default"/>
                <w:highlight w:val="none"/>
                <w:lang w:val="en-US" w:eastAsia="zh-CN"/>
              </w:rPr>
              <w:t>劳动定员</w:t>
            </w:r>
            <w:r>
              <w:rPr>
                <w:rFonts w:hint="eastAsia"/>
                <w:highlight w:val="none"/>
                <w:lang w:val="en-US" w:eastAsia="zh-CN"/>
              </w:rPr>
              <w:t>40</w:t>
            </w:r>
            <w:r>
              <w:rPr>
                <w:rFonts w:hint="default"/>
                <w:highlight w:val="none"/>
                <w:lang w:val="en-US" w:eastAsia="zh-CN"/>
              </w:rPr>
              <w:t>人</w:t>
            </w:r>
            <w:r>
              <w:rPr>
                <w:rFonts w:hint="default"/>
                <w:lang w:val="en-US" w:eastAsia="zh-CN"/>
              </w:rPr>
              <w:t>，年工作</w:t>
            </w:r>
            <w:r>
              <w:rPr>
                <w:rFonts w:hint="eastAsia"/>
                <w:lang w:val="en-US" w:eastAsia="zh-CN"/>
              </w:rPr>
              <w:t>300</w:t>
            </w:r>
            <w:r>
              <w:rPr>
                <w:rFonts w:hint="default"/>
                <w:lang w:val="en-US" w:eastAsia="zh-CN"/>
              </w:rPr>
              <w:t>d</w:t>
            </w:r>
            <w:r>
              <w:rPr>
                <w:rFonts w:hint="eastAsia"/>
                <w:lang w:val="en-US" w:eastAsia="zh-CN"/>
              </w:rPr>
              <w:t>，根据《新疆维吾尔自治区生活用水定额》，生活用水定额取80L/人·d计（包含食宿），则职工生活用水量为3.2m</w:t>
            </w:r>
            <w:r>
              <w:rPr>
                <w:rFonts w:hint="eastAsia"/>
                <w:vertAlign w:val="superscript"/>
                <w:lang w:val="en-US" w:eastAsia="zh-CN"/>
              </w:rPr>
              <w:t>3</w:t>
            </w:r>
            <w:r>
              <w:rPr>
                <w:rFonts w:hint="eastAsia"/>
                <w:lang w:val="en-US" w:eastAsia="zh-CN"/>
              </w:rPr>
              <w:t>/d（960m</w:t>
            </w:r>
            <w:r>
              <w:rPr>
                <w:rFonts w:hint="eastAsia"/>
                <w:vertAlign w:val="superscript"/>
                <w:lang w:val="en-US" w:eastAsia="zh-CN"/>
              </w:rPr>
              <w:t>3</w:t>
            </w:r>
            <w:r>
              <w:rPr>
                <w:rFonts w:hint="eastAsia"/>
                <w:lang w:val="en-US" w:eastAsia="zh-CN"/>
              </w:rPr>
              <w:t>/a）。</w:t>
            </w:r>
          </w:p>
          <w:p w14:paraId="39B6CB16">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生产用水：</w:t>
            </w:r>
          </w:p>
          <w:p w14:paraId="6B1EB74C">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①搅拌用水：根据建设单位提供资料，本项目搅拌用水量为75.83m</w:t>
            </w:r>
            <w:r>
              <w:rPr>
                <w:rFonts w:hint="eastAsia"/>
                <w:vertAlign w:val="superscript"/>
                <w:lang w:val="en-US" w:eastAsia="zh-CN"/>
              </w:rPr>
              <w:t>3</w:t>
            </w:r>
            <w:r>
              <w:rPr>
                <w:rFonts w:hint="eastAsia"/>
                <w:lang w:val="en-US" w:eastAsia="zh-CN"/>
              </w:rPr>
              <w:t>/d（22750m</w:t>
            </w:r>
            <w:r>
              <w:rPr>
                <w:rFonts w:hint="eastAsia"/>
                <w:vertAlign w:val="superscript"/>
                <w:lang w:val="en-US" w:eastAsia="zh-CN"/>
              </w:rPr>
              <w:t>3</w:t>
            </w:r>
            <w:r>
              <w:rPr>
                <w:rFonts w:hint="eastAsia"/>
                <w:lang w:val="en-US" w:eastAsia="zh-CN"/>
              </w:rPr>
              <w:t>/a，其中新鲜水22390m</w:t>
            </w:r>
            <w:r>
              <w:rPr>
                <w:rFonts w:hint="eastAsia"/>
                <w:vertAlign w:val="superscript"/>
                <w:lang w:val="en-US" w:eastAsia="zh-CN"/>
              </w:rPr>
              <w:t>3</w:t>
            </w:r>
            <w:r>
              <w:rPr>
                <w:rFonts w:hint="eastAsia"/>
                <w:lang w:val="en-US" w:eastAsia="zh-CN"/>
              </w:rPr>
              <w:t>/a，回用水360m</w:t>
            </w:r>
            <w:r>
              <w:rPr>
                <w:rFonts w:hint="eastAsia"/>
                <w:vertAlign w:val="superscript"/>
                <w:lang w:val="en-US" w:eastAsia="zh-CN"/>
              </w:rPr>
              <w:t>3</w:t>
            </w:r>
            <w:r>
              <w:rPr>
                <w:rFonts w:hint="eastAsia"/>
                <w:lang w:val="en-US" w:eastAsia="zh-CN"/>
              </w:rPr>
              <w:t>/a）。</w:t>
            </w:r>
          </w:p>
          <w:p w14:paraId="5CB20222">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②搅拌设备清洗用水：搅拌设备在停止生产后，为利于下次生产，搅拌机需要清洗干净。根据业主提供资料，本项目搅拌设备每班结束后清洗，清洗用水量约为1m³/次，则搅拌设备清洗用水量为300m</w:t>
            </w:r>
            <w:r>
              <w:rPr>
                <w:rFonts w:hint="eastAsia"/>
                <w:vertAlign w:val="superscript"/>
                <w:lang w:val="en-US" w:eastAsia="zh-CN"/>
              </w:rPr>
              <w:t>3</w:t>
            </w:r>
            <w:r>
              <w:rPr>
                <w:rFonts w:hint="eastAsia"/>
                <w:lang w:val="en-US" w:eastAsia="zh-CN"/>
              </w:rPr>
              <w:t>/a。</w:t>
            </w:r>
          </w:p>
          <w:p w14:paraId="79F5D2F1">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③模具清洗用水：根据建设单位提供的资料，项目模具清洗用水量为0.5m</w:t>
            </w:r>
            <w:r>
              <w:rPr>
                <w:rFonts w:hint="eastAsia"/>
                <w:vertAlign w:val="superscript"/>
                <w:lang w:val="en-US" w:eastAsia="zh-CN"/>
              </w:rPr>
              <w:t>3</w:t>
            </w:r>
            <w:r>
              <w:rPr>
                <w:rFonts w:hint="eastAsia"/>
                <w:lang w:val="en-US" w:eastAsia="zh-CN"/>
              </w:rPr>
              <w:t>/d（150m</w:t>
            </w:r>
            <w:r>
              <w:rPr>
                <w:rFonts w:hint="eastAsia"/>
                <w:vertAlign w:val="superscript"/>
                <w:lang w:val="en-US" w:eastAsia="zh-CN"/>
              </w:rPr>
              <w:t>3</w:t>
            </w:r>
            <w:r>
              <w:rPr>
                <w:rFonts w:hint="eastAsia"/>
                <w:lang w:val="en-US" w:eastAsia="zh-CN"/>
              </w:rPr>
              <w:t>/a）。</w:t>
            </w:r>
          </w:p>
          <w:p w14:paraId="4830F8A7">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③湿式切割用水：本项目现代化加气块需要按照客户需求进行切割，采用湿式切割法，可以避免粉尘的产生。根据建设单位提供资料，湿式切割用水量约为0.5m</w:t>
            </w:r>
            <w:r>
              <w:rPr>
                <w:rFonts w:hint="eastAsia"/>
                <w:vertAlign w:val="superscript"/>
                <w:lang w:val="en-US" w:eastAsia="zh-CN"/>
              </w:rPr>
              <w:t>3</w:t>
            </w:r>
            <w:r>
              <w:rPr>
                <w:rFonts w:hint="eastAsia"/>
                <w:lang w:val="en-US" w:eastAsia="zh-CN"/>
              </w:rPr>
              <w:t>/d（150m</w:t>
            </w:r>
            <w:r>
              <w:rPr>
                <w:rFonts w:hint="eastAsia"/>
                <w:vertAlign w:val="superscript"/>
                <w:lang w:val="en-US" w:eastAsia="zh-CN"/>
              </w:rPr>
              <w:t>3</w:t>
            </w:r>
            <w:r>
              <w:rPr>
                <w:rFonts w:hint="eastAsia"/>
                <w:lang w:val="en-US" w:eastAsia="zh-CN"/>
              </w:rPr>
              <w:t>/a）。湿式切割用水经沉淀后循环使用，补水量以总用水量的40%计，补水量为0.2m</w:t>
            </w:r>
            <w:r>
              <w:rPr>
                <w:rFonts w:hint="eastAsia"/>
                <w:vertAlign w:val="superscript"/>
                <w:lang w:val="en-US" w:eastAsia="zh-CN"/>
              </w:rPr>
              <w:t>3</w:t>
            </w:r>
            <w:r>
              <w:rPr>
                <w:rFonts w:hint="eastAsia"/>
                <w:lang w:val="en-US" w:eastAsia="zh-CN"/>
              </w:rPr>
              <w:t>/d（60m</w:t>
            </w:r>
            <w:r>
              <w:rPr>
                <w:rFonts w:hint="eastAsia"/>
                <w:vertAlign w:val="superscript"/>
                <w:lang w:val="en-US" w:eastAsia="zh-CN"/>
              </w:rPr>
              <w:t>3</w:t>
            </w:r>
            <w:r>
              <w:rPr>
                <w:rFonts w:hint="eastAsia"/>
                <w:lang w:val="en-US" w:eastAsia="zh-CN"/>
              </w:rPr>
              <w:t>/a）。</w:t>
            </w:r>
          </w:p>
          <w:p w14:paraId="20E5C803">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④露天养护用水：本项目预制件产品需加水进行露天养护，根据企业提供资料，自然养护用水量为0.4m</w:t>
            </w:r>
            <w:r>
              <w:rPr>
                <w:rFonts w:hint="eastAsia"/>
                <w:vertAlign w:val="superscript"/>
                <w:lang w:val="en-US" w:eastAsia="zh-CN"/>
              </w:rPr>
              <w:t>3</w:t>
            </w:r>
            <w:r>
              <w:rPr>
                <w:rFonts w:hint="eastAsia"/>
                <w:lang w:val="en-US" w:eastAsia="zh-CN"/>
              </w:rPr>
              <w:t>/d（120m</w:t>
            </w:r>
            <w:r>
              <w:rPr>
                <w:rFonts w:hint="eastAsia"/>
                <w:vertAlign w:val="superscript"/>
                <w:lang w:val="en-US" w:eastAsia="zh-CN"/>
              </w:rPr>
              <w:t>3</w:t>
            </w:r>
            <w:r>
              <w:rPr>
                <w:rFonts w:hint="eastAsia"/>
                <w:lang w:val="en-US" w:eastAsia="zh-CN"/>
              </w:rPr>
              <w:t>/a）。</w:t>
            </w:r>
          </w:p>
          <w:p w14:paraId="0932F115">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⑤</w:t>
            </w:r>
            <w:r>
              <w:rPr>
                <w:rFonts w:hint="eastAsia"/>
                <w:color w:val="auto"/>
                <w:spacing w:val="6"/>
                <w:sz w:val="24"/>
                <w:szCs w:val="24"/>
                <w:lang w:val="en-US" w:eastAsia="zh-CN"/>
              </w:rPr>
              <w:t>车辆冲洗用水：计划设置洗车池为35m</w:t>
            </w:r>
            <w:r>
              <w:rPr>
                <w:rFonts w:hint="eastAsia"/>
                <w:color w:val="auto"/>
                <w:spacing w:val="6"/>
                <w:sz w:val="24"/>
                <w:szCs w:val="24"/>
                <w:vertAlign w:val="superscript"/>
                <w:lang w:val="en-US" w:eastAsia="zh-CN"/>
              </w:rPr>
              <w:t>3</w:t>
            </w:r>
            <w:r>
              <w:rPr>
                <w:rFonts w:hint="eastAsia"/>
                <w:color w:val="auto"/>
                <w:spacing w:val="6"/>
                <w:sz w:val="24"/>
                <w:szCs w:val="24"/>
                <w:lang w:val="en-US" w:eastAsia="zh-CN"/>
              </w:rPr>
              <w:t>（7m×5m×1m），可冲洗轮胎粉尘，循环水量30m</w:t>
            </w:r>
            <w:r>
              <w:rPr>
                <w:rFonts w:hint="eastAsia"/>
                <w:color w:val="auto"/>
                <w:spacing w:val="6"/>
                <w:sz w:val="24"/>
                <w:szCs w:val="24"/>
                <w:vertAlign w:val="superscript"/>
                <w:lang w:val="en-US" w:eastAsia="zh-CN"/>
              </w:rPr>
              <w:t>3</w:t>
            </w:r>
            <w:r>
              <w:rPr>
                <w:rFonts w:hint="eastAsia"/>
                <w:color w:val="auto"/>
                <w:spacing w:val="6"/>
                <w:sz w:val="24"/>
                <w:szCs w:val="24"/>
                <w:lang w:val="en-US" w:eastAsia="zh-CN"/>
              </w:rPr>
              <w:t>，日损耗量约3%，则补水量约270m</w:t>
            </w:r>
            <w:r>
              <w:rPr>
                <w:rFonts w:hint="eastAsia"/>
                <w:color w:val="auto"/>
                <w:spacing w:val="6"/>
                <w:sz w:val="24"/>
                <w:szCs w:val="24"/>
                <w:vertAlign w:val="superscript"/>
                <w:lang w:val="en-US" w:eastAsia="zh-CN"/>
              </w:rPr>
              <w:t>3</w:t>
            </w:r>
            <w:r>
              <w:rPr>
                <w:rFonts w:hint="eastAsia"/>
                <w:color w:val="auto"/>
                <w:spacing w:val="6"/>
                <w:sz w:val="24"/>
                <w:szCs w:val="24"/>
                <w:lang w:val="en-US" w:eastAsia="zh-CN"/>
              </w:rPr>
              <w:t>/a（0.9m</w:t>
            </w:r>
            <w:r>
              <w:rPr>
                <w:rFonts w:hint="eastAsia"/>
                <w:color w:val="auto"/>
                <w:spacing w:val="6"/>
                <w:sz w:val="24"/>
                <w:szCs w:val="24"/>
                <w:vertAlign w:val="superscript"/>
                <w:lang w:val="en-US" w:eastAsia="zh-CN"/>
              </w:rPr>
              <w:t>3</w:t>
            </w:r>
            <w:r>
              <w:rPr>
                <w:rFonts w:hint="eastAsia"/>
                <w:color w:val="auto"/>
                <w:spacing w:val="6"/>
                <w:sz w:val="24"/>
                <w:szCs w:val="24"/>
                <w:lang w:val="en-US" w:eastAsia="zh-CN"/>
              </w:rPr>
              <w:t>/d）。</w:t>
            </w:r>
          </w:p>
          <w:p w14:paraId="4215A356">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（2）排水</w:t>
            </w:r>
          </w:p>
          <w:p w14:paraId="6A937F5B">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生活污水：生活污水产污系数按0.8计，则生活污水排放量为2.56m</w:t>
            </w:r>
            <w:r>
              <w:rPr>
                <w:rFonts w:hint="eastAsia"/>
                <w:vertAlign w:val="superscript"/>
                <w:lang w:val="en-US" w:eastAsia="zh-CN"/>
              </w:rPr>
              <w:t>3</w:t>
            </w:r>
            <w:r>
              <w:rPr>
                <w:rFonts w:hint="eastAsia"/>
                <w:lang w:val="en-US" w:eastAsia="zh-CN"/>
              </w:rPr>
              <w:t>/d（768m</w:t>
            </w:r>
            <w:r>
              <w:rPr>
                <w:rFonts w:hint="eastAsia"/>
                <w:vertAlign w:val="superscript"/>
                <w:lang w:val="en-US" w:eastAsia="zh-CN"/>
              </w:rPr>
              <w:t>3</w:t>
            </w:r>
            <w:r>
              <w:rPr>
                <w:rFonts w:hint="eastAsia"/>
                <w:lang w:val="en-US" w:eastAsia="zh-CN"/>
              </w:rPr>
              <w:t>/a）。生活污水经化粪池预处理后拉运至若羌县城镇污水处理厂进行集中处理，其中食堂用水经隔油池处理后排入化粪池。</w:t>
            </w:r>
          </w:p>
          <w:p w14:paraId="01EFC8BD">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生产废水：搅拌用水全部进入产品，不外排；搅拌设备清洗水</w:t>
            </w:r>
            <w:r>
              <w:rPr>
                <w:rFonts w:hint="default" w:ascii="Times New Roman" w:hAnsi="Times New Roman" w:cs="Times New Roman"/>
              </w:rPr>
              <w:t>废水</w:t>
            </w:r>
            <w:r>
              <w:rPr>
                <w:rFonts w:hint="eastAsia" w:ascii="Times New Roman" w:hAnsi="Times New Roman" w:cs="Times New Roman"/>
                <w:lang w:val="en-US" w:eastAsia="zh-CN"/>
              </w:rPr>
              <w:t>和模具清洗废水</w:t>
            </w:r>
            <w:r>
              <w:rPr>
                <w:rFonts w:hint="default" w:ascii="Times New Roman" w:hAnsi="Times New Roman" w:cs="Times New Roman"/>
              </w:rPr>
              <w:t>产生量按用水量的0.</w:t>
            </w:r>
            <w:r>
              <w:rPr>
                <w:rFonts w:hint="default" w:ascii="Times New Roman" w:hAnsi="Times New Roman" w:cs="Times New Roman"/>
                <w:lang w:val="en-US" w:eastAsia="zh-CN"/>
              </w:rPr>
              <w:t>8</w:t>
            </w:r>
            <w:r>
              <w:rPr>
                <w:rFonts w:hint="default" w:ascii="Times New Roman" w:hAnsi="Times New Roman" w:cs="Times New Roman"/>
              </w:rPr>
              <w:t>计，</w:t>
            </w:r>
            <w:r>
              <w:rPr>
                <w:rFonts w:hint="eastAsia" w:ascii="Times New Roman" w:hAnsi="Times New Roman" w:cs="Times New Roman"/>
                <w:lang w:val="en-US" w:eastAsia="zh-CN"/>
              </w:rPr>
              <w:t>则搅拌设备清洗</w:t>
            </w:r>
            <w:r>
              <w:rPr>
                <w:rFonts w:hint="default" w:ascii="Times New Roman" w:hAnsi="Times New Roman" w:cs="Times New Roman"/>
              </w:rPr>
              <w:t>废水产生量为</w:t>
            </w:r>
            <w:r>
              <w:rPr>
                <w:rFonts w:hint="default" w:ascii="Times New Roman" w:hAnsi="Times New Roman" w:cs="Times New Roman"/>
                <w:lang w:val="en-US" w:eastAsia="zh-CN"/>
              </w:rPr>
              <w:t>0.8</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w:t>
            </w:r>
            <w:r>
              <w:rPr>
                <w:rFonts w:hint="eastAsia" w:ascii="Times New Roman" w:hAnsi="Times New Roman" w:cs="Times New Roman"/>
                <w:lang w:val="en-US" w:eastAsia="zh-CN"/>
              </w:rPr>
              <w:t>240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/a）</w:t>
            </w:r>
            <w:r>
              <w:rPr>
                <w:rFonts w:hint="eastAsia" w:ascii="Times New Roman" w:hAnsi="Times New Roman" w:cs="Times New Roman"/>
                <w:lang w:eastAsia="zh-CN"/>
              </w:rPr>
              <w:t>，</w:t>
            </w:r>
            <w:r>
              <w:rPr>
                <w:rFonts w:hint="eastAsia" w:ascii="Times New Roman" w:hAnsi="Times New Roman" w:cs="Times New Roman"/>
                <w:lang w:val="en-US" w:eastAsia="zh-CN"/>
              </w:rPr>
              <w:t>模具清洗废水</w:t>
            </w:r>
            <w:r>
              <w:rPr>
                <w:rFonts w:hint="eastAsia" w:ascii="Times New Roman" w:hAnsi="Times New Roman" w:cs="Times New Roman"/>
                <w:lang w:eastAsia="zh-CN"/>
              </w:rPr>
              <w:t>产生量</w:t>
            </w:r>
            <w:r>
              <w:rPr>
                <w:rFonts w:hint="eastAsia" w:ascii="Times New Roman" w:hAnsi="Times New Roman" w:cs="Times New Roman"/>
                <w:lang w:val="en-US" w:eastAsia="zh-CN"/>
              </w:rPr>
              <w:t>为0.4m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/d（120m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/a），废水全部</w:t>
            </w:r>
            <w:r>
              <w:rPr>
                <w:rFonts w:hint="eastAsia"/>
                <w:lang w:val="en-US" w:eastAsia="zh-CN"/>
              </w:rPr>
              <w:t>回用于产品，不外排；湿式切割用水经沉淀收集后，循环利用，不外排；露天养护用水全部进入产品；车辆清洗水循环使用。</w:t>
            </w:r>
          </w:p>
          <w:p w14:paraId="20B5B2BE">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本项目水平衡图见图2-1。</w:t>
            </w:r>
          </w:p>
          <w:p w14:paraId="51B9C888">
            <w:pPr>
              <w:pStyle w:val="53"/>
              <w:bidi w:val="0"/>
              <w:spacing w:line="240" w:lineRule="auto"/>
              <w:ind w:left="0" w:leftChars="0" w:right="0" w:rightChars="0" w:firstLine="0" w:firstLineChars="0"/>
              <w:jc w:val="center"/>
              <w:rPr>
                <w:rFonts w:hint="eastAsia"/>
                <w:lang w:val="en-US" w:eastAsia="zh-CN"/>
              </w:rPr>
            </w:pPr>
            <w:r>
              <w:rPr>
                <w:rFonts w:hint="eastAsia"/>
                <w:lang w:val="en-US" w:eastAsia="zh-CN"/>
              </w:rPr>
              <w:drawing>
                <wp:inline distT="0" distB="0" distL="114300" distR="114300">
                  <wp:extent cx="5146040" cy="5604510"/>
                  <wp:effectExtent l="0" t="0" r="0" b="0"/>
                  <wp:docPr id="6"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 descr="wps"/>
                          <pic:cNvPicPr>
                            <a:picLocks noChangeAspect="1"/>
                          </pic:cNvPicPr>
                        </pic:nvPicPr>
                        <pic:blipFill>
                          <a:blip r:embed="rId11"/>
                          <a:stretch>
                            <a:fillRect/>
                          </a:stretch>
                        </pic:blipFill>
                        <pic:spPr>
                          <a:xfrm>
                            <a:off x="0" y="0"/>
                            <a:ext cx="5146040" cy="5604510"/>
                          </a:xfrm>
                          <a:prstGeom prst="rect">
                            <a:avLst/>
                          </a:prstGeom>
                        </pic:spPr>
                      </pic:pic>
                    </a:graphicData>
                  </a:graphic>
                </wp:inline>
              </w:drawing>
            </w:r>
          </w:p>
          <w:p w14:paraId="0973B04F">
            <w:pPr>
              <w:keepNext w:val="0"/>
              <w:keepLines w:val="0"/>
              <w:pageBreakBefore w:val="0"/>
              <w:suppressLineNumbers w:val="0"/>
              <w:kinsoku/>
              <w:wordWrap/>
              <w:topLinePunct w:val="0"/>
              <w:autoSpaceDE/>
              <w:autoSpaceDN/>
              <w:bidi w:val="0"/>
              <w:spacing w:before="0" w:beforeAutospacing="0" w:after="0" w:afterAutospacing="0"/>
              <w:ind w:left="0" w:right="0"/>
              <w:jc w:val="center"/>
              <w:textAlignment w:val="auto"/>
              <w:rPr>
                <w:rFonts w:hint="eastAsia" w:cs="Times New Roman"/>
                <w:lang w:val="en-US" w:eastAsia="zh-CN"/>
              </w:rPr>
            </w:pPr>
            <w:r>
              <w:rPr>
                <w:rStyle w:val="43"/>
                <w:rFonts w:hint="eastAsia"/>
                <w:lang w:val="en-US" w:eastAsia="zh-CN"/>
              </w:rPr>
              <w:t>图2-1    项目水平衡图     m</w:t>
            </w:r>
            <w:r>
              <w:rPr>
                <w:rStyle w:val="43"/>
                <w:rFonts w:hint="eastAsia"/>
                <w:vertAlign w:val="superscript"/>
                <w:lang w:val="en-US" w:eastAsia="zh-CN"/>
              </w:rPr>
              <w:t>3</w:t>
            </w:r>
            <w:r>
              <w:rPr>
                <w:rStyle w:val="43"/>
                <w:rFonts w:hint="eastAsia"/>
                <w:lang w:val="en-US" w:eastAsia="zh-CN"/>
              </w:rPr>
              <w:t>/a</w:t>
            </w:r>
          </w:p>
          <w:p w14:paraId="02F64505">
            <w:pPr>
              <w:pStyle w:val="2"/>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11.项目环保投资估算</w:t>
            </w:r>
          </w:p>
          <w:p w14:paraId="6EA70AB2">
            <w:pPr>
              <w:pStyle w:val="8"/>
              <w:keepLines w:val="0"/>
              <w:pageBreakBefore w:val="0"/>
              <w:kinsoku/>
              <w:wordWrap/>
              <w:topLinePunct w:val="0"/>
              <w:autoSpaceDE/>
              <w:autoSpaceDN/>
              <w:bidi w:val="0"/>
              <w:spacing w:beforeAutospacing="0" w:afterAutospacing="0" w:line="240" w:lineRule="auto"/>
              <w:textAlignment w:val="auto"/>
            </w:pPr>
            <w:r>
              <w:t>本项目</w:t>
            </w:r>
            <w:r>
              <w:rPr>
                <w:highlight w:val="none"/>
              </w:rPr>
              <w:t>总</w:t>
            </w:r>
            <w:r>
              <w:rPr>
                <w:rFonts w:hint="eastAsia"/>
                <w:highlight w:val="none"/>
              </w:rPr>
              <w:t>投资</w:t>
            </w:r>
            <w:r>
              <w:rPr>
                <w:rFonts w:hint="eastAsia"/>
                <w:highlight w:val="none"/>
                <w:lang w:val="en-US" w:eastAsia="zh-CN"/>
              </w:rPr>
              <w:t>6500</w:t>
            </w:r>
            <w:r>
              <w:rPr>
                <w:highlight w:val="none"/>
              </w:rPr>
              <w:t>万元，其中环保投资</w:t>
            </w:r>
            <w:r>
              <w:rPr>
                <w:rFonts w:hint="eastAsia"/>
                <w:highlight w:val="none"/>
                <w:lang w:val="en-US" w:eastAsia="zh-CN"/>
              </w:rPr>
              <w:t>117</w:t>
            </w:r>
            <w:r>
              <w:rPr>
                <w:rFonts w:hint="eastAsia"/>
                <w:highlight w:val="none"/>
              </w:rPr>
              <w:t>万元</w:t>
            </w:r>
            <w:r>
              <w:rPr>
                <w:highlight w:val="none"/>
              </w:rPr>
              <w:t>，占投资的</w:t>
            </w:r>
            <w:r>
              <w:rPr>
                <w:rFonts w:hint="eastAsia"/>
                <w:highlight w:val="none"/>
                <w:lang w:val="en-US" w:eastAsia="zh-CN"/>
              </w:rPr>
              <w:t>1.8</w:t>
            </w:r>
            <w:r>
              <w:rPr>
                <w:rFonts w:hint="eastAsia"/>
                <w:highlight w:val="none"/>
              </w:rPr>
              <w:t>%</w:t>
            </w:r>
            <w:r>
              <w:t>，具体情况</w:t>
            </w:r>
            <w:r>
              <w:rPr>
                <w:rFonts w:hint="eastAsia"/>
                <w:lang w:eastAsia="zh-CN"/>
              </w:rPr>
              <w:t>见</w:t>
            </w:r>
            <w:r>
              <w:rPr>
                <w:rFonts w:hint="eastAsia"/>
                <w:lang w:val="en-US" w:eastAsia="zh-CN"/>
              </w:rPr>
              <w:t>下</w:t>
            </w:r>
            <w:r>
              <w:rPr>
                <w:rFonts w:hint="eastAsia"/>
                <w:lang w:eastAsia="zh-CN"/>
              </w:rPr>
              <w:t>表</w:t>
            </w:r>
            <w:r>
              <w:t>。</w:t>
            </w:r>
          </w:p>
          <w:p w14:paraId="4CAC1535">
            <w:pPr>
              <w:pStyle w:val="42"/>
              <w:keepLines w:val="0"/>
              <w:pageBreakBefore w:val="0"/>
              <w:kinsoku/>
              <w:wordWrap/>
              <w:topLinePunct w:val="0"/>
              <w:autoSpaceDE/>
              <w:autoSpaceDN/>
              <w:bidi w:val="0"/>
              <w:spacing w:beforeAutospacing="0" w:afterAutospacing="0"/>
              <w:textAlignment w:val="auto"/>
              <w:rPr>
                <w:rFonts w:hint="default"/>
              </w:rPr>
            </w:pPr>
            <w:r>
              <w:rPr>
                <w:rFonts w:hint="eastAsia"/>
                <w:lang w:val="en-US" w:eastAsia="zh-CN"/>
              </w:rPr>
              <w:t xml:space="preserve">表2-9    </w:t>
            </w:r>
            <w:r>
              <w:rPr>
                <w:rFonts w:hint="default"/>
              </w:rPr>
              <w:t>环保设施（措施）及投资估算一览表</w:t>
            </w:r>
          </w:p>
          <w:tbl>
            <w:tblPr>
              <w:tblStyle w:val="23"/>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565"/>
              <w:gridCol w:w="1369"/>
              <w:gridCol w:w="799"/>
              <w:gridCol w:w="4068"/>
              <w:gridCol w:w="799"/>
            </w:tblGrid>
            <w:tr w14:paraId="6F556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302" w:type="pct"/>
                  <w:noWrap w:val="0"/>
                  <w:vAlign w:val="center"/>
                </w:tcPr>
                <w:p w14:paraId="3C50CFAE">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时段</w:t>
                  </w:r>
                </w:p>
              </w:tc>
              <w:tc>
                <w:tcPr>
                  <w:tcW w:w="1195" w:type="pct"/>
                  <w:gridSpan w:val="2"/>
                  <w:noWrap w:val="0"/>
                  <w:vAlign w:val="center"/>
                </w:tcPr>
                <w:p w14:paraId="0809C86E">
                  <w:pPr>
                    <w:pStyle w:val="40"/>
                    <w:keepLines w:val="0"/>
                    <w:pageBreakBefore w:val="0"/>
                    <w:kinsoku/>
                    <w:wordWrap/>
                    <w:topLinePunct w:val="0"/>
                    <w:autoSpaceDE/>
                    <w:autoSpaceDN/>
                    <w:bidi w:val="0"/>
                    <w:spacing w:beforeAutospacing="0" w:afterAutospacing="0"/>
                    <w:textAlignment w:val="auto"/>
                    <w:rPr>
                      <w:rFonts w:hint="default"/>
                      <w:highlight w:val="none"/>
                    </w:rPr>
                  </w:pPr>
                  <w:r>
                    <w:rPr>
                      <w:rFonts w:hint="eastAsia"/>
                      <w:highlight w:val="none"/>
                      <w:lang w:val="en-US" w:eastAsia="zh-CN"/>
                    </w:rPr>
                    <w:t>项目</w:t>
                  </w:r>
                </w:p>
              </w:tc>
              <w:tc>
                <w:tcPr>
                  <w:tcW w:w="3007" w:type="pct"/>
                  <w:gridSpan w:val="2"/>
                  <w:noWrap w:val="0"/>
                  <w:vAlign w:val="center"/>
                </w:tcPr>
                <w:p w14:paraId="23FC184A">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环保措施</w:t>
                  </w:r>
                </w:p>
              </w:tc>
              <w:tc>
                <w:tcPr>
                  <w:tcW w:w="494" w:type="pct"/>
                  <w:noWrap w:val="0"/>
                  <w:vAlign w:val="center"/>
                </w:tcPr>
                <w:p w14:paraId="621A804B">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投资（万元）</w:t>
                  </w:r>
                </w:p>
              </w:tc>
            </w:tr>
            <w:tr w14:paraId="25719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02" w:type="pct"/>
                  <w:vMerge w:val="restart"/>
                  <w:noWrap w:val="0"/>
                  <w:vAlign w:val="center"/>
                </w:tcPr>
                <w:p w14:paraId="1C4B8C71">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施工期</w:t>
                  </w:r>
                </w:p>
              </w:tc>
              <w:tc>
                <w:tcPr>
                  <w:tcW w:w="1195" w:type="pct"/>
                  <w:gridSpan w:val="2"/>
                  <w:noWrap w:val="0"/>
                  <w:vAlign w:val="center"/>
                </w:tcPr>
                <w:p w14:paraId="0CE1D8F3">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default"/>
                      <w:highlight w:val="none"/>
                      <w:lang w:val="en-US" w:eastAsia="zh-CN"/>
                    </w:rPr>
                    <w:t>废气治理</w:t>
                  </w:r>
                </w:p>
              </w:tc>
              <w:tc>
                <w:tcPr>
                  <w:tcW w:w="3007" w:type="pct"/>
                  <w:gridSpan w:val="2"/>
                  <w:noWrap w:val="0"/>
                  <w:vAlign w:val="center"/>
                </w:tcPr>
                <w:p w14:paraId="5FC8378A">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定期对路面和施工场区洒水、材料运输中要采取遮盖措施</w:t>
                  </w:r>
                </w:p>
              </w:tc>
              <w:tc>
                <w:tcPr>
                  <w:tcW w:w="494" w:type="pct"/>
                  <w:noWrap w:val="0"/>
                  <w:vAlign w:val="center"/>
                </w:tcPr>
                <w:p w14:paraId="634B10D6">
                  <w:pPr>
                    <w:pStyle w:val="40"/>
                    <w:bidi w:val="0"/>
                    <w:rPr>
                      <w:rFonts w:hint="default"/>
                      <w:lang w:val="en-US" w:eastAsia="zh-CN"/>
                    </w:rPr>
                  </w:pPr>
                  <w:r>
                    <w:rPr>
                      <w:rFonts w:hint="eastAsia"/>
                      <w:lang w:val="en-US" w:eastAsia="zh-CN"/>
                    </w:rPr>
                    <w:t>2.5</w:t>
                  </w:r>
                </w:p>
              </w:tc>
            </w:tr>
            <w:tr w14:paraId="0096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02" w:type="pct"/>
                  <w:vMerge w:val="continue"/>
                  <w:noWrap w:val="0"/>
                  <w:vAlign w:val="center"/>
                </w:tcPr>
                <w:p w14:paraId="06196F85">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1195" w:type="pct"/>
                  <w:gridSpan w:val="2"/>
                  <w:noWrap w:val="0"/>
                  <w:vAlign w:val="center"/>
                </w:tcPr>
                <w:p w14:paraId="29AB575F">
                  <w:pPr>
                    <w:pStyle w:val="40"/>
                    <w:keepLines w:val="0"/>
                    <w:pageBreakBefore w:val="0"/>
                    <w:kinsoku/>
                    <w:wordWrap/>
                    <w:topLinePunct w:val="0"/>
                    <w:autoSpaceDE/>
                    <w:autoSpaceDN/>
                    <w:bidi w:val="0"/>
                    <w:spacing w:beforeAutospacing="0" w:afterAutospacing="0"/>
                    <w:textAlignment w:val="auto"/>
                    <w:rPr>
                      <w:highlight w:val="none"/>
                    </w:rPr>
                  </w:pPr>
                  <w:r>
                    <w:rPr>
                      <w:highlight w:val="none"/>
                    </w:rPr>
                    <w:t>废水</w:t>
                  </w:r>
                  <w:r>
                    <w:rPr>
                      <w:rFonts w:hint="eastAsia"/>
                      <w:highlight w:val="none"/>
                      <w:lang w:val="en-US" w:eastAsia="zh-CN"/>
                    </w:rPr>
                    <w:t>治理</w:t>
                  </w:r>
                </w:p>
              </w:tc>
              <w:tc>
                <w:tcPr>
                  <w:tcW w:w="3007" w:type="pct"/>
                  <w:gridSpan w:val="2"/>
                  <w:noWrap w:val="0"/>
                  <w:vAlign w:val="center"/>
                </w:tcPr>
                <w:p w14:paraId="0EC3746E">
                  <w:pPr>
                    <w:pStyle w:val="40"/>
                    <w:keepLines w:val="0"/>
                    <w:pageBreakBefore w:val="0"/>
                    <w:kinsoku/>
                    <w:wordWrap/>
                    <w:topLinePunct w:val="0"/>
                    <w:autoSpaceDE/>
                    <w:autoSpaceDN/>
                    <w:bidi w:val="0"/>
                    <w:spacing w:beforeAutospacing="0" w:afterAutospacing="0"/>
                    <w:textAlignment w:val="auto"/>
                    <w:rPr>
                      <w:highlight w:val="none"/>
                    </w:rPr>
                  </w:pPr>
                  <w:r>
                    <w:rPr>
                      <w:rFonts w:hint="eastAsia"/>
                      <w:highlight w:val="none"/>
                      <w:lang w:val="en-US" w:eastAsia="zh-CN"/>
                    </w:rPr>
                    <w:t>设置临时沉淀池，经过沉淀池沉淀后，用于洒水抑尘</w:t>
                  </w:r>
                </w:p>
              </w:tc>
              <w:tc>
                <w:tcPr>
                  <w:tcW w:w="494" w:type="pct"/>
                  <w:noWrap w:val="0"/>
                  <w:vAlign w:val="center"/>
                </w:tcPr>
                <w:p w14:paraId="126BC793">
                  <w:pPr>
                    <w:pStyle w:val="40"/>
                    <w:bidi w:val="0"/>
                    <w:rPr>
                      <w:rFonts w:hint="default"/>
                      <w:lang w:val="en-US" w:eastAsia="zh-CN"/>
                    </w:rPr>
                  </w:pPr>
                  <w:r>
                    <w:rPr>
                      <w:rFonts w:hint="eastAsia"/>
                      <w:lang w:val="en-US" w:eastAsia="zh-CN"/>
                    </w:rPr>
                    <w:t>3</w:t>
                  </w:r>
                </w:p>
              </w:tc>
            </w:tr>
            <w:tr w14:paraId="3E64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302" w:type="pct"/>
                  <w:vMerge w:val="continue"/>
                  <w:noWrap w:val="0"/>
                  <w:vAlign w:val="center"/>
                </w:tcPr>
                <w:p w14:paraId="514A1D95">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1195" w:type="pct"/>
                  <w:gridSpan w:val="2"/>
                  <w:noWrap w:val="0"/>
                  <w:vAlign w:val="center"/>
                </w:tcPr>
                <w:p w14:paraId="4F19AC36">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default"/>
                      <w:highlight w:val="none"/>
                      <w:lang w:val="en-US" w:eastAsia="zh-CN"/>
                    </w:rPr>
                    <w:t>固废治理</w:t>
                  </w:r>
                </w:p>
              </w:tc>
              <w:tc>
                <w:tcPr>
                  <w:tcW w:w="3007" w:type="pct"/>
                  <w:gridSpan w:val="2"/>
                  <w:noWrap w:val="0"/>
                  <w:vAlign w:val="center"/>
                </w:tcPr>
                <w:p w14:paraId="55617373">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建筑垃圾收集后堆放于指定地点，由施工方统一清运至当地建筑垃圾填埋场统一处理</w:t>
                  </w:r>
                </w:p>
              </w:tc>
              <w:tc>
                <w:tcPr>
                  <w:tcW w:w="494" w:type="pct"/>
                  <w:noWrap w:val="0"/>
                  <w:vAlign w:val="center"/>
                </w:tcPr>
                <w:p w14:paraId="354FBDAF">
                  <w:pPr>
                    <w:pStyle w:val="40"/>
                    <w:bidi w:val="0"/>
                    <w:rPr>
                      <w:rFonts w:hint="default"/>
                      <w:lang w:val="en-US" w:eastAsia="zh-CN"/>
                    </w:rPr>
                  </w:pPr>
                  <w:r>
                    <w:rPr>
                      <w:rFonts w:hint="eastAsia"/>
                      <w:lang w:val="en-US" w:eastAsia="zh-CN"/>
                    </w:rPr>
                    <w:t>2</w:t>
                  </w:r>
                </w:p>
              </w:tc>
            </w:tr>
            <w:tr w14:paraId="57BB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302" w:type="pct"/>
                  <w:vMerge w:val="continue"/>
                  <w:noWrap w:val="0"/>
                  <w:vAlign w:val="center"/>
                </w:tcPr>
                <w:p w14:paraId="783A6627">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1195" w:type="pct"/>
                  <w:gridSpan w:val="2"/>
                  <w:noWrap w:val="0"/>
                  <w:vAlign w:val="center"/>
                </w:tcPr>
                <w:p w14:paraId="37D34664">
                  <w:pPr>
                    <w:pStyle w:val="40"/>
                    <w:keepLines w:val="0"/>
                    <w:pageBreakBefore w:val="0"/>
                    <w:kinsoku/>
                    <w:wordWrap/>
                    <w:topLinePunct w:val="0"/>
                    <w:autoSpaceDE/>
                    <w:autoSpaceDN/>
                    <w:bidi w:val="0"/>
                    <w:spacing w:beforeAutospacing="0" w:afterAutospacing="0"/>
                    <w:textAlignment w:val="auto"/>
                    <w:rPr>
                      <w:highlight w:val="none"/>
                    </w:rPr>
                  </w:pPr>
                  <w:r>
                    <w:rPr>
                      <w:rFonts w:hint="default"/>
                      <w:highlight w:val="none"/>
                      <w:lang w:val="en-US" w:eastAsia="zh-CN"/>
                    </w:rPr>
                    <w:t>噪声治理</w:t>
                  </w:r>
                </w:p>
              </w:tc>
              <w:tc>
                <w:tcPr>
                  <w:tcW w:w="3007" w:type="pct"/>
                  <w:gridSpan w:val="2"/>
                  <w:noWrap w:val="0"/>
                  <w:vAlign w:val="center"/>
                </w:tcPr>
                <w:p w14:paraId="032596E2">
                  <w:pPr>
                    <w:pStyle w:val="40"/>
                    <w:keepLines w:val="0"/>
                    <w:pageBreakBefore w:val="0"/>
                    <w:kinsoku/>
                    <w:wordWrap/>
                    <w:topLinePunct w:val="0"/>
                    <w:autoSpaceDE/>
                    <w:autoSpaceDN/>
                    <w:bidi w:val="0"/>
                    <w:spacing w:beforeAutospacing="0" w:afterAutospacing="0"/>
                    <w:textAlignment w:val="auto"/>
                    <w:rPr>
                      <w:highlight w:val="none"/>
                    </w:rPr>
                  </w:pPr>
                  <w:r>
                    <w:rPr>
                      <w:rFonts w:hint="default"/>
                      <w:highlight w:val="none"/>
                      <w:lang w:val="en-US" w:eastAsia="zh-CN"/>
                    </w:rPr>
                    <w:t>采用低噪声设备、定期进行维修和养护</w:t>
                  </w:r>
                </w:p>
              </w:tc>
              <w:tc>
                <w:tcPr>
                  <w:tcW w:w="494" w:type="pct"/>
                  <w:noWrap w:val="0"/>
                  <w:vAlign w:val="center"/>
                </w:tcPr>
                <w:p w14:paraId="35ADD2B4">
                  <w:pPr>
                    <w:pStyle w:val="40"/>
                    <w:bidi w:val="0"/>
                    <w:rPr>
                      <w:rFonts w:hint="default"/>
                      <w:lang w:val="en-US" w:eastAsia="zh-CN"/>
                    </w:rPr>
                  </w:pPr>
                  <w:r>
                    <w:rPr>
                      <w:rFonts w:hint="eastAsia"/>
                      <w:lang w:val="en-US" w:eastAsia="zh-CN"/>
                    </w:rPr>
                    <w:t>1</w:t>
                  </w:r>
                </w:p>
              </w:tc>
            </w:tr>
            <w:tr w14:paraId="1902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02" w:type="pct"/>
                  <w:vMerge w:val="restart"/>
                  <w:noWrap w:val="0"/>
                  <w:vAlign w:val="center"/>
                </w:tcPr>
                <w:p w14:paraId="7DD0DFAC">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运营期</w:t>
                  </w:r>
                </w:p>
              </w:tc>
              <w:tc>
                <w:tcPr>
                  <w:tcW w:w="349" w:type="pct"/>
                  <w:vMerge w:val="restart"/>
                  <w:noWrap w:val="0"/>
                  <w:vAlign w:val="center"/>
                </w:tcPr>
                <w:p w14:paraId="10D57183">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废气</w:t>
                  </w:r>
                </w:p>
              </w:tc>
              <w:tc>
                <w:tcPr>
                  <w:tcW w:w="845" w:type="pct"/>
                  <w:vMerge w:val="restart"/>
                  <w:noWrap w:val="0"/>
                  <w:vAlign w:val="center"/>
                </w:tcPr>
                <w:p w14:paraId="3C4440C8">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无组织粉尘</w:t>
                  </w:r>
                </w:p>
              </w:tc>
              <w:tc>
                <w:tcPr>
                  <w:tcW w:w="494" w:type="pct"/>
                  <w:noWrap w:val="0"/>
                  <w:vAlign w:val="center"/>
                </w:tcPr>
                <w:p w14:paraId="3E669427">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default"/>
                      <w:highlight w:val="none"/>
                      <w:lang w:val="en-US" w:eastAsia="zh-CN"/>
                    </w:rPr>
                    <w:t>原料堆存粉尘</w:t>
                  </w:r>
                </w:p>
              </w:tc>
              <w:tc>
                <w:tcPr>
                  <w:tcW w:w="2512" w:type="pct"/>
                  <w:noWrap w:val="0"/>
                  <w:vAlign w:val="center"/>
                </w:tcPr>
                <w:p w14:paraId="797A7723">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原料库房全密闭。</w:t>
                  </w:r>
                </w:p>
              </w:tc>
              <w:tc>
                <w:tcPr>
                  <w:tcW w:w="494" w:type="pct"/>
                  <w:noWrap w:val="0"/>
                  <w:vAlign w:val="center"/>
                </w:tcPr>
                <w:p w14:paraId="555979DF">
                  <w:pPr>
                    <w:pStyle w:val="40"/>
                    <w:bidi w:val="0"/>
                    <w:rPr>
                      <w:rFonts w:hint="default"/>
                      <w:lang w:val="en-US" w:eastAsia="zh-CN"/>
                    </w:rPr>
                  </w:pPr>
                  <w:r>
                    <w:rPr>
                      <w:rFonts w:hint="eastAsia"/>
                      <w:lang w:val="en-US" w:eastAsia="zh-CN"/>
                    </w:rPr>
                    <w:t>11.5</w:t>
                  </w:r>
                </w:p>
              </w:tc>
            </w:tr>
            <w:tr w14:paraId="0EC46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02" w:type="pct"/>
                  <w:vMerge w:val="continue"/>
                  <w:noWrap w:val="0"/>
                  <w:vAlign w:val="center"/>
                </w:tcPr>
                <w:p w14:paraId="4BF3ADF1">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349" w:type="pct"/>
                  <w:vMerge w:val="continue"/>
                  <w:noWrap w:val="0"/>
                  <w:vAlign w:val="center"/>
                </w:tcPr>
                <w:p w14:paraId="308EDCC4">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845" w:type="pct"/>
                  <w:vMerge w:val="continue"/>
                  <w:noWrap w:val="0"/>
                  <w:vAlign w:val="center"/>
                </w:tcPr>
                <w:p w14:paraId="73A04656">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494" w:type="pct"/>
                  <w:noWrap w:val="0"/>
                  <w:vAlign w:val="center"/>
                </w:tcPr>
                <w:p w14:paraId="30833E9E">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筒仓粉尘</w:t>
                  </w:r>
                </w:p>
              </w:tc>
              <w:tc>
                <w:tcPr>
                  <w:tcW w:w="2512" w:type="pct"/>
                  <w:noWrap w:val="0"/>
                  <w:vAlign w:val="center"/>
                </w:tcPr>
                <w:p w14:paraId="170EFDB9">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水泥、粉煤灰</w:t>
                  </w:r>
                  <w:r>
                    <w:rPr>
                      <w:rFonts w:hint="default"/>
                      <w:highlight w:val="none"/>
                      <w:lang w:val="en-US" w:eastAsia="zh-CN"/>
                    </w:rPr>
                    <w:t>入料仓时产生的粉尘经仓顶</w:t>
                  </w:r>
                  <w:r>
                    <w:rPr>
                      <w:rFonts w:hint="eastAsia"/>
                      <w:highlight w:val="none"/>
                      <w:lang w:val="en-US" w:eastAsia="zh-CN"/>
                    </w:rPr>
                    <w:t>脉冲式布袋除尘器</w:t>
                  </w:r>
                  <w:r>
                    <w:rPr>
                      <w:rFonts w:hint="default"/>
                      <w:highlight w:val="none"/>
                      <w:lang w:val="en-US" w:eastAsia="zh-CN"/>
                    </w:rPr>
                    <w:t>处理后无组织排放</w:t>
                  </w:r>
                  <w:r>
                    <w:rPr>
                      <w:rFonts w:hint="eastAsia"/>
                      <w:highlight w:val="none"/>
                      <w:lang w:val="en-US" w:eastAsia="zh-CN"/>
                    </w:rPr>
                    <w:t>。</w:t>
                  </w:r>
                </w:p>
              </w:tc>
              <w:tc>
                <w:tcPr>
                  <w:tcW w:w="494" w:type="pct"/>
                  <w:noWrap w:val="0"/>
                  <w:vAlign w:val="center"/>
                </w:tcPr>
                <w:p w14:paraId="0D2BDBC8">
                  <w:pPr>
                    <w:pStyle w:val="40"/>
                    <w:bidi w:val="0"/>
                    <w:rPr>
                      <w:rFonts w:hint="eastAsia"/>
                      <w:lang w:val="en-US" w:eastAsia="zh-CN"/>
                    </w:rPr>
                  </w:pPr>
                  <w:r>
                    <w:rPr>
                      <w:rFonts w:hint="eastAsia"/>
                      <w:lang w:val="en-US" w:eastAsia="zh-CN"/>
                    </w:rPr>
                    <w:t>12</w:t>
                  </w:r>
                </w:p>
              </w:tc>
            </w:tr>
            <w:tr w14:paraId="540D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02" w:type="pct"/>
                  <w:vMerge w:val="continue"/>
                  <w:noWrap w:val="0"/>
                  <w:vAlign w:val="center"/>
                </w:tcPr>
                <w:p w14:paraId="0C124ACC">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349" w:type="pct"/>
                  <w:vMerge w:val="continue"/>
                  <w:noWrap w:val="0"/>
                  <w:vAlign w:val="center"/>
                </w:tcPr>
                <w:p w14:paraId="3D1752EF">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845" w:type="pct"/>
                  <w:vMerge w:val="continue"/>
                  <w:noWrap w:val="0"/>
                  <w:vAlign w:val="center"/>
                </w:tcPr>
                <w:p w14:paraId="2006B6D9">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494" w:type="pct"/>
                  <w:noWrap w:val="0"/>
                  <w:vAlign w:val="center"/>
                </w:tcPr>
                <w:p w14:paraId="004D6843">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焊接烟尘</w:t>
                  </w:r>
                </w:p>
              </w:tc>
              <w:tc>
                <w:tcPr>
                  <w:tcW w:w="2512" w:type="pct"/>
                  <w:noWrap w:val="0"/>
                  <w:vAlign w:val="center"/>
                </w:tcPr>
                <w:p w14:paraId="2ED0EFB1">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经移动式烟尘净化器处理后无组织排放。</w:t>
                  </w:r>
                </w:p>
              </w:tc>
              <w:tc>
                <w:tcPr>
                  <w:tcW w:w="494" w:type="pct"/>
                  <w:noWrap w:val="0"/>
                  <w:vAlign w:val="center"/>
                </w:tcPr>
                <w:p w14:paraId="14A86FC2">
                  <w:pPr>
                    <w:pStyle w:val="40"/>
                    <w:bidi w:val="0"/>
                    <w:rPr>
                      <w:rFonts w:hint="eastAsia"/>
                      <w:lang w:val="en-US" w:eastAsia="zh-CN"/>
                    </w:rPr>
                  </w:pPr>
                  <w:r>
                    <w:rPr>
                      <w:rFonts w:hint="eastAsia"/>
                      <w:lang w:val="en-US" w:eastAsia="zh-CN"/>
                    </w:rPr>
                    <w:t>2</w:t>
                  </w:r>
                </w:p>
              </w:tc>
            </w:tr>
            <w:tr w14:paraId="4937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02" w:type="pct"/>
                  <w:vMerge w:val="continue"/>
                  <w:noWrap w:val="0"/>
                  <w:vAlign w:val="center"/>
                </w:tcPr>
                <w:p w14:paraId="66A48818">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349" w:type="pct"/>
                  <w:vMerge w:val="continue"/>
                  <w:noWrap w:val="0"/>
                  <w:vAlign w:val="center"/>
                </w:tcPr>
                <w:p w14:paraId="47C63964">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845" w:type="pct"/>
                  <w:vMerge w:val="restart"/>
                  <w:noWrap w:val="0"/>
                  <w:vAlign w:val="center"/>
                </w:tcPr>
                <w:p w14:paraId="6CE3952E">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有组织粉尘</w:t>
                  </w:r>
                </w:p>
              </w:tc>
              <w:tc>
                <w:tcPr>
                  <w:tcW w:w="494" w:type="pct"/>
                  <w:noWrap w:val="0"/>
                  <w:vAlign w:val="center"/>
                </w:tcPr>
                <w:p w14:paraId="18880F6D">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default"/>
                      <w:highlight w:val="none"/>
                      <w:lang w:val="en-US" w:eastAsia="zh-CN"/>
                    </w:rPr>
                    <w:t>投料粉尘</w:t>
                  </w:r>
                </w:p>
              </w:tc>
              <w:tc>
                <w:tcPr>
                  <w:tcW w:w="2512" w:type="pct"/>
                  <w:noWrap w:val="0"/>
                  <w:vAlign w:val="center"/>
                </w:tcPr>
                <w:p w14:paraId="3F2864D4">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集气罩收集后经袋式除尘器处理后由15m高排气筒DA001、DA002、DA003排放。</w:t>
                  </w:r>
                </w:p>
              </w:tc>
              <w:tc>
                <w:tcPr>
                  <w:tcW w:w="494" w:type="pct"/>
                  <w:noWrap w:val="0"/>
                  <w:vAlign w:val="center"/>
                </w:tcPr>
                <w:p w14:paraId="5C8B00CF">
                  <w:pPr>
                    <w:pStyle w:val="40"/>
                    <w:bidi w:val="0"/>
                    <w:rPr>
                      <w:rFonts w:hint="eastAsia"/>
                      <w:lang w:val="en-US" w:eastAsia="zh-CN"/>
                    </w:rPr>
                  </w:pPr>
                  <w:r>
                    <w:rPr>
                      <w:rFonts w:hint="eastAsia"/>
                      <w:lang w:val="en-US" w:eastAsia="zh-CN"/>
                    </w:rPr>
                    <w:t>27</w:t>
                  </w:r>
                </w:p>
              </w:tc>
            </w:tr>
            <w:tr w14:paraId="50F5E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02" w:type="pct"/>
                  <w:vMerge w:val="continue"/>
                  <w:noWrap w:val="0"/>
                  <w:vAlign w:val="center"/>
                </w:tcPr>
                <w:p w14:paraId="7C3220CF">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349" w:type="pct"/>
                  <w:vMerge w:val="continue"/>
                  <w:noWrap w:val="0"/>
                  <w:vAlign w:val="center"/>
                </w:tcPr>
                <w:p w14:paraId="7782052A">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845" w:type="pct"/>
                  <w:vMerge w:val="continue"/>
                  <w:noWrap w:val="0"/>
                  <w:vAlign w:val="center"/>
                </w:tcPr>
                <w:p w14:paraId="46DDF767">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494" w:type="pct"/>
                  <w:noWrap w:val="0"/>
                  <w:vAlign w:val="center"/>
                </w:tcPr>
                <w:p w14:paraId="1CF67400">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搅拌粉尘</w:t>
                  </w:r>
                </w:p>
              </w:tc>
              <w:tc>
                <w:tcPr>
                  <w:tcW w:w="2512" w:type="pct"/>
                  <w:noWrap w:val="0"/>
                  <w:vAlign w:val="center"/>
                </w:tcPr>
                <w:p w14:paraId="3B143114">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集气罩收集后经袋式除尘器处理后由15m高排气筒DA004、DA005、DA006排放。</w:t>
                  </w:r>
                </w:p>
              </w:tc>
              <w:tc>
                <w:tcPr>
                  <w:tcW w:w="494" w:type="pct"/>
                  <w:noWrap w:val="0"/>
                  <w:vAlign w:val="center"/>
                </w:tcPr>
                <w:p w14:paraId="562311AD">
                  <w:pPr>
                    <w:pStyle w:val="40"/>
                    <w:bidi w:val="0"/>
                    <w:rPr>
                      <w:rFonts w:hint="eastAsia"/>
                      <w:lang w:val="en-US" w:eastAsia="zh-CN"/>
                    </w:rPr>
                  </w:pPr>
                  <w:r>
                    <w:rPr>
                      <w:rFonts w:hint="eastAsia"/>
                      <w:lang w:val="en-US" w:eastAsia="zh-CN"/>
                    </w:rPr>
                    <w:t>27</w:t>
                  </w:r>
                </w:p>
              </w:tc>
            </w:tr>
            <w:tr w14:paraId="5C032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302" w:type="pct"/>
                  <w:vMerge w:val="continue"/>
                  <w:noWrap w:val="0"/>
                  <w:vAlign w:val="center"/>
                </w:tcPr>
                <w:p w14:paraId="6A4E3FD3">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349" w:type="pct"/>
                  <w:vMerge w:val="continue"/>
                  <w:noWrap w:val="0"/>
                  <w:vAlign w:val="center"/>
                </w:tcPr>
                <w:p w14:paraId="44E8F372">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845" w:type="pct"/>
                  <w:noWrap w:val="0"/>
                  <w:vAlign w:val="center"/>
                </w:tcPr>
                <w:p w14:paraId="1A2A8894">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食堂油烟</w:t>
                  </w:r>
                </w:p>
              </w:tc>
              <w:tc>
                <w:tcPr>
                  <w:tcW w:w="3007" w:type="pct"/>
                  <w:gridSpan w:val="2"/>
                  <w:noWrap w:val="0"/>
                  <w:vAlign w:val="center"/>
                </w:tcPr>
                <w:p w14:paraId="25053EB1">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default"/>
                      <w:highlight w:val="none"/>
                      <w:lang w:val="en-US" w:eastAsia="zh-CN"/>
                    </w:rPr>
                    <w:t>食堂油烟经1台</w:t>
                  </w:r>
                  <w:r>
                    <w:rPr>
                      <w:rFonts w:hint="eastAsia"/>
                      <w:highlight w:val="none"/>
                      <w:lang w:val="en-US" w:eastAsia="zh-CN"/>
                    </w:rPr>
                    <w:t>油烟净化器</w:t>
                  </w:r>
                  <w:r>
                    <w:rPr>
                      <w:rFonts w:hint="default"/>
                      <w:highlight w:val="none"/>
                      <w:lang w:val="en-US" w:eastAsia="zh-CN"/>
                    </w:rPr>
                    <w:t>处理后排放</w:t>
                  </w:r>
                  <w:r>
                    <w:rPr>
                      <w:rFonts w:hint="eastAsia"/>
                      <w:highlight w:val="none"/>
                      <w:lang w:val="en-US" w:eastAsia="zh-CN"/>
                    </w:rPr>
                    <w:t>。</w:t>
                  </w:r>
                </w:p>
              </w:tc>
              <w:tc>
                <w:tcPr>
                  <w:tcW w:w="494" w:type="pct"/>
                  <w:noWrap w:val="0"/>
                  <w:vAlign w:val="center"/>
                </w:tcPr>
                <w:p w14:paraId="536750A7">
                  <w:pPr>
                    <w:pStyle w:val="40"/>
                    <w:bidi w:val="0"/>
                    <w:rPr>
                      <w:rFonts w:hint="default"/>
                      <w:lang w:val="en-US" w:eastAsia="zh-CN"/>
                    </w:rPr>
                  </w:pPr>
                  <w:r>
                    <w:rPr>
                      <w:rFonts w:hint="eastAsia"/>
                      <w:lang w:val="en-US" w:eastAsia="zh-CN"/>
                    </w:rPr>
                    <w:t>2</w:t>
                  </w:r>
                </w:p>
              </w:tc>
            </w:tr>
            <w:tr w14:paraId="2BB5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02" w:type="pct"/>
                  <w:vMerge w:val="continue"/>
                  <w:noWrap w:val="0"/>
                  <w:vAlign w:val="center"/>
                </w:tcPr>
                <w:p w14:paraId="54C48752">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349" w:type="pct"/>
                  <w:vMerge w:val="restart"/>
                  <w:noWrap w:val="0"/>
                  <w:vAlign w:val="center"/>
                </w:tcPr>
                <w:p w14:paraId="74B4010A">
                  <w:pPr>
                    <w:pStyle w:val="40"/>
                    <w:keepLines w:val="0"/>
                    <w:pageBreakBefore w:val="0"/>
                    <w:kinsoku/>
                    <w:wordWrap/>
                    <w:topLinePunct w:val="0"/>
                    <w:autoSpaceDE/>
                    <w:autoSpaceDN/>
                    <w:bidi w:val="0"/>
                    <w:spacing w:beforeAutospacing="0" w:afterAutospacing="0"/>
                    <w:textAlignment w:val="auto"/>
                    <w:rPr>
                      <w:rFonts w:hint="eastAsia" w:eastAsia="宋体"/>
                      <w:highlight w:val="none"/>
                      <w:lang w:val="en-US" w:eastAsia="zh-CN"/>
                    </w:rPr>
                  </w:pPr>
                  <w:r>
                    <w:rPr>
                      <w:rFonts w:hint="eastAsia"/>
                      <w:highlight w:val="none"/>
                      <w:lang w:val="en-US" w:eastAsia="zh-CN"/>
                    </w:rPr>
                    <w:t>废水</w:t>
                  </w:r>
                </w:p>
              </w:tc>
              <w:tc>
                <w:tcPr>
                  <w:tcW w:w="845" w:type="pct"/>
                  <w:noWrap w:val="0"/>
                  <w:vAlign w:val="center"/>
                </w:tcPr>
                <w:p w14:paraId="5EAC2FAC">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生活污水</w:t>
                  </w:r>
                </w:p>
              </w:tc>
              <w:tc>
                <w:tcPr>
                  <w:tcW w:w="3007" w:type="pct"/>
                  <w:gridSpan w:val="2"/>
                  <w:noWrap w:val="0"/>
                  <w:vAlign w:val="center"/>
                </w:tcPr>
                <w:p w14:paraId="4DFDA67A">
                  <w:pPr>
                    <w:pStyle w:val="40"/>
                    <w:keepLines w:val="0"/>
                    <w:pageBreakBefore w:val="0"/>
                    <w:kinsoku/>
                    <w:wordWrap/>
                    <w:topLinePunct w:val="0"/>
                    <w:autoSpaceDE/>
                    <w:autoSpaceDN/>
                    <w:bidi w:val="0"/>
                    <w:spacing w:beforeAutospacing="0" w:afterAutospacing="0"/>
                    <w:textAlignment w:val="auto"/>
                    <w:rPr>
                      <w:rFonts w:hint="eastAsia" w:eastAsia="宋体"/>
                      <w:highlight w:val="none"/>
                      <w:lang w:val="en-US" w:eastAsia="zh-CN"/>
                    </w:rPr>
                  </w:pPr>
                  <w:r>
                    <w:rPr>
                      <w:rFonts w:hint="eastAsia"/>
                      <w:highlight w:val="none"/>
                      <w:lang w:val="en-US" w:eastAsia="zh-CN"/>
                    </w:rPr>
                    <w:t>经化粪池处理后拉运至若羌县城镇污水处理厂进行集中处理。</w:t>
                  </w:r>
                </w:p>
              </w:tc>
              <w:tc>
                <w:tcPr>
                  <w:tcW w:w="494" w:type="pct"/>
                  <w:noWrap w:val="0"/>
                  <w:vAlign w:val="center"/>
                </w:tcPr>
                <w:p w14:paraId="77DE023E">
                  <w:pPr>
                    <w:pStyle w:val="40"/>
                    <w:bidi w:val="0"/>
                    <w:rPr>
                      <w:rFonts w:hint="default"/>
                      <w:lang w:val="en-US" w:eastAsia="zh-CN"/>
                    </w:rPr>
                  </w:pPr>
                  <w:r>
                    <w:rPr>
                      <w:rFonts w:hint="eastAsia"/>
                      <w:lang w:val="en-US" w:eastAsia="zh-CN"/>
                    </w:rPr>
                    <w:t>5</w:t>
                  </w:r>
                </w:p>
              </w:tc>
            </w:tr>
            <w:tr w14:paraId="53B3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02" w:type="pct"/>
                  <w:vMerge w:val="continue"/>
                  <w:noWrap w:val="0"/>
                  <w:vAlign w:val="center"/>
                </w:tcPr>
                <w:p w14:paraId="50AFA693">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349" w:type="pct"/>
                  <w:vMerge w:val="continue"/>
                  <w:noWrap w:val="0"/>
                  <w:vAlign w:val="center"/>
                </w:tcPr>
                <w:p w14:paraId="115FFD29">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845" w:type="pct"/>
                  <w:noWrap w:val="0"/>
                  <w:vAlign w:val="center"/>
                </w:tcPr>
                <w:p w14:paraId="16358772">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湿式切割废水</w:t>
                  </w:r>
                </w:p>
              </w:tc>
              <w:tc>
                <w:tcPr>
                  <w:tcW w:w="3007" w:type="pct"/>
                  <w:gridSpan w:val="2"/>
                  <w:noWrap w:val="0"/>
                  <w:vAlign w:val="center"/>
                </w:tcPr>
                <w:p w14:paraId="2942F32F">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经沉淀池收集沉淀后，循环利用。</w:t>
                  </w:r>
                </w:p>
              </w:tc>
              <w:tc>
                <w:tcPr>
                  <w:tcW w:w="494" w:type="pct"/>
                  <w:noWrap w:val="0"/>
                  <w:vAlign w:val="center"/>
                </w:tcPr>
                <w:p w14:paraId="197AC9A0">
                  <w:pPr>
                    <w:pStyle w:val="40"/>
                    <w:bidi w:val="0"/>
                    <w:rPr>
                      <w:rFonts w:hint="eastAsia"/>
                      <w:lang w:val="en-US" w:eastAsia="zh-CN"/>
                    </w:rPr>
                  </w:pPr>
                  <w:r>
                    <w:rPr>
                      <w:rFonts w:hint="eastAsia"/>
                      <w:lang w:val="en-US" w:eastAsia="zh-CN"/>
                    </w:rPr>
                    <w:t>3</w:t>
                  </w:r>
                </w:p>
              </w:tc>
            </w:tr>
            <w:tr w14:paraId="7CA98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02" w:type="pct"/>
                  <w:vMerge w:val="continue"/>
                  <w:noWrap w:val="0"/>
                  <w:vAlign w:val="center"/>
                </w:tcPr>
                <w:p w14:paraId="768800A7">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349" w:type="pct"/>
                  <w:vMerge w:val="continue"/>
                  <w:noWrap w:val="0"/>
                  <w:vAlign w:val="center"/>
                </w:tcPr>
                <w:p w14:paraId="3C2A7DE5">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845" w:type="pct"/>
                  <w:noWrap w:val="0"/>
                  <w:vAlign w:val="center"/>
                </w:tcPr>
                <w:p w14:paraId="0EBE9991">
                  <w:pPr>
                    <w:pStyle w:val="40"/>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设备清洗废水和模具清洗废水</w:t>
                  </w:r>
                </w:p>
              </w:tc>
              <w:tc>
                <w:tcPr>
                  <w:tcW w:w="3007" w:type="pct"/>
                  <w:gridSpan w:val="2"/>
                  <w:noWrap w:val="0"/>
                  <w:vAlign w:val="center"/>
                </w:tcPr>
                <w:p w14:paraId="1E2DAEBE">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经沉淀池收集沉淀后，回用于产品。</w:t>
                  </w:r>
                </w:p>
              </w:tc>
              <w:tc>
                <w:tcPr>
                  <w:tcW w:w="494" w:type="pct"/>
                  <w:noWrap w:val="0"/>
                  <w:vAlign w:val="center"/>
                </w:tcPr>
                <w:p w14:paraId="5615DB4B">
                  <w:pPr>
                    <w:pStyle w:val="40"/>
                    <w:bidi w:val="0"/>
                    <w:rPr>
                      <w:rFonts w:hint="default"/>
                      <w:lang w:val="en-US" w:eastAsia="zh-CN"/>
                    </w:rPr>
                  </w:pPr>
                  <w:r>
                    <w:rPr>
                      <w:rFonts w:hint="eastAsia"/>
                      <w:lang w:val="en-US" w:eastAsia="zh-CN"/>
                    </w:rPr>
                    <w:t>3</w:t>
                  </w:r>
                </w:p>
              </w:tc>
            </w:tr>
            <w:tr w14:paraId="1974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302" w:type="pct"/>
                  <w:vMerge w:val="continue"/>
                  <w:noWrap w:val="0"/>
                  <w:vAlign w:val="center"/>
                </w:tcPr>
                <w:p w14:paraId="7F7BC864">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1195" w:type="pct"/>
                  <w:gridSpan w:val="2"/>
                  <w:noWrap w:val="0"/>
                  <w:vAlign w:val="center"/>
                </w:tcPr>
                <w:p w14:paraId="67CEC7FF">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highlight w:val="none"/>
                    </w:rPr>
                    <w:t>固废</w:t>
                  </w:r>
                  <w:r>
                    <w:rPr>
                      <w:rFonts w:hint="eastAsia"/>
                      <w:highlight w:val="none"/>
                      <w:lang w:val="en-US" w:eastAsia="zh-CN"/>
                    </w:rPr>
                    <w:t>治理</w:t>
                  </w:r>
                </w:p>
              </w:tc>
              <w:tc>
                <w:tcPr>
                  <w:tcW w:w="3007" w:type="pct"/>
                  <w:gridSpan w:val="2"/>
                  <w:noWrap w:val="0"/>
                  <w:vAlign w:val="center"/>
                </w:tcPr>
                <w:p w14:paraId="7D52AD21">
                  <w:pPr>
                    <w:pStyle w:val="40"/>
                    <w:keepLines w:val="0"/>
                    <w:pageBreakBefore w:val="0"/>
                    <w:kinsoku/>
                    <w:wordWrap/>
                    <w:topLinePunct w:val="0"/>
                    <w:autoSpaceDE/>
                    <w:autoSpaceDN/>
                    <w:bidi w:val="0"/>
                    <w:spacing w:beforeAutospacing="0" w:afterAutospacing="0"/>
                    <w:textAlignment w:val="auto"/>
                    <w:rPr>
                      <w:rFonts w:hint="eastAsia" w:eastAsia="宋体"/>
                      <w:highlight w:val="none"/>
                      <w:lang w:val="en-US" w:eastAsia="zh-CN"/>
                    </w:rPr>
                  </w:pPr>
                  <w:r>
                    <w:rPr>
                      <w:highlight w:val="none"/>
                    </w:rPr>
                    <w:t>生活垃圾分类收集，定期清运；</w:t>
                  </w:r>
                  <w:r>
                    <w:rPr>
                      <w:rFonts w:hint="eastAsia"/>
                      <w:highlight w:val="none"/>
                    </w:rPr>
                    <w:t>除尘</w:t>
                  </w:r>
                  <w:r>
                    <w:rPr>
                      <w:rFonts w:hint="eastAsia"/>
                      <w:highlight w:val="none"/>
                      <w:lang w:val="en-US" w:eastAsia="zh-CN"/>
                    </w:rPr>
                    <w:t>灰和沉淀池沉渣</w:t>
                  </w:r>
                  <w:r>
                    <w:rPr>
                      <w:rFonts w:hint="eastAsia"/>
                      <w:highlight w:val="none"/>
                    </w:rPr>
                    <w:t>回用于生产，</w:t>
                  </w:r>
                  <w:r>
                    <w:rPr>
                      <w:rFonts w:hint="eastAsia"/>
                      <w:highlight w:val="none"/>
                      <w:lang w:val="en-US" w:eastAsia="zh-CN"/>
                    </w:rPr>
                    <w:t>废钢筋收集外售，废包装袋、</w:t>
                  </w:r>
                  <w:r>
                    <w:rPr>
                      <w:rFonts w:hint="eastAsia"/>
                      <w:highlight w:val="none"/>
                    </w:rPr>
                    <w:t>边角料及不合格产品</w:t>
                  </w:r>
                  <w:r>
                    <w:rPr>
                      <w:rFonts w:hint="eastAsia"/>
                      <w:highlight w:val="none"/>
                      <w:lang w:val="en-US" w:eastAsia="zh-CN"/>
                    </w:rPr>
                    <w:t>收集后外售综合利用</w:t>
                  </w:r>
                  <w:r>
                    <w:rPr>
                      <w:rFonts w:hint="eastAsia"/>
                      <w:highlight w:val="none"/>
                      <w:lang w:eastAsia="zh-CN"/>
                    </w:rPr>
                    <w:t>，</w:t>
                  </w:r>
                  <w:r>
                    <w:rPr>
                      <w:rFonts w:hint="eastAsia"/>
                      <w:highlight w:val="none"/>
                      <w:lang w:val="en-US" w:eastAsia="zh-CN"/>
                    </w:rPr>
                    <w:t>废布袋定期由设备厂家进行回收处理；废润滑油、废润滑油桶等危险废物贮存于危废贮存点内，定期交由有资质的单位进行处理。</w:t>
                  </w:r>
                </w:p>
              </w:tc>
              <w:tc>
                <w:tcPr>
                  <w:tcW w:w="494" w:type="pct"/>
                  <w:noWrap w:val="0"/>
                  <w:vAlign w:val="center"/>
                </w:tcPr>
                <w:p w14:paraId="5C90D22C">
                  <w:pPr>
                    <w:pStyle w:val="40"/>
                    <w:bidi w:val="0"/>
                    <w:rPr>
                      <w:rFonts w:hint="default"/>
                      <w:lang w:val="en-US" w:eastAsia="zh-CN"/>
                    </w:rPr>
                  </w:pPr>
                  <w:r>
                    <w:rPr>
                      <w:rFonts w:hint="eastAsia"/>
                      <w:lang w:val="en-US" w:eastAsia="zh-CN"/>
                    </w:rPr>
                    <w:t>7</w:t>
                  </w:r>
                </w:p>
              </w:tc>
            </w:tr>
            <w:tr w14:paraId="18C02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302" w:type="pct"/>
                  <w:vMerge w:val="continue"/>
                  <w:noWrap w:val="0"/>
                  <w:vAlign w:val="center"/>
                </w:tcPr>
                <w:p w14:paraId="74BC1A88">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1195" w:type="pct"/>
                  <w:gridSpan w:val="2"/>
                  <w:noWrap w:val="0"/>
                  <w:vAlign w:val="center"/>
                </w:tcPr>
                <w:p w14:paraId="257C3A9F">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highlight w:val="none"/>
                    </w:rPr>
                    <w:t>噪声</w:t>
                  </w:r>
                  <w:r>
                    <w:rPr>
                      <w:rFonts w:hint="eastAsia"/>
                      <w:highlight w:val="none"/>
                      <w:lang w:val="en-US" w:eastAsia="zh-CN"/>
                    </w:rPr>
                    <w:t>治理</w:t>
                  </w:r>
                </w:p>
              </w:tc>
              <w:tc>
                <w:tcPr>
                  <w:tcW w:w="3007" w:type="pct"/>
                  <w:gridSpan w:val="2"/>
                  <w:noWrap w:val="0"/>
                  <w:vAlign w:val="center"/>
                </w:tcPr>
                <w:p w14:paraId="58CDE21D">
                  <w:pPr>
                    <w:pStyle w:val="40"/>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highlight w:val="none"/>
                    </w:rPr>
                    <w:t>基础减震，定期维护</w:t>
                  </w:r>
                  <w:r>
                    <w:rPr>
                      <w:rFonts w:hint="eastAsia"/>
                      <w:highlight w:val="none"/>
                    </w:rPr>
                    <w:t>，封闭生产</w:t>
                  </w:r>
                </w:p>
              </w:tc>
              <w:tc>
                <w:tcPr>
                  <w:tcW w:w="494" w:type="pct"/>
                  <w:noWrap w:val="0"/>
                  <w:vAlign w:val="center"/>
                </w:tcPr>
                <w:p w14:paraId="57D15D29">
                  <w:pPr>
                    <w:pStyle w:val="40"/>
                    <w:bidi w:val="0"/>
                    <w:rPr>
                      <w:rFonts w:hint="default"/>
                      <w:lang w:val="en-US" w:eastAsia="zh-CN"/>
                    </w:rPr>
                  </w:pPr>
                  <w:r>
                    <w:rPr>
                      <w:rFonts w:hint="eastAsia"/>
                      <w:lang w:val="en-US" w:eastAsia="zh-CN"/>
                    </w:rPr>
                    <w:t>4</w:t>
                  </w:r>
                </w:p>
              </w:tc>
            </w:tr>
            <w:tr w14:paraId="20E4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497" w:type="pct"/>
                  <w:gridSpan w:val="3"/>
                  <w:noWrap w:val="0"/>
                  <w:vAlign w:val="center"/>
                </w:tcPr>
                <w:p w14:paraId="53E63E28">
                  <w:pPr>
                    <w:pStyle w:val="40"/>
                    <w:keepLines w:val="0"/>
                    <w:pageBreakBefore w:val="0"/>
                    <w:kinsoku/>
                    <w:wordWrap/>
                    <w:topLinePunct w:val="0"/>
                    <w:autoSpaceDE/>
                    <w:autoSpaceDN/>
                    <w:bidi w:val="0"/>
                    <w:spacing w:beforeAutospacing="0" w:afterAutospacing="0"/>
                    <w:textAlignment w:val="auto"/>
                    <w:rPr>
                      <w:highlight w:val="none"/>
                    </w:rPr>
                  </w:pPr>
                  <w:r>
                    <w:rPr>
                      <w:rFonts w:hint="eastAsia"/>
                      <w:highlight w:val="none"/>
                      <w:lang w:val="en-US" w:eastAsia="zh-CN"/>
                    </w:rPr>
                    <w:t>环境风险防范工程</w:t>
                  </w:r>
                </w:p>
              </w:tc>
              <w:tc>
                <w:tcPr>
                  <w:tcW w:w="3007" w:type="pct"/>
                  <w:gridSpan w:val="2"/>
                  <w:noWrap w:val="0"/>
                  <w:vAlign w:val="center"/>
                </w:tcPr>
                <w:p w14:paraId="735B469A">
                  <w:pPr>
                    <w:pStyle w:val="40"/>
                    <w:keepLines w:val="0"/>
                    <w:pageBreakBefore w:val="0"/>
                    <w:kinsoku/>
                    <w:wordWrap/>
                    <w:topLinePunct w:val="0"/>
                    <w:autoSpaceDE/>
                    <w:autoSpaceDN/>
                    <w:bidi w:val="0"/>
                    <w:spacing w:beforeAutospacing="0" w:afterAutospacing="0"/>
                    <w:textAlignment w:val="auto"/>
                    <w:rPr>
                      <w:highlight w:val="none"/>
                    </w:rPr>
                  </w:pPr>
                  <w:r>
                    <w:rPr>
                      <w:rFonts w:hint="eastAsia"/>
                      <w:highlight w:val="none"/>
                      <w:lang w:val="en-US" w:eastAsia="zh-CN"/>
                    </w:rPr>
                    <w:t>建设面积为10m</w:t>
                  </w:r>
                  <w:r>
                    <w:rPr>
                      <w:rFonts w:hint="eastAsia"/>
                      <w:highlight w:val="none"/>
                      <w:vertAlign w:val="superscript"/>
                      <w:lang w:val="en-US" w:eastAsia="zh-CN"/>
                    </w:rPr>
                    <w:t>2</w:t>
                  </w:r>
                  <w:r>
                    <w:rPr>
                      <w:rFonts w:hint="eastAsia"/>
                      <w:highlight w:val="none"/>
                      <w:lang w:val="en-US" w:eastAsia="zh-CN"/>
                    </w:rPr>
                    <w:t>危废贮存点</w:t>
                  </w:r>
                </w:p>
              </w:tc>
              <w:tc>
                <w:tcPr>
                  <w:tcW w:w="494" w:type="pct"/>
                  <w:noWrap w:val="0"/>
                  <w:vAlign w:val="center"/>
                </w:tcPr>
                <w:p w14:paraId="6D024401">
                  <w:pPr>
                    <w:pStyle w:val="40"/>
                    <w:bidi w:val="0"/>
                    <w:rPr>
                      <w:rFonts w:hint="default"/>
                      <w:lang w:val="en-US" w:eastAsia="zh-CN"/>
                    </w:rPr>
                  </w:pPr>
                  <w:r>
                    <w:rPr>
                      <w:rFonts w:hint="eastAsia"/>
                      <w:lang w:val="en-US" w:eastAsia="zh-CN"/>
                    </w:rPr>
                    <w:t>5</w:t>
                  </w:r>
                </w:p>
              </w:tc>
            </w:tr>
            <w:tr w14:paraId="478C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505" w:type="pct"/>
                  <w:gridSpan w:val="5"/>
                  <w:noWrap w:val="0"/>
                  <w:vAlign w:val="center"/>
                </w:tcPr>
                <w:p w14:paraId="560AF452">
                  <w:pPr>
                    <w:pStyle w:val="40"/>
                    <w:keepLines w:val="0"/>
                    <w:pageBreakBefore w:val="0"/>
                    <w:kinsoku/>
                    <w:wordWrap/>
                    <w:topLinePunct w:val="0"/>
                    <w:autoSpaceDE/>
                    <w:autoSpaceDN/>
                    <w:bidi w:val="0"/>
                    <w:spacing w:beforeAutospacing="0" w:afterAutospacing="0"/>
                    <w:textAlignment w:val="auto"/>
                    <w:rPr>
                      <w:highlight w:val="none"/>
                    </w:rPr>
                  </w:pPr>
                  <w:r>
                    <w:rPr>
                      <w:rFonts w:hint="eastAsia"/>
                      <w:highlight w:val="none"/>
                      <w:lang w:val="en-US" w:eastAsia="zh-CN"/>
                    </w:rPr>
                    <w:t>合计</w:t>
                  </w:r>
                </w:p>
              </w:tc>
              <w:tc>
                <w:tcPr>
                  <w:tcW w:w="494" w:type="pct"/>
                  <w:noWrap w:val="0"/>
                  <w:vAlign w:val="center"/>
                </w:tcPr>
                <w:p w14:paraId="5B1312FB">
                  <w:pPr>
                    <w:pStyle w:val="40"/>
                    <w:bidi w:val="0"/>
                    <w:rPr>
                      <w:rFonts w:hint="default"/>
                      <w:lang w:val="en-US" w:eastAsia="zh-CN"/>
                    </w:rPr>
                  </w:pPr>
                  <w:r>
                    <w:rPr>
                      <w:rFonts w:hint="eastAsia"/>
                      <w:lang w:val="en-US" w:eastAsia="zh-CN"/>
                    </w:rPr>
                    <w:t>117</w:t>
                  </w:r>
                </w:p>
              </w:tc>
            </w:tr>
          </w:tbl>
          <w:p w14:paraId="76942D78">
            <w:pPr>
              <w:pStyle w:val="11"/>
              <w:ind w:left="0" w:leftChars="0" w:firstLine="0" w:firstLineChars="0"/>
            </w:pPr>
          </w:p>
        </w:tc>
      </w:tr>
      <w:tr w14:paraId="11EEE2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20" w:hRule="atLeast"/>
          <w:jc w:val="center"/>
        </w:trPr>
        <w:tc>
          <w:tcPr>
            <w:tcW w:w="823" w:type="dxa"/>
            <w:noWrap w:val="0"/>
            <w:vAlign w:val="center"/>
          </w:tcPr>
          <w:p w14:paraId="76C69E5B">
            <w:pPr>
              <w:pStyle w:val="18"/>
              <w:keepLines w:val="0"/>
              <w:pageBreakBefore w:val="0"/>
              <w:kinsoku/>
              <w:wordWrap/>
              <w:topLinePunct w:val="0"/>
              <w:autoSpaceDE/>
              <w:autoSpaceDN/>
              <w:bidi w:val="0"/>
              <w:adjustRightInd w:val="0"/>
              <w:snapToGrid w:val="0"/>
              <w:spacing w:before="0" w:beforeAutospacing="0" w:after="0" w:afterAutospacing="0"/>
              <w:jc w:val="center"/>
              <w:textAlignment w:val="auto"/>
              <w:rPr>
                <w:rFonts w:cs="宋体"/>
                <w:sz w:val="21"/>
                <w:szCs w:val="21"/>
              </w:rPr>
            </w:pPr>
            <w:r>
              <w:rPr>
                <w:rFonts w:hint="eastAsia" w:cs="宋体"/>
                <w:sz w:val="21"/>
                <w:szCs w:val="21"/>
              </w:rPr>
              <w:t>工艺流程和产排污环节</w:t>
            </w:r>
          </w:p>
        </w:tc>
        <w:tc>
          <w:tcPr>
            <w:tcW w:w="8161" w:type="dxa"/>
            <w:noWrap w:val="0"/>
            <w:vAlign w:val="top"/>
          </w:tcPr>
          <w:p w14:paraId="4DC400EA">
            <w:pPr>
              <w:pStyle w:val="2"/>
              <w:keepLines w:val="0"/>
              <w:pageBreakBefore w:val="0"/>
              <w:kinsoku/>
              <w:wordWrap/>
              <w:topLinePunct w:val="0"/>
              <w:autoSpaceDE/>
              <w:autoSpaceDN/>
              <w:bidi w:val="0"/>
              <w:spacing w:beforeAutospacing="0" w:afterAutospacing="0"/>
              <w:textAlignment w:val="auto"/>
            </w:pPr>
            <w:r>
              <w:rPr>
                <w:rFonts w:hint="eastAsia"/>
                <w:lang w:val="en-US" w:eastAsia="zh-CN"/>
              </w:rPr>
              <w:t>1.</w:t>
            </w:r>
            <w:r>
              <w:t>施工期工艺流程和产排污环节：</w:t>
            </w:r>
          </w:p>
          <w:p w14:paraId="28643559">
            <w:pPr>
              <w:pStyle w:val="19"/>
            </w:pPr>
            <w:r>
              <w:rPr>
                <w:rFonts w:hint="eastAsia"/>
                <w:highlight w:val="none"/>
              </w:rPr>
              <mc:AlternateContent>
                <mc:Choice Requires="wpg">
                  <w:drawing>
                    <wp:inline distT="0" distB="0" distL="114300" distR="114300">
                      <wp:extent cx="5068570" cy="1242060"/>
                      <wp:effectExtent l="4445" t="0" r="0" b="15240"/>
                      <wp:docPr id="42" name="组合 42"/>
                      <wp:cNvGraphicFramePr/>
                      <a:graphic xmlns:a="http://schemas.openxmlformats.org/drawingml/2006/main">
                        <a:graphicData uri="http://schemas.microsoft.com/office/word/2010/wordprocessingGroup">
                          <wpg:wgp>
                            <wpg:cNvGrpSpPr>
                              <a:grpSpLocks noRot="1"/>
                            </wpg:cNvGrpSpPr>
                            <wpg:grpSpPr>
                              <a:xfrm>
                                <a:off x="0" y="0"/>
                                <a:ext cx="5068570" cy="1242060"/>
                                <a:chOff x="0" y="0"/>
                                <a:chExt cx="8280" cy="2340"/>
                              </a:xfrm>
                            </wpg:grpSpPr>
                            <wps:wsp>
                              <wps:cNvPr id="5" name="矩形 1"/>
                              <wps:cNvSpPr>
                                <a:spLocks noChangeAspect="1" noTextEdit="1"/>
                              </wps:cNvSpPr>
                              <wps:spPr>
                                <a:xfrm>
                                  <a:off x="0" y="0"/>
                                  <a:ext cx="8280" cy="2340"/>
                                </a:xfrm>
                                <a:prstGeom prst="rect">
                                  <a:avLst/>
                                </a:prstGeom>
                                <a:noFill/>
                                <a:ln>
                                  <a:noFill/>
                                </a:ln>
                              </wps:spPr>
                              <wps:bodyPr upright="1"/>
                            </wps:wsp>
                            <wps:wsp>
                              <wps:cNvPr id="15" name="矩形 2"/>
                              <wps:cNvSpPr/>
                              <wps:spPr>
                                <a:xfrm>
                                  <a:off x="4605" y="258"/>
                                  <a:ext cx="735" cy="432"/>
                                </a:xfrm>
                                <a:prstGeom prst="rect">
                                  <a:avLst/>
                                </a:prstGeom>
                                <a:solidFill>
                                  <a:srgbClr val="FFFFFF"/>
                                </a:solidFill>
                                <a:ln w="9525" cap="flat" cmpd="sng">
                                  <a:solidFill>
                                    <a:srgbClr val="000000"/>
                                  </a:solidFill>
                                  <a:prstDash val="dashDot"/>
                                  <a:miter/>
                                  <a:headEnd type="none" w="med" len="med"/>
                                  <a:tailEnd type="none" w="med" len="med"/>
                                </a:ln>
                              </wps:spPr>
                              <wps:txbx>
                                <w:txbxContent>
                                  <w:p w14:paraId="0BECB456">
                                    <w:pPr>
                                      <w:jc w:val="center"/>
                                      <w:rPr>
                                        <w:sz w:val="18"/>
                                        <w:szCs w:val="18"/>
                                      </w:rPr>
                                    </w:pPr>
                                    <w:r>
                                      <w:rPr>
                                        <w:rFonts w:hint="eastAsia"/>
                                        <w:sz w:val="18"/>
                                        <w:szCs w:val="18"/>
                                      </w:rPr>
                                      <w:t>噪声</w:t>
                                    </w:r>
                                  </w:p>
                                </w:txbxContent>
                              </wps:txbx>
                              <wps:bodyPr upright="1"/>
                            </wps:wsp>
                            <wps:wsp>
                              <wps:cNvPr id="16" name="矩形 3"/>
                              <wps:cNvSpPr/>
                              <wps:spPr>
                                <a:xfrm>
                                  <a:off x="1380" y="135"/>
                                  <a:ext cx="1275" cy="432"/>
                                </a:xfrm>
                                <a:prstGeom prst="rect">
                                  <a:avLst/>
                                </a:prstGeom>
                                <a:solidFill>
                                  <a:srgbClr val="FFFFFF"/>
                                </a:solidFill>
                                <a:ln w="9525" cap="flat" cmpd="sng">
                                  <a:solidFill>
                                    <a:srgbClr val="000000"/>
                                  </a:solidFill>
                                  <a:prstDash val="dashDot"/>
                                  <a:miter/>
                                  <a:headEnd type="none" w="med" len="med"/>
                                  <a:tailEnd type="none" w="med" len="med"/>
                                </a:ln>
                              </wps:spPr>
                              <wps:txbx>
                                <w:txbxContent>
                                  <w:p w14:paraId="6B6E8EDD">
                                    <w:pPr>
                                      <w:jc w:val="center"/>
                                      <w:rPr>
                                        <w:sz w:val="18"/>
                                        <w:szCs w:val="18"/>
                                      </w:rPr>
                                    </w:pPr>
                                    <w:r>
                                      <w:rPr>
                                        <w:rFonts w:hint="eastAsia"/>
                                        <w:sz w:val="18"/>
                                        <w:szCs w:val="18"/>
                                      </w:rPr>
                                      <w:t>废气、噪声</w:t>
                                    </w:r>
                                  </w:p>
                                </w:txbxContent>
                              </wps:txbx>
                              <wps:bodyPr upright="1"/>
                            </wps:wsp>
                            <wps:wsp>
                              <wps:cNvPr id="17" name="矩形 4"/>
                              <wps:cNvSpPr/>
                              <wps:spPr>
                                <a:xfrm>
                                  <a:off x="0" y="966"/>
                                  <a:ext cx="125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4FE2A7">
                                    <w:pPr>
                                      <w:jc w:val="center"/>
                                      <w:rPr>
                                        <w:rFonts w:hint="eastAsia"/>
                                        <w:sz w:val="21"/>
                                        <w:szCs w:val="21"/>
                                      </w:rPr>
                                    </w:pPr>
                                    <w:r>
                                      <w:rPr>
                                        <w:rFonts w:hint="eastAsia"/>
                                        <w:sz w:val="21"/>
                                        <w:szCs w:val="21"/>
                                      </w:rPr>
                                      <w:t>地表清理</w:t>
                                    </w:r>
                                  </w:p>
                                </w:txbxContent>
                              </wps:txbx>
                              <wps:bodyPr upright="1"/>
                            </wps:wsp>
                            <wps:wsp>
                              <wps:cNvPr id="18" name="矩形 5"/>
                              <wps:cNvSpPr/>
                              <wps:spPr>
                                <a:xfrm>
                                  <a:off x="1424" y="945"/>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615873">
                                    <w:pPr>
                                      <w:jc w:val="center"/>
                                      <w:rPr>
                                        <w:rFonts w:hint="eastAsia"/>
                                        <w:sz w:val="21"/>
                                        <w:szCs w:val="21"/>
                                      </w:rPr>
                                    </w:pPr>
                                    <w:r>
                                      <w:rPr>
                                        <w:rFonts w:hint="eastAsia"/>
                                        <w:sz w:val="21"/>
                                        <w:szCs w:val="21"/>
                                      </w:rPr>
                                      <w:t>基础工程</w:t>
                                    </w:r>
                                  </w:p>
                                </w:txbxContent>
                              </wps:txbx>
                              <wps:bodyPr upright="1"/>
                            </wps:wsp>
                            <wps:wsp>
                              <wps:cNvPr id="19" name="矩形 6"/>
                              <wps:cNvSpPr/>
                              <wps:spPr>
                                <a:xfrm>
                                  <a:off x="2864" y="936"/>
                                  <a:ext cx="1276"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6856BA">
                                    <w:pPr>
                                      <w:jc w:val="center"/>
                                      <w:rPr>
                                        <w:rFonts w:hint="eastAsia"/>
                                        <w:sz w:val="21"/>
                                        <w:szCs w:val="21"/>
                                      </w:rPr>
                                    </w:pPr>
                                    <w:r>
                                      <w:rPr>
                                        <w:rFonts w:hint="eastAsia"/>
                                        <w:sz w:val="21"/>
                                        <w:szCs w:val="21"/>
                                      </w:rPr>
                                      <w:t>主体工程</w:t>
                                    </w:r>
                                  </w:p>
                                </w:txbxContent>
                              </wps:txbx>
                              <wps:bodyPr upright="1"/>
                            </wps:wsp>
                            <wps:wsp>
                              <wps:cNvPr id="20" name="矩形 7"/>
                              <wps:cNvSpPr/>
                              <wps:spPr>
                                <a:xfrm>
                                  <a:off x="4306" y="936"/>
                                  <a:ext cx="125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E47CA5">
                                    <w:pPr>
                                      <w:jc w:val="center"/>
                                      <w:rPr>
                                        <w:rFonts w:hint="eastAsia"/>
                                        <w:sz w:val="21"/>
                                        <w:szCs w:val="21"/>
                                      </w:rPr>
                                    </w:pPr>
                                    <w:r>
                                      <w:rPr>
                                        <w:rFonts w:hint="eastAsia"/>
                                        <w:sz w:val="21"/>
                                        <w:szCs w:val="21"/>
                                      </w:rPr>
                                      <w:t>设备安装</w:t>
                                    </w:r>
                                  </w:p>
                                </w:txbxContent>
                              </wps:txbx>
                              <wps:bodyPr upright="1"/>
                            </wps:wsp>
                            <wps:wsp>
                              <wps:cNvPr id="21" name="矩形 8"/>
                              <wps:cNvSpPr/>
                              <wps:spPr>
                                <a:xfrm>
                                  <a:off x="5760" y="915"/>
                                  <a:ext cx="125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E89D25">
                                    <w:pPr>
                                      <w:jc w:val="center"/>
                                    </w:pPr>
                                    <w:r>
                                      <w:rPr>
                                        <w:rFonts w:hint="eastAsia"/>
                                        <w:sz w:val="21"/>
                                        <w:szCs w:val="21"/>
                                      </w:rPr>
                                      <w:t>工程验收</w:t>
                                    </w:r>
                                  </w:p>
                                </w:txbxContent>
                              </wps:txbx>
                              <wps:bodyPr upright="1"/>
                            </wps:wsp>
                            <wps:wsp>
                              <wps:cNvPr id="22" name="矩形 9"/>
                              <wps:cNvSpPr/>
                              <wps:spPr>
                                <a:xfrm>
                                  <a:off x="7215" y="885"/>
                                  <a:ext cx="89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030101">
                                    <w:pPr>
                                      <w:jc w:val="center"/>
                                    </w:pPr>
                                    <w:r>
                                      <w:rPr>
                                        <w:rFonts w:hint="eastAsia"/>
                                        <w:sz w:val="21"/>
                                        <w:szCs w:val="21"/>
                                      </w:rPr>
                                      <w:t>运行</w:t>
                                    </w:r>
                                  </w:p>
                                </w:txbxContent>
                              </wps:txbx>
                              <wps:bodyPr upright="1"/>
                            </wps:wsp>
                            <wps:wsp>
                              <wps:cNvPr id="23" name="直接连接符 10"/>
                              <wps:cNvCnPr/>
                              <wps:spPr>
                                <a:xfrm>
                                  <a:off x="1260" y="1182"/>
                                  <a:ext cx="180" cy="1"/>
                                </a:xfrm>
                                <a:prstGeom prst="line">
                                  <a:avLst/>
                                </a:prstGeom>
                                <a:ln w="9525" cap="flat" cmpd="sng">
                                  <a:solidFill>
                                    <a:srgbClr val="000000"/>
                                  </a:solidFill>
                                  <a:prstDash val="solid"/>
                                  <a:headEnd type="none" w="med" len="med"/>
                                  <a:tailEnd type="triangle" w="med" len="med"/>
                                </a:ln>
                              </wps:spPr>
                              <wps:bodyPr upright="1"/>
                            </wps:wsp>
                            <wps:wsp>
                              <wps:cNvPr id="24" name="直接连接符 11"/>
                              <wps:cNvCnPr/>
                              <wps:spPr>
                                <a:xfrm>
                                  <a:off x="5580" y="1152"/>
                                  <a:ext cx="180" cy="1"/>
                                </a:xfrm>
                                <a:prstGeom prst="line">
                                  <a:avLst/>
                                </a:prstGeom>
                                <a:ln w="9525" cap="flat" cmpd="sng">
                                  <a:solidFill>
                                    <a:srgbClr val="000000"/>
                                  </a:solidFill>
                                  <a:prstDash val="solid"/>
                                  <a:headEnd type="none" w="med" len="med"/>
                                  <a:tailEnd type="triangle" w="med" len="med"/>
                                </a:ln>
                              </wps:spPr>
                              <wps:bodyPr upright="1"/>
                            </wps:wsp>
                            <wps:wsp>
                              <wps:cNvPr id="25" name="直接连接符 12"/>
                              <wps:cNvCnPr/>
                              <wps:spPr>
                                <a:xfrm>
                                  <a:off x="7035" y="1137"/>
                                  <a:ext cx="180" cy="1"/>
                                </a:xfrm>
                                <a:prstGeom prst="line">
                                  <a:avLst/>
                                </a:prstGeom>
                                <a:ln w="9525" cap="flat" cmpd="sng">
                                  <a:solidFill>
                                    <a:srgbClr val="000000"/>
                                  </a:solidFill>
                                  <a:prstDash val="solid"/>
                                  <a:headEnd type="none" w="med" len="med"/>
                                  <a:tailEnd type="triangle" w="med" len="med"/>
                                </a:ln>
                              </wps:spPr>
                              <wps:bodyPr upright="1"/>
                            </wps:wsp>
                            <wps:wsp>
                              <wps:cNvPr id="26" name="直接连接符 13"/>
                              <wps:cNvCnPr/>
                              <wps:spPr>
                                <a:xfrm>
                                  <a:off x="4140" y="1167"/>
                                  <a:ext cx="180" cy="1"/>
                                </a:xfrm>
                                <a:prstGeom prst="line">
                                  <a:avLst/>
                                </a:prstGeom>
                                <a:ln w="9525" cap="flat" cmpd="sng">
                                  <a:solidFill>
                                    <a:srgbClr val="000000"/>
                                  </a:solidFill>
                                  <a:prstDash val="solid"/>
                                  <a:headEnd type="none" w="med" len="med"/>
                                  <a:tailEnd type="triangle" w="med" len="med"/>
                                </a:ln>
                              </wps:spPr>
                              <wps:bodyPr upright="1"/>
                            </wps:wsp>
                            <wps:wsp>
                              <wps:cNvPr id="28" name="直接连接符 14"/>
                              <wps:cNvCnPr/>
                              <wps:spPr>
                                <a:xfrm>
                                  <a:off x="2700" y="1173"/>
                                  <a:ext cx="180" cy="1"/>
                                </a:xfrm>
                                <a:prstGeom prst="line">
                                  <a:avLst/>
                                </a:prstGeom>
                                <a:ln w="9525" cap="flat" cmpd="sng">
                                  <a:solidFill>
                                    <a:srgbClr val="000000"/>
                                  </a:solidFill>
                                  <a:prstDash val="solid"/>
                                  <a:headEnd type="none" w="med" len="med"/>
                                  <a:tailEnd type="triangle" w="med" len="med"/>
                                </a:ln>
                              </wps:spPr>
                              <wps:bodyPr upright="1"/>
                            </wps:wsp>
                            <wps:wsp>
                              <wps:cNvPr id="29" name="直接连接符 15"/>
                              <wps:cNvCnPr/>
                              <wps:spPr>
                                <a:xfrm flipV="1">
                                  <a:off x="540" y="639"/>
                                  <a:ext cx="1" cy="312"/>
                                </a:xfrm>
                                <a:prstGeom prst="line">
                                  <a:avLst/>
                                </a:prstGeom>
                                <a:ln w="9525" cap="flat" cmpd="sng">
                                  <a:solidFill>
                                    <a:srgbClr val="000000"/>
                                  </a:solidFill>
                                  <a:prstDash val="dashDot"/>
                                  <a:headEnd type="none" w="med" len="med"/>
                                  <a:tailEnd type="triangle" w="med" len="med"/>
                                </a:ln>
                              </wps:spPr>
                              <wps:bodyPr upright="1"/>
                            </wps:wsp>
                            <wps:wsp>
                              <wps:cNvPr id="30" name="直接连接符 16"/>
                              <wps:cNvCnPr/>
                              <wps:spPr>
                                <a:xfrm flipV="1">
                                  <a:off x="4965" y="624"/>
                                  <a:ext cx="1" cy="312"/>
                                </a:xfrm>
                                <a:prstGeom prst="line">
                                  <a:avLst/>
                                </a:prstGeom>
                                <a:ln w="9525" cap="flat" cmpd="sng">
                                  <a:solidFill>
                                    <a:srgbClr val="000000"/>
                                  </a:solidFill>
                                  <a:prstDash val="dashDot"/>
                                  <a:headEnd type="none" w="med" len="med"/>
                                  <a:tailEnd type="triangle" w="med" len="med"/>
                                </a:ln>
                              </wps:spPr>
                              <wps:bodyPr upright="1"/>
                            </wps:wsp>
                            <wps:wsp>
                              <wps:cNvPr id="31" name="直接连接符 17"/>
                              <wps:cNvCnPr/>
                              <wps:spPr>
                                <a:xfrm flipV="1">
                                  <a:off x="3495" y="624"/>
                                  <a:ext cx="1" cy="312"/>
                                </a:xfrm>
                                <a:prstGeom prst="line">
                                  <a:avLst/>
                                </a:prstGeom>
                                <a:ln w="9525" cap="flat" cmpd="sng">
                                  <a:solidFill>
                                    <a:srgbClr val="000000"/>
                                  </a:solidFill>
                                  <a:prstDash val="dashDot"/>
                                  <a:headEnd type="none" w="med" len="med"/>
                                  <a:tailEnd type="triangle" w="med" len="med"/>
                                </a:ln>
                              </wps:spPr>
                              <wps:bodyPr upright="1"/>
                            </wps:wsp>
                            <wps:wsp>
                              <wps:cNvPr id="32" name="直接连接符 18"/>
                              <wps:cNvCnPr/>
                              <wps:spPr>
                                <a:xfrm>
                                  <a:off x="600" y="624"/>
                                  <a:ext cx="2880" cy="16"/>
                                </a:xfrm>
                                <a:prstGeom prst="line">
                                  <a:avLst/>
                                </a:prstGeom>
                                <a:ln w="9525" cap="flat" cmpd="sng">
                                  <a:solidFill>
                                    <a:srgbClr val="000000"/>
                                  </a:solidFill>
                                  <a:prstDash val="dashDot"/>
                                  <a:headEnd type="none" w="med" len="med"/>
                                  <a:tailEnd type="none" w="med" len="med"/>
                                </a:ln>
                              </wps:spPr>
                              <wps:bodyPr upright="1"/>
                            </wps:wsp>
                            <wps:wsp>
                              <wps:cNvPr id="33" name="直接连接符 19"/>
                              <wps:cNvCnPr/>
                              <wps:spPr>
                                <a:xfrm flipV="1">
                                  <a:off x="2040" y="483"/>
                                  <a:ext cx="1" cy="468"/>
                                </a:xfrm>
                                <a:prstGeom prst="line">
                                  <a:avLst/>
                                </a:prstGeom>
                                <a:ln w="9525" cap="flat" cmpd="sng">
                                  <a:solidFill>
                                    <a:srgbClr val="000000"/>
                                  </a:solidFill>
                                  <a:prstDash val="dashDot"/>
                                  <a:headEnd type="none" w="med" len="med"/>
                                  <a:tailEnd type="triangle" w="med" len="med"/>
                                </a:ln>
                              </wps:spPr>
                              <wps:bodyPr upright="1"/>
                            </wps:wsp>
                            <wps:wsp>
                              <wps:cNvPr id="34" name="直接连接符 20"/>
                              <wps:cNvCnPr/>
                              <wps:spPr>
                                <a:xfrm>
                                  <a:off x="540" y="1434"/>
                                  <a:ext cx="1" cy="312"/>
                                </a:xfrm>
                                <a:prstGeom prst="line">
                                  <a:avLst/>
                                </a:prstGeom>
                                <a:ln w="9525" cap="flat" cmpd="sng">
                                  <a:solidFill>
                                    <a:srgbClr val="000000"/>
                                  </a:solidFill>
                                  <a:prstDash val="dashDot"/>
                                  <a:headEnd type="none" w="med" len="med"/>
                                  <a:tailEnd type="triangle" w="med" len="med"/>
                                </a:ln>
                              </wps:spPr>
                              <wps:bodyPr upright="1"/>
                            </wps:wsp>
                            <wps:wsp>
                              <wps:cNvPr id="35" name="直接连接符 21"/>
                              <wps:cNvCnPr/>
                              <wps:spPr>
                                <a:xfrm>
                                  <a:off x="4965" y="1404"/>
                                  <a:ext cx="1" cy="312"/>
                                </a:xfrm>
                                <a:prstGeom prst="line">
                                  <a:avLst/>
                                </a:prstGeom>
                                <a:ln w="9525" cap="flat" cmpd="sng">
                                  <a:solidFill>
                                    <a:srgbClr val="000000"/>
                                  </a:solidFill>
                                  <a:prstDash val="dashDot"/>
                                  <a:headEnd type="none" w="med" len="med"/>
                                  <a:tailEnd type="triangle" w="med" len="med"/>
                                </a:ln>
                              </wps:spPr>
                              <wps:bodyPr upright="1"/>
                            </wps:wsp>
                            <wps:wsp>
                              <wps:cNvPr id="36" name="直接连接符 22"/>
                              <wps:cNvCnPr/>
                              <wps:spPr>
                                <a:xfrm>
                                  <a:off x="6420" y="1389"/>
                                  <a:ext cx="1" cy="312"/>
                                </a:xfrm>
                                <a:prstGeom prst="line">
                                  <a:avLst/>
                                </a:prstGeom>
                                <a:ln w="9525" cap="flat" cmpd="sng">
                                  <a:solidFill>
                                    <a:srgbClr val="000000"/>
                                  </a:solidFill>
                                  <a:prstDash val="dashDot"/>
                                  <a:headEnd type="none" w="med" len="med"/>
                                  <a:tailEnd type="triangle" w="med" len="med"/>
                                </a:ln>
                              </wps:spPr>
                              <wps:bodyPr upright="1"/>
                            </wps:wsp>
                            <wps:wsp>
                              <wps:cNvPr id="37" name="直接连接符 23"/>
                              <wps:cNvCnPr/>
                              <wps:spPr>
                                <a:xfrm>
                                  <a:off x="2040" y="1404"/>
                                  <a:ext cx="1" cy="312"/>
                                </a:xfrm>
                                <a:prstGeom prst="line">
                                  <a:avLst/>
                                </a:prstGeom>
                                <a:ln w="9525" cap="flat" cmpd="sng">
                                  <a:solidFill>
                                    <a:srgbClr val="000000"/>
                                  </a:solidFill>
                                  <a:prstDash val="dashDot"/>
                                  <a:headEnd type="none" w="med" len="med"/>
                                  <a:tailEnd type="triangle" w="med" len="med"/>
                                </a:ln>
                              </wps:spPr>
                              <wps:bodyPr upright="1"/>
                            </wps:wsp>
                            <wps:wsp>
                              <wps:cNvPr id="38" name="直接连接符 24"/>
                              <wps:cNvCnPr/>
                              <wps:spPr>
                                <a:xfrm>
                                  <a:off x="510" y="1716"/>
                                  <a:ext cx="5940" cy="1"/>
                                </a:xfrm>
                                <a:prstGeom prst="line">
                                  <a:avLst/>
                                </a:prstGeom>
                                <a:ln w="9525" cap="flat" cmpd="sng">
                                  <a:solidFill>
                                    <a:srgbClr val="000000"/>
                                  </a:solidFill>
                                  <a:prstDash val="dashDot"/>
                                  <a:headEnd type="none" w="med" len="med"/>
                                  <a:tailEnd type="none" w="med" len="med"/>
                                </a:ln>
                              </wps:spPr>
                              <wps:bodyPr upright="1"/>
                            </wps:wsp>
                            <wps:wsp>
                              <wps:cNvPr id="39" name="直接连接符 25"/>
                              <wps:cNvCnPr/>
                              <wps:spPr>
                                <a:xfrm>
                                  <a:off x="3495" y="1404"/>
                                  <a:ext cx="1" cy="468"/>
                                </a:xfrm>
                                <a:prstGeom prst="line">
                                  <a:avLst/>
                                </a:prstGeom>
                                <a:ln w="9525" cap="flat" cmpd="sng">
                                  <a:solidFill>
                                    <a:srgbClr val="000000"/>
                                  </a:solidFill>
                                  <a:prstDash val="dashDot"/>
                                  <a:headEnd type="none" w="med" len="med"/>
                                  <a:tailEnd type="triangle" w="med" len="med"/>
                                </a:ln>
                              </wps:spPr>
                              <wps:bodyPr upright="1"/>
                            </wps:wsp>
                            <wps:wsp>
                              <wps:cNvPr id="40" name="矩形 26"/>
                              <wps:cNvSpPr/>
                              <wps:spPr>
                                <a:xfrm>
                                  <a:off x="2880" y="1872"/>
                                  <a:ext cx="1275" cy="432"/>
                                </a:xfrm>
                                <a:prstGeom prst="rect">
                                  <a:avLst/>
                                </a:prstGeom>
                                <a:solidFill>
                                  <a:srgbClr val="FFFFFF"/>
                                </a:solidFill>
                                <a:ln w="9525" cap="flat" cmpd="sng">
                                  <a:solidFill>
                                    <a:srgbClr val="000000"/>
                                  </a:solidFill>
                                  <a:prstDash val="dashDot"/>
                                  <a:miter/>
                                  <a:headEnd type="none" w="med" len="med"/>
                                  <a:tailEnd type="none" w="med" len="med"/>
                                </a:ln>
                              </wps:spPr>
                              <wps:txbx>
                                <w:txbxContent>
                                  <w:p w14:paraId="2CEBB0F1">
                                    <w:pPr>
                                      <w:jc w:val="center"/>
                                      <w:rPr>
                                        <w:rFonts w:hint="eastAsia" w:eastAsia="宋体"/>
                                        <w:sz w:val="18"/>
                                        <w:szCs w:val="18"/>
                                        <w:lang w:eastAsia="zh-CN"/>
                                      </w:rPr>
                                    </w:pPr>
                                    <w:r>
                                      <w:rPr>
                                        <w:rFonts w:hint="eastAsia"/>
                                        <w:sz w:val="18"/>
                                        <w:szCs w:val="18"/>
                                      </w:rPr>
                                      <w:t>废水、</w:t>
                                    </w:r>
                                    <w:r>
                                      <w:rPr>
                                        <w:rFonts w:hint="eastAsia"/>
                                        <w:sz w:val="18"/>
                                        <w:szCs w:val="18"/>
                                        <w:lang w:eastAsia="zh-CN"/>
                                      </w:rPr>
                                      <w:t>固</w:t>
                                    </w:r>
                                    <w:r>
                                      <w:rPr>
                                        <w:rFonts w:hint="eastAsia"/>
                                        <w:sz w:val="18"/>
                                        <w:szCs w:val="18"/>
                                        <w:lang w:val="en-US" w:eastAsia="zh-CN"/>
                                      </w:rPr>
                                      <w:t>废</w:t>
                                    </w:r>
                                    <w:r>
                                      <w:rPr>
                                        <w:rFonts w:hint="eastAsia"/>
                                        <w:sz w:val="18"/>
                                        <w:szCs w:val="18"/>
                                        <w:lang w:eastAsia="zh-CN"/>
                                      </w:rPr>
                                      <w:t>废物</w:t>
                                    </w:r>
                                  </w:p>
                                </w:txbxContent>
                              </wps:txbx>
                              <wps:bodyPr upright="1"/>
                            </wps:wsp>
                          </wpg:wgp>
                        </a:graphicData>
                      </a:graphic>
                    </wp:inline>
                  </w:drawing>
                </mc:Choice>
                <mc:Fallback>
                  <w:pict>
                    <v:group id="_x0000_s1026" o:spid="_x0000_s1026" o:spt="203" style="height:97.8pt;width:399.1pt;" coordsize="8280,2340" o:gfxdata="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">
                      <o:lock v:ext="edit" rotation="t" aspectratio="f"/>
                      <v:rect id="矩形 1" o:spid="_x0000_s1026" o:spt="1" style="position:absolute;left:0;top:0;height:2340;width:8280;" filled="f" stroked="f" coordsize="21600,21600" o:gfxdata="UEsDBAoAAAAAAIdO4kAAAAAAAAAAAAAAAAAEAAAAZHJzL1BLAwQUAAAACACHTuJAswMvTr0AAADa&#10;AAAADwAAAGRycy9kb3ducmV2LnhtbEWPQWvCQBSE74X+h+UVvJRmo2A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y9OvQAA&#10;ANoAAAAPAAAAAAAAAAEAIAAAACIAAABkcnMvZG93bnJldi54bWxQSwECFAAUAAAACACHTuJAMy8F&#10;njsAAAA5AAAAEAAAAAAAAAABACAAAAAMAQAAZHJzL3NoYXBleG1sLnhtbFBLBQYAAAAABgAGAFsB&#10;AAC2AwAAAAA=&#10;">
                        <v:fill on="f" focussize="0,0"/>
                        <v:stroke on="f"/>
                        <v:imagedata o:title=""/>
                        <o:lock v:ext="edit" text="t" aspectratio="t"/>
                      </v:rect>
                      <v:rect id="矩形 2" o:spid="_x0000_s1026" o:spt="1" style="position:absolute;left:4605;top:258;height:432;width:735;" fillcolor="#FFFFFF" filled="t" stroked="t" coordsize="21600,21600" o:gfxdata="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w2RugAAANsA&#10;AAAPAAAAAAAAAAEAIAAAACIAAABkcnMvZG93bnJldi54bWxQSwECFAAUAAAACACHTuJAMy8FnjsA&#10;AAA5AAAAEAAAAAAAAAABACAAAAAJAQAAZHJzL3NoYXBleG1sLnhtbFBLBQYAAAAABgAGAFsBAACz&#10;AwAAAAA=&#10;">
                        <v:fill on="t" focussize="0,0"/>
                        <v:stroke color="#000000" joinstyle="miter" dashstyle="dashDot"/>
                        <v:imagedata o:title=""/>
                        <o:lock v:ext="edit" aspectratio="f"/>
                        <v:textbox>
                          <w:txbxContent>
                            <w:p w14:paraId="0BECB456">
                              <w:pPr>
                                <w:jc w:val="center"/>
                                <w:rPr>
                                  <w:sz w:val="18"/>
                                  <w:szCs w:val="18"/>
                                </w:rPr>
                              </w:pPr>
                              <w:r>
                                <w:rPr>
                                  <w:rFonts w:hint="eastAsia"/>
                                  <w:sz w:val="18"/>
                                  <w:szCs w:val="18"/>
                                </w:rPr>
                                <w:t>噪声</w:t>
                              </w:r>
                            </w:p>
                          </w:txbxContent>
                        </v:textbox>
                      </v:rect>
                      <v:rect id="矩形 3" o:spid="_x0000_s1026" o:spt="1" style="position:absolute;left:1380;top:135;height:432;width:1275;" fillcolor="#FFFFFF" filled="t" stroked="t" coordsize="21600,21600" o:gfxdata="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LZPmugAAANsA&#10;AAAPAAAAAAAAAAEAIAAAACIAAABkcnMvZG93bnJldi54bWxQSwECFAAUAAAACACHTuJAMy8FnjsA&#10;AAA5AAAAEAAAAAAAAAABACAAAAAJAQAAZHJzL3NoYXBleG1sLnhtbFBLBQYAAAAABgAGAFsBAACz&#10;AwAAAAA=&#10;">
                        <v:fill on="t" focussize="0,0"/>
                        <v:stroke color="#000000" joinstyle="miter" dashstyle="dashDot"/>
                        <v:imagedata o:title=""/>
                        <o:lock v:ext="edit" aspectratio="f"/>
                        <v:textbox>
                          <w:txbxContent>
                            <w:p w14:paraId="6B6E8EDD">
                              <w:pPr>
                                <w:jc w:val="center"/>
                                <w:rPr>
                                  <w:sz w:val="18"/>
                                  <w:szCs w:val="18"/>
                                </w:rPr>
                              </w:pPr>
                              <w:r>
                                <w:rPr>
                                  <w:rFonts w:hint="eastAsia"/>
                                  <w:sz w:val="18"/>
                                  <w:szCs w:val="18"/>
                                </w:rPr>
                                <w:t>废气、噪声</w:t>
                              </w:r>
                            </w:p>
                          </w:txbxContent>
                        </v:textbox>
                      </v:rect>
                      <v:rect id="矩形 4" o:spid="_x0000_s1026" o:spt="1" style="position:absolute;left:0;top:966;height:468;width:1259;" fillcolor="#FFFFFF" filled="t" stroked="t" coordsize="21600,21600" o:gfxdata="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dYbl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64FE2A7">
                              <w:pPr>
                                <w:jc w:val="center"/>
                                <w:rPr>
                                  <w:rFonts w:hint="eastAsia"/>
                                  <w:sz w:val="21"/>
                                  <w:szCs w:val="21"/>
                                </w:rPr>
                              </w:pPr>
                              <w:r>
                                <w:rPr>
                                  <w:rFonts w:hint="eastAsia"/>
                                  <w:sz w:val="21"/>
                                  <w:szCs w:val="21"/>
                                </w:rPr>
                                <w:t>地表清理</w:t>
                              </w:r>
                            </w:p>
                          </w:txbxContent>
                        </v:textbox>
                      </v:rect>
                      <v:rect id="矩形 5" o:spid="_x0000_s1026" o:spt="1" style="position:absolute;left:1424;top:945;height:468;width:1260;" fillcolor="#FFFFFF" filled="t" stroked="t" coordsize="21600,21600" o:gfxdata="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qEp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2615873">
                              <w:pPr>
                                <w:jc w:val="center"/>
                                <w:rPr>
                                  <w:rFonts w:hint="eastAsia"/>
                                  <w:sz w:val="21"/>
                                  <w:szCs w:val="21"/>
                                </w:rPr>
                              </w:pPr>
                              <w:r>
                                <w:rPr>
                                  <w:rFonts w:hint="eastAsia"/>
                                  <w:sz w:val="21"/>
                                  <w:szCs w:val="21"/>
                                </w:rPr>
                                <w:t>基础工程</w:t>
                              </w:r>
                            </w:p>
                          </w:txbxContent>
                        </v:textbox>
                      </v:rect>
                      <v:rect id="矩形 6" o:spid="_x0000_s1026" o:spt="1" style="position:absolute;left:2864;top:936;height:468;width:1276;" fillcolor="#FFFFFF" filled="t" stroked="t" coordsize="21600,21600" o:gfxdata="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a3D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86856BA">
                              <w:pPr>
                                <w:jc w:val="center"/>
                                <w:rPr>
                                  <w:rFonts w:hint="eastAsia"/>
                                  <w:sz w:val="21"/>
                                  <w:szCs w:val="21"/>
                                </w:rPr>
                              </w:pPr>
                              <w:r>
                                <w:rPr>
                                  <w:rFonts w:hint="eastAsia"/>
                                  <w:sz w:val="21"/>
                                  <w:szCs w:val="21"/>
                                </w:rPr>
                                <w:t>主体工程</w:t>
                              </w:r>
                            </w:p>
                          </w:txbxContent>
                        </v:textbox>
                      </v:rect>
                      <v:rect id="矩形 7" o:spid="_x0000_s1026" o:spt="1" style="position:absolute;left:4306;top:936;height:468;width:1259;" fillcolor="#FFFFFF" filled="t" stroked="t" coordsize="21600,21600" o:gfxdata="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8NQ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EE47CA5">
                              <w:pPr>
                                <w:jc w:val="center"/>
                                <w:rPr>
                                  <w:rFonts w:hint="eastAsia"/>
                                  <w:sz w:val="21"/>
                                  <w:szCs w:val="21"/>
                                </w:rPr>
                              </w:pPr>
                              <w:r>
                                <w:rPr>
                                  <w:rFonts w:hint="eastAsia"/>
                                  <w:sz w:val="21"/>
                                  <w:szCs w:val="21"/>
                                </w:rPr>
                                <w:t>设备安装</w:t>
                              </w:r>
                            </w:p>
                          </w:txbxContent>
                        </v:textbox>
                      </v:rect>
                      <v:rect id="矩形 8" o:spid="_x0000_s1026" o:spt="1" style="position:absolute;left:5760;top:915;height:468;width:1259;" fillcolor="#FFFFFF" filled="t" stroked="t" coordsize="21600,21600"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2E89D25">
                              <w:pPr>
                                <w:jc w:val="center"/>
                              </w:pPr>
                              <w:r>
                                <w:rPr>
                                  <w:rFonts w:hint="eastAsia"/>
                                  <w:sz w:val="21"/>
                                  <w:szCs w:val="21"/>
                                </w:rPr>
                                <w:t>工程验收</w:t>
                              </w:r>
                            </w:p>
                          </w:txbxContent>
                        </v:textbox>
                      </v:rect>
                      <v:rect id="矩形 9" o:spid="_x0000_s1026" o:spt="1" style="position:absolute;left:7215;top:885;height:468;width:899;" fillcolor="#FFFFFF" filled="t" stroked="t" coordsize="21600,21600" o:gfxdata="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u/A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5030101">
                              <w:pPr>
                                <w:jc w:val="center"/>
                              </w:pPr>
                              <w:r>
                                <w:rPr>
                                  <w:rFonts w:hint="eastAsia"/>
                                  <w:sz w:val="21"/>
                                  <w:szCs w:val="21"/>
                                </w:rPr>
                                <w:t>运行</w:t>
                              </w:r>
                            </w:p>
                          </w:txbxContent>
                        </v:textbox>
                      </v:rect>
                      <v:line id="直接连接符 10" o:spid="_x0000_s1026" o:spt="20" style="position:absolute;left:1260;top:1182;height:1;width:180;" filled="f" stroked="t" coordsize="21600,21600" o:gfxdata="UEsDBAoAAAAAAIdO4kAAAAAAAAAAAAAAAAAEAAAAZHJzL1BLAwQUAAAACACHTuJAVxeoYb8AAADb&#10;AAAADwAAAGRycy9kb3ducmV2LnhtbEWPT2vCQBTE7wW/w/IEb3UTh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XqG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1" o:spid="_x0000_s1026" o:spt="20" style="position:absolute;left:5580;top:1152;height:1;width:180;"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2" o:spid="_x0000_s1026" o:spt="20" style="position:absolute;left:7035;top:1137;height:1;width:180;" filled="f" stroked="t" coordsize="21600,21600" o:gfxdata="UEsDBAoAAAAAAIdO4kAAAAAAAAAAAAAAAAAEAAAAZHJzL1BLAwQUAAAACACHTuJAt7KVjr8AAADb&#10;AAAADwAAAGRycy9kb3ducmV2LnhtbEWPT2vCQBTE7wW/w/IEb3UTw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ylY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3" o:spid="_x0000_s1026" o:spt="20" style="position:absolute;left:4140;top:1167;height:1;width:180;" filled="f" stroked="t" coordsize="21600,21600" o:gfxdata="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A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4" o:spid="_x0000_s1026" o:spt="20" style="position:absolute;left:2700;top:1173;height:1;width:180;"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15" o:spid="_x0000_s1026" o:spt="20" style="position:absolute;left:540;top:639;flip:y;height:312;width:1;" filled="f" stroked="t" coordsize="21600,21600" o:gfxdata="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9wEa8AAAA&#10;2wAAAA8AAAAAAAAAAQAgAAAAIgAAAGRycy9kb3ducmV2LnhtbFBLAQIUABQAAAAIAIdO4kAzLwWe&#10;OwAAADkAAAAQAAAAAAAAAAEAIAAAAAsBAABkcnMvc2hhcGV4bWwueG1sUEsFBgAAAAAGAAYAWwEA&#10;ALUDAAAAAA==&#10;">
                        <v:fill on="f" focussize="0,0"/>
                        <v:stroke color="#000000" joinstyle="round" dashstyle="dashDot" endarrow="block"/>
                        <v:imagedata o:title=""/>
                        <o:lock v:ext="edit" aspectratio="f"/>
                      </v:line>
                      <v:line id="直接连接符 16" o:spid="_x0000_s1026" o:spt="20" style="position:absolute;left:4965;top:624;flip:y;height:312;width:1;" filled="f" stroked="t" coordsize="21600,21600" o:gfxdata="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v8GvQAA&#10;ANsAAAAPAAAAAAAAAAEAIAAAACIAAABkcnMvZG93bnJldi54bWxQSwECFAAUAAAACACHTuJAMy8F&#10;njsAAAA5AAAAEAAAAAAAAAABACAAAAAMAQAAZHJzL3NoYXBleG1sLnhtbFBLBQYAAAAABgAGAFsB&#10;AAC2AwAAAAA=&#10;">
                        <v:fill on="f" focussize="0,0"/>
                        <v:stroke color="#000000" joinstyle="round" dashstyle="dashDot" endarrow="block"/>
                        <v:imagedata o:title=""/>
                        <o:lock v:ext="edit" aspectratio="f"/>
                      </v:line>
                      <v:line id="直接连接符 17" o:spid="_x0000_s1026" o:spt="20" style="position:absolute;left:3495;top:624;flip:y;height:312;width:1;" filled="f" stroked="t" coordsize="21600,21600" o:gfxdata="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JanbsAAADb&#10;AAAADwAAAAAAAAABACAAAAAiAAAAZHJzL2Rvd25yZXYueG1sUEsBAhQAFAAAAAgAh07iQDMvBZ47&#10;AAAAOQAAABAAAAAAAAAAAQAgAAAACgEAAGRycy9zaGFwZXhtbC54bWxQSwUGAAAAAAYABgBbAQAA&#10;tAMAAAAA&#10;">
                        <v:fill on="f" focussize="0,0"/>
                        <v:stroke color="#000000" joinstyle="round" dashstyle="dashDot" endarrow="block"/>
                        <v:imagedata o:title=""/>
                        <o:lock v:ext="edit" aspectratio="f"/>
                      </v:line>
                      <v:line id="直接连接符 18" o:spid="_x0000_s1026" o:spt="20" style="position:absolute;left:600;top:624;height:16;width:2880;" filled="f" stroked="t" coordsize="21600,21600" o:gfxdata="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5MOvQAA&#10;ANsAAAAPAAAAAAAAAAEAIAAAACIAAABkcnMvZG93bnJldi54bWxQSwECFAAUAAAACACHTuJAMy8F&#10;njsAAAA5AAAAEAAAAAAAAAABACAAAAAMAQAAZHJzL3NoYXBleG1sLnhtbFBLBQYAAAAABgAGAFsB&#10;AAC2AwAAAAA=&#10;">
                        <v:fill on="f" focussize="0,0"/>
                        <v:stroke color="#000000" joinstyle="round" dashstyle="dashDot"/>
                        <v:imagedata o:title=""/>
                        <o:lock v:ext="edit" aspectratio="f"/>
                      </v:line>
                      <v:line id="直接连接符 19" o:spid="_x0000_s1026" o:spt="20" style="position:absolute;left:2040;top:483;flip:y;height:468;width:1;" filled="f" stroked="t" coordsize="21600,21600" o:gfxdata="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wxhcbsAAADb&#10;AAAADwAAAAAAAAABACAAAAAiAAAAZHJzL2Rvd25yZXYueG1sUEsBAhQAFAAAAAgAh07iQDMvBZ47&#10;AAAAOQAAABAAAAAAAAAAAQAgAAAACgEAAGRycy9zaGFwZXhtbC54bWxQSwUGAAAAAAYABgBbAQAA&#10;tAMAAAAA&#10;">
                        <v:fill on="f" focussize="0,0"/>
                        <v:stroke color="#000000" joinstyle="round" dashstyle="dashDot" endarrow="block"/>
                        <v:imagedata o:title=""/>
                        <o:lock v:ext="edit" aspectratio="f"/>
                      </v:line>
                      <v:line id="直接连接符 20" o:spid="_x0000_s1026" o:spt="20" style="position:absolute;left:540;top:1434;height:312;width:1;" filled="f" stroked="t" coordsize="21600,21600" o:gfxdata="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4D7r4A&#10;AADbAAAADwAAAAAAAAABACAAAAAiAAAAZHJzL2Rvd25yZXYueG1sUEsBAhQAFAAAAAgAh07iQDMv&#10;BZ47AAAAOQAAABAAAAAAAAAAAQAgAAAADQEAAGRycy9zaGFwZXhtbC54bWxQSwUGAAAAAAYABgBb&#10;AQAAtwMAAAAA&#10;">
                        <v:fill on="f" focussize="0,0"/>
                        <v:stroke color="#000000" joinstyle="round" dashstyle="dashDot" endarrow="block"/>
                        <v:imagedata o:title=""/>
                        <o:lock v:ext="edit" aspectratio="f"/>
                      </v:line>
                      <v:line id="直接连接符 21" o:spid="_x0000_s1026" o:spt="20" style="position:absolute;left:4965;top:1404;height:312;width:1;" filled="f" stroked="t" coordsize="21600,21600" o:gfxdata="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qZ1vQAA&#10;ANsAAAAPAAAAAAAAAAEAIAAAACIAAABkcnMvZG93bnJldi54bWxQSwECFAAUAAAACACHTuJAMy8F&#10;njsAAAA5AAAAEAAAAAAAAAABACAAAAAMAQAAZHJzL3NoYXBleG1sLnhtbFBLBQYAAAAABgAGAFsB&#10;AAC2AwAAAAA=&#10;">
                        <v:fill on="f" focussize="0,0"/>
                        <v:stroke color="#000000" joinstyle="round" dashstyle="dashDot" endarrow="block"/>
                        <v:imagedata o:title=""/>
                        <o:lock v:ext="edit" aspectratio="f"/>
                      </v:line>
                      <v:line id="直接连接符 22" o:spid="_x0000_s1026" o:spt="20" style="position:absolute;left:6420;top:1389;height:312;width:1;" filled="f" stroked="t" coordsize="21600,21600" o:gfxdata="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YDgCvQAA&#10;ANsAAAAPAAAAAAAAAAEAIAAAACIAAABkcnMvZG93bnJldi54bWxQSwECFAAUAAAACACHTuJAMy8F&#10;njsAAAA5AAAAEAAAAAAAAAABACAAAAAMAQAAZHJzL3NoYXBleG1sLnhtbFBLBQYAAAAABgAGAFsB&#10;AAC2AwAAAAA=&#10;">
                        <v:fill on="f" focussize="0,0"/>
                        <v:stroke color="#000000" joinstyle="round" dashstyle="dashDot" endarrow="block"/>
                        <v:imagedata o:title=""/>
                        <o:lock v:ext="edit" aspectratio="f"/>
                      </v:line>
                      <v:line id="直接连接符 23" o:spid="_x0000_s1026" o:spt="20" style="position:absolute;left:2040;top:1404;height:312;width:1;" filled="f" stroked="t" coordsize="21600,21600" o:gfxdata="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ydmb4A&#10;AADbAAAADwAAAAAAAAABACAAAAAiAAAAZHJzL2Rvd25yZXYueG1sUEsBAhQAFAAAAAgAh07iQDMv&#10;BZ47AAAAOQAAABAAAAAAAAAAAQAgAAAADQEAAGRycy9zaGFwZXhtbC54bWxQSwUGAAAAAAYABgBb&#10;AQAAtwMAAAAA&#10;">
                        <v:fill on="f" focussize="0,0"/>
                        <v:stroke color="#000000" joinstyle="round" dashstyle="dashDot" endarrow="block"/>
                        <v:imagedata o:title=""/>
                        <o:lock v:ext="edit" aspectratio="f"/>
                      </v:line>
                      <v:line id="直接连接符 24" o:spid="_x0000_s1026" o:spt="20" style="position:absolute;left:510;top:1716;height:1;width:5940;" filled="f" stroked="t" coordsize="21600,21600" o:gfxdata="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uk5LsAAADb&#10;AAAADwAAAAAAAAABACAAAAAiAAAAZHJzL2Rvd25yZXYueG1sUEsBAhQAFAAAAAgAh07iQDMvBZ47&#10;AAAAOQAAABAAAAAAAAAAAQAgAAAACgEAAGRycy9zaGFwZXhtbC54bWxQSwUGAAAAAAYABgBbAQAA&#10;tAMAAAAA&#10;">
                        <v:fill on="f" focussize="0,0"/>
                        <v:stroke color="#000000" joinstyle="round" dashstyle="dashDot"/>
                        <v:imagedata o:title=""/>
                        <o:lock v:ext="edit" aspectratio="f"/>
                      </v:line>
                      <v:line id="直接连接符 25" o:spid="_x0000_s1026" o:spt="20" style="position:absolute;left:3495;top:1404;height:468;width:1;" filled="f" stroked="t" coordsize="21600,21600" o:gfxdata="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cL4A&#10;AADbAAAADwAAAAAAAAABACAAAAAiAAAAZHJzL2Rvd25yZXYueG1sUEsBAhQAFAAAAAgAh07iQDMv&#10;BZ47AAAAOQAAABAAAAAAAAAAAQAgAAAADQEAAGRycy9zaGFwZXhtbC54bWxQSwUGAAAAAAYABgBb&#10;AQAAtwMAAAAA&#10;">
                        <v:fill on="f" focussize="0,0"/>
                        <v:stroke color="#000000" joinstyle="round" dashstyle="dashDot" endarrow="block"/>
                        <v:imagedata o:title=""/>
                        <o:lock v:ext="edit" aspectratio="f"/>
                      </v:line>
                      <v:rect id="矩形 26" o:spid="_x0000_s1026" o:spt="1" style="position:absolute;left:2880;top:1872;height:432;width:1275;" fillcolor="#FFFFFF" filled="t" stroked="t" coordsize="21600,21600" o:gfxdata="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7gRS5AAAA2wAA&#10;AA8AAAAAAAAAAQAgAAAAIgAAAGRycy9kb3ducmV2LnhtbFBLAQIUABQAAAAIAIdO4kAzLwWeOwAA&#10;ADkAAAAQAAAAAAAAAAEAIAAAAAgBAABkcnMvc2hhcGV4bWwueG1sUEsFBgAAAAAGAAYAWwEAALID&#10;AAAAAA==&#10;">
                        <v:fill on="t" focussize="0,0"/>
                        <v:stroke color="#000000" joinstyle="miter" dashstyle="dashDot"/>
                        <v:imagedata o:title=""/>
                        <o:lock v:ext="edit" aspectratio="f"/>
                        <v:textbox>
                          <w:txbxContent>
                            <w:p w14:paraId="2CEBB0F1">
                              <w:pPr>
                                <w:jc w:val="center"/>
                                <w:rPr>
                                  <w:rFonts w:hint="eastAsia" w:eastAsia="宋体"/>
                                  <w:sz w:val="18"/>
                                  <w:szCs w:val="18"/>
                                  <w:lang w:eastAsia="zh-CN"/>
                                </w:rPr>
                              </w:pPr>
                              <w:r>
                                <w:rPr>
                                  <w:rFonts w:hint="eastAsia"/>
                                  <w:sz w:val="18"/>
                                  <w:szCs w:val="18"/>
                                </w:rPr>
                                <w:t>废水、</w:t>
                              </w:r>
                              <w:r>
                                <w:rPr>
                                  <w:rFonts w:hint="eastAsia"/>
                                  <w:sz w:val="18"/>
                                  <w:szCs w:val="18"/>
                                  <w:lang w:eastAsia="zh-CN"/>
                                </w:rPr>
                                <w:t>固</w:t>
                              </w:r>
                              <w:r>
                                <w:rPr>
                                  <w:rFonts w:hint="eastAsia"/>
                                  <w:sz w:val="18"/>
                                  <w:szCs w:val="18"/>
                                  <w:lang w:val="en-US" w:eastAsia="zh-CN"/>
                                </w:rPr>
                                <w:t>废</w:t>
                              </w:r>
                              <w:r>
                                <w:rPr>
                                  <w:rFonts w:hint="eastAsia"/>
                                  <w:sz w:val="18"/>
                                  <w:szCs w:val="18"/>
                                  <w:lang w:eastAsia="zh-CN"/>
                                </w:rPr>
                                <w:t>废物</w:t>
                              </w:r>
                            </w:p>
                          </w:txbxContent>
                        </v:textbox>
                      </v:rect>
                      <w10:wrap type="none"/>
                      <w10:anchorlock/>
                    </v:group>
                  </w:pict>
                </mc:Fallback>
              </mc:AlternateContent>
            </w:r>
          </w:p>
          <w:p w14:paraId="328CD08C">
            <w:pPr>
              <w:pStyle w:val="42"/>
              <w:keepLines w:val="0"/>
              <w:pageBreakBefore w:val="0"/>
              <w:kinsoku/>
              <w:wordWrap/>
              <w:topLinePunct w:val="0"/>
              <w:autoSpaceDE/>
              <w:autoSpaceDN/>
              <w:bidi w:val="0"/>
              <w:spacing w:beforeAutospacing="0" w:afterAutospacing="0"/>
              <w:textAlignment w:val="auto"/>
              <w:rPr>
                <w:highlight w:val="none"/>
              </w:rPr>
            </w:pPr>
            <w:r>
              <w:rPr>
                <w:highlight w:val="none"/>
              </w:rPr>
              <w:t>图</w:t>
            </w:r>
            <w:r>
              <w:rPr>
                <w:rFonts w:hint="eastAsia"/>
                <w:highlight w:val="none"/>
              </w:rPr>
              <w:t>2</w:t>
            </w:r>
            <w:r>
              <w:rPr>
                <w:rFonts w:hint="eastAsia"/>
                <w:highlight w:val="none"/>
                <w:lang w:val="en-US" w:eastAsia="zh-CN"/>
              </w:rPr>
              <w:t>-2</w:t>
            </w:r>
            <w:r>
              <w:rPr>
                <w:rFonts w:hint="eastAsia"/>
                <w:highlight w:val="none"/>
              </w:rPr>
              <w:t xml:space="preserve"> </w:t>
            </w:r>
            <w:r>
              <w:rPr>
                <w:highlight w:val="none"/>
              </w:rPr>
              <w:t xml:space="preserve">  </w:t>
            </w:r>
            <w:r>
              <w:rPr>
                <w:rFonts w:hint="eastAsia"/>
                <w:highlight w:val="none"/>
                <w:lang w:val="en-US" w:eastAsia="zh-CN"/>
              </w:rPr>
              <w:t xml:space="preserve"> </w:t>
            </w:r>
            <w:r>
              <w:rPr>
                <w:highlight w:val="none"/>
              </w:rPr>
              <w:t>施工工艺</w:t>
            </w:r>
            <w:r>
              <w:rPr>
                <w:rFonts w:hint="eastAsia"/>
                <w:highlight w:val="none"/>
              </w:rPr>
              <w:t>流程</w:t>
            </w:r>
            <w:r>
              <w:rPr>
                <w:highlight w:val="none"/>
              </w:rPr>
              <w:t>及产污环节图</w:t>
            </w:r>
          </w:p>
          <w:p w14:paraId="4831BB57">
            <w:pPr>
              <w:pStyle w:val="8"/>
              <w:keepLines w:val="0"/>
              <w:pageBreakBefore w:val="0"/>
              <w:kinsoku/>
              <w:wordWrap/>
              <w:topLinePunct w:val="0"/>
              <w:autoSpaceDE/>
              <w:autoSpaceDN/>
              <w:bidi w:val="0"/>
              <w:spacing w:beforeAutospacing="0" w:afterAutospacing="0"/>
              <w:textAlignment w:val="auto"/>
              <w:rPr>
                <w:rFonts w:hint="eastAsia"/>
                <w:highlight w:val="none"/>
              </w:rPr>
            </w:pPr>
            <w:r>
              <w:rPr>
                <w:rFonts w:hint="eastAsia"/>
                <w:highlight w:val="none"/>
              </w:rPr>
              <w:t>施工流程简述：</w:t>
            </w:r>
          </w:p>
          <w:p w14:paraId="4CB35F91">
            <w:pPr>
              <w:pStyle w:val="8"/>
              <w:keepLines w:val="0"/>
              <w:pageBreakBefore w:val="0"/>
              <w:kinsoku/>
              <w:wordWrap/>
              <w:topLinePunct w:val="0"/>
              <w:autoSpaceDE/>
              <w:autoSpaceDN/>
              <w:bidi w:val="0"/>
              <w:spacing w:beforeAutospacing="0" w:afterAutospacing="0"/>
              <w:textAlignment w:val="auto"/>
            </w:pPr>
            <w:r>
              <w:rPr>
                <w:rFonts w:hint="eastAsia"/>
                <w:highlight w:val="none"/>
                <w:lang w:val="en-US" w:eastAsia="zh-CN"/>
              </w:rPr>
              <w:t>本项目施工期间的地表清理、基础工程、主体工程、设备安装等建设工序将产生噪声、扬尘、固体废物、少量废水等污染物。施工场地要设置围挡，使用彩钢板在施工区四周围屏以防扬尘扩散。废水主要为混凝土养护废水和设备、工具清洗废水，产生量较小，经过沉淀池沉淀后，用于洒水抑尘；建筑垃圾由各施工队妥善处理，及时清运到环卫部门指定的地方处置。合理安排施工时间，应尽可能避免大量高噪声设备同时施工，使用高噪声设备的施工阶段应尽量安排在白天，无特殊工艺施工要求，夜间不施工。</w:t>
            </w:r>
          </w:p>
          <w:p w14:paraId="7429B5C2">
            <w:pPr>
              <w:pStyle w:val="2"/>
              <w:bidi w:val="0"/>
              <w:rPr>
                <w:rFonts w:hint="eastAsia"/>
                <w:lang w:val="en-US" w:eastAsia="zh-CN"/>
              </w:rPr>
            </w:pPr>
            <w:r>
              <w:rPr>
                <w:rFonts w:hint="eastAsia"/>
                <w:lang w:val="en-US" w:eastAsia="zh-CN"/>
              </w:rPr>
              <w:t>2.运营期工艺流程和产排污环节：</w:t>
            </w:r>
          </w:p>
          <w:p w14:paraId="563936A3">
            <w:pPr>
              <w:pStyle w:val="49"/>
              <w:bidi w:val="0"/>
              <w:rPr>
                <w:rFonts w:hint="default"/>
                <w:lang w:val="en-US" w:eastAsia="zh-CN"/>
              </w:rPr>
            </w:pPr>
            <w:r>
              <w:rPr>
                <w:rFonts w:hint="eastAsia"/>
                <w:lang w:val="en-US" w:eastAsia="zh-CN"/>
              </w:rPr>
              <w:t>2.1现代化加气块</w:t>
            </w:r>
          </w:p>
          <w:p w14:paraId="3D160011">
            <w:pPr>
              <w:pStyle w:val="2"/>
              <w:bidi w:val="0"/>
              <w:spacing w:line="240" w:lineRule="auto"/>
              <w:ind w:left="0" w:leftChars="0" w:right="0" w:rightChars="0" w:firstLine="0" w:firstLineChars="0"/>
              <w:jc w:val="center"/>
              <w:rPr>
                <w:rFonts w:hint="eastAsia"/>
                <w:lang w:val="en-US" w:eastAsia="zh-CN"/>
              </w:rPr>
            </w:pPr>
            <w:r>
              <w:rPr>
                <w:rFonts w:hint="eastAsia"/>
                <w:lang w:val="en-US" w:eastAsia="zh-CN"/>
              </w:rPr>
              <w:drawing>
                <wp:inline distT="0" distB="0" distL="114300" distR="114300">
                  <wp:extent cx="4665980" cy="1228090"/>
                  <wp:effectExtent l="0" t="0" r="0" b="0"/>
                  <wp:docPr id="43" name="ECB019B1-382A-4266-B25C-5B523AA43C14-2" descr="C:/Users/Administrator/AppData/Local/Temp/wps.wLBes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CB019B1-382A-4266-B25C-5B523AA43C14-2" descr="C:/Users/Administrator/AppData/Local/Temp/wps.wLBesgwps"/>
                          <pic:cNvPicPr>
                            <a:picLocks noChangeAspect="1"/>
                          </pic:cNvPicPr>
                        </pic:nvPicPr>
                        <pic:blipFill>
                          <a:blip r:embed="rId12"/>
                          <a:stretch>
                            <a:fillRect/>
                          </a:stretch>
                        </pic:blipFill>
                        <pic:spPr>
                          <a:xfrm>
                            <a:off x="0" y="0"/>
                            <a:ext cx="4665980" cy="1228090"/>
                          </a:xfrm>
                          <a:prstGeom prst="rect">
                            <a:avLst/>
                          </a:prstGeom>
                        </pic:spPr>
                      </pic:pic>
                    </a:graphicData>
                  </a:graphic>
                </wp:inline>
              </w:drawing>
            </w:r>
          </w:p>
          <w:p w14:paraId="019D84E6">
            <w:pPr>
              <w:pStyle w:val="42"/>
              <w:keepLines w:val="0"/>
              <w:pageBreakBefore w:val="0"/>
              <w:kinsoku/>
              <w:wordWrap/>
              <w:topLinePunct w:val="0"/>
              <w:autoSpaceDE/>
              <w:autoSpaceDN/>
              <w:bidi w:val="0"/>
              <w:spacing w:beforeAutospacing="0" w:afterAutospacing="0"/>
              <w:textAlignment w:val="auto"/>
              <w:rPr>
                <w:rFonts w:hint="default"/>
                <w:lang w:val="en-US"/>
              </w:rPr>
            </w:pPr>
            <w:r>
              <w:rPr>
                <w:rFonts w:hint="eastAsia"/>
                <w:lang w:val="en-US" w:eastAsia="zh-CN"/>
              </w:rPr>
              <w:t>图2-3    现代化加气块生产工艺流程及产污环节图</w:t>
            </w:r>
          </w:p>
          <w:p w14:paraId="400261DC">
            <w:pPr>
              <w:pStyle w:val="2"/>
              <w:keepLines w:val="0"/>
              <w:pageBreakBefore w:val="0"/>
              <w:kinsoku/>
              <w:wordWrap/>
              <w:topLinePunct w:val="0"/>
              <w:autoSpaceDE/>
              <w:autoSpaceDN/>
              <w:bidi w:val="0"/>
              <w:spacing w:beforeAutospacing="0" w:afterAutospacing="0"/>
              <w:textAlignment w:val="auto"/>
            </w:pPr>
            <w:r>
              <w:t>工艺流程</w:t>
            </w:r>
            <w:r>
              <w:rPr>
                <w:rFonts w:hint="eastAsia"/>
                <w:lang w:val="en-US" w:eastAsia="zh-CN"/>
              </w:rPr>
              <w:t>简述</w:t>
            </w:r>
            <w:r>
              <w:t>：</w:t>
            </w:r>
          </w:p>
          <w:p w14:paraId="0DA4076B">
            <w:pPr>
              <w:pStyle w:val="8"/>
              <w:keepLines w:val="0"/>
              <w:pageBreakBefore w:val="0"/>
              <w:kinsoku/>
              <w:wordWrap/>
              <w:topLinePunct w:val="0"/>
              <w:autoSpaceDE/>
              <w:autoSpaceDN/>
              <w:bidi w:val="0"/>
              <w:spacing w:beforeAutospacing="0" w:afterAutospacing="0"/>
              <w:textAlignment w:val="auto"/>
              <w:rPr>
                <w:rFonts w:hint="eastAsia" w:ascii="宋体" w:hAnsi="宋体" w:cs="宋体"/>
                <w:bCs/>
                <w:szCs w:val="21"/>
                <w:lang w:val="en-US" w:eastAsia="zh-CN"/>
              </w:rPr>
            </w:pPr>
            <w:r>
              <w:rPr>
                <w:rFonts w:hint="eastAsia" w:ascii="宋体" w:hAnsi="宋体" w:cs="宋体"/>
                <w:bCs/>
                <w:szCs w:val="21"/>
                <w:lang w:val="en-US" w:eastAsia="zh-CN"/>
              </w:rPr>
              <w:t>原料进仓：水泥和粉煤灰由密闭罐车拉运至厂区后气力输送入筒仓内储存，成品聚苯乙烯发泡颗粒（EPS）、石灰、石膏采用吨袋包装，通过叉车直接倒入料斗。进料时水泥、粉煤灰输送及聚苯乙烯发泡颗粒（EPS）、石灰、石膏、铝粉膏倒运会产生粉尘。</w:t>
            </w:r>
          </w:p>
          <w:p w14:paraId="04F2D905">
            <w:pPr>
              <w:pStyle w:val="8"/>
              <w:keepLines w:val="0"/>
              <w:pageBreakBefore w:val="0"/>
              <w:kinsoku/>
              <w:wordWrap/>
              <w:topLinePunct w:val="0"/>
              <w:autoSpaceDE/>
              <w:autoSpaceDN/>
              <w:bidi w:val="0"/>
              <w:spacing w:beforeAutospacing="0" w:afterAutospacing="0"/>
              <w:textAlignment w:val="auto"/>
              <w:rPr>
                <w:rFonts w:hint="eastAsia" w:ascii="宋体" w:hAnsi="宋体" w:cs="宋体"/>
                <w:bCs/>
                <w:szCs w:val="21"/>
                <w:lang w:val="en-US" w:eastAsia="zh-CN"/>
              </w:rPr>
            </w:pPr>
            <w:r>
              <w:rPr>
                <w:rFonts w:hint="eastAsia" w:ascii="宋体" w:hAnsi="宋体" w:cs="宋体"/>
                <w:bCs/>
                <w:szCs w:val="21"/>
                <w:lang w:val="en-US" w:eastAsia="zh-CN"/>
              </w:rPr>
              <w:t>称重备料：根据现代化加气块原料配比要求，水泥、粉煤灰、EPS颗粒通过绞龙输送机由密闭管道输送至自动计量系统，通过传感器数据反馈，实现原料精准计量、备料。</w:t>
            </w:r>
          </w:p>
          <w:p w14:paraId="2EFA028B">
            <w:pPr>
              <w:pStyle w:val="8"/>
              <w:keepLines w:val="0"/>
              <w:pageBreakBefore w:val="0"/>
              <w:kinsoku/>
              <w:wordWrap/>
              <w:topLinePunct w:val="0"/>
              <w:autoSpaceDE/>
              <w:autoSpaceDN/>
              <w:bidi w:val="0"/>
              <w:spacing w:beforeAutospacing="0" w:afterAutospacing="0"/>
              <w:textAlignment w:val="auto"/>
              <w:rPr>
                <w:rFonts w:hint="eastAsia" w:ascii="宋体" w:hAnsi="宋体" w:cs="宋体"/>
                <w:bCs/>
                <w:szCs w:val="21"/>
                <w:lang w:val="en-US" w:eastAsia="zh-CN"/>
              </w:rPr>
            </w:pPr>
            <w:r>
              <w:rPr>
                <w:rFonts w:hint="eastAsia" w:ascii="宋体" w:hAnsi="宋体" w:cs="宋体"/>
                <w:bCs/>
                <w:szCs w:val="21"/>
                <w:lang w:val="en-US" w:eastAsia="zh-CN"/>
              </w:rPr>
              <w:t>预混搅拌：计量好的EPS颗粒与水泥、粉煤灰一同通过密闭管道输送至双螺带搅拌机中干混，形成均匀预混料。搅拌过程中，水泥、粉煤灰、聚苯乙烯发泡颗粒（EPS）、石灰、石膏、铝粉膏会产生粉尘，搅拌机运转产生机械噪声。</w:t>
            </w:r>
          </w:p>
          <w:p w14:paraId="68A2B1F2">
            <w:pPr>
              <w:pStyle w:val="8"/>
              <w:keepLines w:val="0"/>
              <w:pageBreakBefore w:val="0"/>
              <w:kinsoku/>
              <w:wordWrap/>
              <w:topLinePunct w:val="0"/>
              <w:autoSpaceDE/>
              <w:autoSpaceDN/>
              <w:bidi w:val="0"/>
              <w:spacing w:beforeAutospacing="0" w:afterAutospacing="0"/>
              <w:textAlignment w:val="auto"/>
              <w:rPr>
                <w:rFonts w:hint="eastAsia" w:ascii="宋体" w:hAnsi="宋体" w:cs="宋体"/>
                <w:bCs/>
                <w:szCs w:val="21"/>
                <w:lang w:val="en-US" w:eastAsia="zh-CN"/>
              </w:rPr>
            </w:pPr>
            <w:r>
              <w:rPr>
                <w:rFonts w:hint="eastAsia" w:ascii="宋体" w:hAnsi="宋体" w:cs="宋体"/>
                <w:bCs/>
                <w:szCs w:val="21"/>
                <w:lang w:val="en-US" w:eastAsia="zh-CN"/>
              </w:rPr>
              <w:t>加水搅拌：预混料输送至强制式搅拌机，按比例加水搅拌，延长搅拌时间确保EPS颗粒均匀分散。</w:t>
            </w:r>
          </w:p>
          <w:p w14:paraId="7932E6B3">
            <w:pPr>
              <w:pStyle w:val="8"/>
              <w:keepLines w:val="0"/>
              <w:pageBreakBefore w:val="0"/>
              <w:kinsoku/>
              <w:wordWrap/>
              <w:topLinePunct w:val="0"/>
              <w:autoSpaceDE/>
              <w:autoSpaceDN/>
              <w:bidi w:val="0"/>
              <w:spacing w:beforeAutospacing="0" w:afterAutospacing="0"/>
              <w:textAlignment w:val="auto"/>
              <w:rPr>
                <w:rFonts w:hint="eastAsia" w:ascii="宋体" w:hAnsi="宋体" w:cs="宋体"/>
                <w:bCs/>
                <w:szCs w:val="21"/>
                <w:lang w:val="en-US" w:eastAsia="zh-CN"/>
              </w:rPr>
            </w:pPr>
            <w:r>
              <w:rPr>
                <w:rFonts w:hint="eastAsia" w:ascii="宋体" w:hAnsi="宋体" w:cs="宋体"/>
                <w:bCs/>
                <w:szCs w:val="21"/>
                <w:lang w:val="en-US" w:eastAsia="zh-CN"/>
              </w:rPr>
              <w:t>浇筑入模：搅拌好的浆料通过浇注设备注入预先涂刷脱模剂的模框。</w:t>
            </w:r>
          </w:p>
          <w:p w14:paraId="40611945">
            <w:pPr>
              <w:pStyle w:val="8"/>
              <w:keepLines w:val="0"/>
              <w:pageBreakBefore w:val="0"/>
              <w:kinsoku/>
              <w:wordWrap/>
              <w:topLinePunct w:val="0"/>
              <w:autoSpaceDE/>
              <w:autoSpaceDN/>
              <w:bidi w:val="0"/>
              <w:spacing w:beforeAutospacing="0" w:afterAutospacing="0"/>
              <w:textAlignment w:val="auto"/>
              <w:rPr>
                <w:rFonts w:hint="eastAsia" w:ascii="宋体" w:hAnsi="宋体" w:cs="宋体"/>
                <w:bCs/>
                <w:szCs w:val="21"/>
                <w:lang w:val="en-US" w:eastAsia="zh-CN"/>
              </w:rPr>
            </w:pPr>
            <w:r>
              <w:rPr>
                <w:rFonts w:hint="eastAsia" w:ascii="宋体" w:hAnsi="宋体" w:cs="宋体"/>
                <w:bCs/>
                <w:szCs w:val="21"/>
                <w:lang w:val="en-US" w:eastAsia="zh-CN"/>
              </w:rPr>
              <w:t>静停养护：将模具推入初养区静停，使坯体硬化。</w:t>
            </w:r>
          </w:p>
          <w:p w14:paraId="6DFA9EB1">
            <w:pPr>
              <w:pStyle w:val="8"/>
              <w:keepLines w:val="0"/>
              <w:pageBreakBefore w:val="0"/>
              <w:kinsoku/>
              <w:wordWrap/>
              <w:topLinePunct w:val="0"/>
              <w:autoSpaceDE/>
              <w:autoSpaceDN/>
              <w:bidi w:val="0"/>
              <w:spacing w:beforeAutospacing="0" w:afterAutospacing="0"/>
              <w:textAlignment w:val="auto"/>
              <w:rPr>
                <w:rFonts w:hint="eastAsia" w:ascii="宋体" w:hAnsi="宋体" w:cs="宋体"/>
                <w:bCs/>
                <w:szCs w:val="21"/>
                <w:lang w:val="en-US" w:eastAsia="zh-CN"/>
              </w:rPr>
            </w:pPr>
            <w:r>
              <w:rPr>
                <w:rFonts w:hint="eastAsia" w:ascii="宋体" w:hAnsi="宋体" w:cs="宋体"/>
                <w:bCs/>
                <w:szCs w:val="21"/>
                <w:lang w:val="en-US" w:eastAsia="zh-CN"/>
              </w:rPr>
              <w:t>切割成型：采用翻转式切割机对硬化坯体进行横纵向切割，湿式切割几乎不产生粉尘，切割过程会产生加气块废料，切割机运转产生机械噪声。</w:t>
            </w:r>
          </w:p>
          <w:p w14:paraId="50B44EB0">
            <w:pPr>
              <w:pStyle w:val="8"/>
              <w:keepLines w:val="0"/>
              <w:pageBreakBefore w:val="0"/>
              <w:kinsoku/>
              <w:wordWrap/>
              <w:topLinePunct w:val="0"/>
              <w:autoSpaceDE/>
              <w:autoSpaceDN/>
              <w:bidi w:val="0"/>
              <w:spacing w:beforeAutospacing="0" w:afterAutospacing="0"/>
              <w:textAlignment w:val="auto"/>
              <w:rPr>
                <w:rFonts w:hint="eastAsia" w:ascii="宋体" w:hAnsi="宋体" w:cs="宋体"/>
                <w:bCs/>
                <w:szCs w:val="21"/>
                <w:lang w:val="en-US" w:eastAsia="zh-CN"/>
              </w:rPr>
            </w:pPr>
            <w:r>
              <w:rPr>
                <w:rFonts w:hint="eastAsia" w:ascii="宋体" w:hAnsi="宋体" w:cs="宋体"/>
                <w:bCs/>
                <w:szCs w:val="21"/>
                <w:lang w:val="en-US" w:eastAsia="zh-CN"/>
              </w:rPr>
              <w:t>打包处理：切割完成的砌块按规格在垛盘上打包。</w:t>
            </w:r>
          </w:p>
          <w:p w14:paraId="0C3B761E">
            <w:pPr>
              <w:pStyle w:val="8"/>
              <w:bidi w:val="0"/>
              <w:rPr>
                <w:rFonts w:hint="eastAsia"/>
                <w:lang w:val="en-US" w:eastAsia="zh-CN"/>
              </w:rPr>
            </w:pPr>
            <w:r>
              <w:rPr>
                <w:rFonts w:hint="eastAsia"/>
                <w:lang w:val="en-US" w:eastAsia="zh-CN"/>
              </w:rPr>
              <w:t>成品养护：打包后的坯体露天码放进行自然养护，养护完成后喷码标识入库。</w:t>
            </w:r>
          </w:p>
          <w:p w14:paraId="21F1F9D4">
            <w:pPr>
              <w:pStyle w:val="8"/>
              <w:bidi w:val="0"/>
              <w:ind w:left="0" w:leftChars="0" w:firstLine="0" w:firstLineChars="0"/>
              <w:rPr>
                <w:rFonts w:hint="eastAsia"/>
                <w:lang w:val="en-US" w:eastAsia="zh-CN"/>
              </w:rPr>
            </w:pPr>
            <w:r>
              <w:rPr>
                <w:rStyle w:val="67"/>
                <w:rFonts w:hint="eastAsia"/>
                <w:lang w:val="en-US" w:eastAsia="zh-CN"/>
              </w:rPr>
              <w:t>2.2装配式建筑房屋、检查井、消防池和钢筋砼组合式化粪池</w:t>
            </w:r>
          </w:p>
          <w:p w14:paraId="0D87928C">
            <w:pPr>
              <w:pStyle w:val="8"/>
              <w:keepLines w:val="0"/>
              <w:pageBreakBefore w:val="0"/>
              <w:kinsoku/>
              <w:wordWrap/>
              <w:topLinePunct w:val="0"/>
              <w:autoSpaceDE/>
              <w:autoSpaceDN/>
              <w:bidi w:val="0"/>
              <w:spacing w:beforeAutospacing="0" w:afterAutospacing="0" w:line="240" w:lineRule="auto"/>
              <w:ind w:left="0" w:leftChars="0" w:firstLine="0" w:firstLineChars="0"/>
              <w:textAlignment w:val="auto"/>
              <w:rPr>
                <w:rFonts w:hint="default" w:ascii="宋体" w:hAnsi="宋体" w:eastAsia="宋体" w:cs="宋体"/>
                <w:bCs/>
                <w:szCs w:val="21"/>
                <w:lang w:val="en-US" w:eastAsia="zh-CN"/>
              </w:rPr>
            </w:pPr>
            <w:r>
              <w:rPr>
                <w:rFonts w:hint="default" w:ascii="宋体" w:hAnsi="宋体" w:eastAsia="宋体" w:cs="宋体"/>
                <w:bCs/>
                <w:szCs w:val="21"/>
                <w:lang w:val="en-US" w:eastAsia="zh-CN"/>
              </w:rPr>
              <w:drawing>
                <wp:inline distT="0" distB="0" distL="114300" distR="114300">
                  <wp:extent cx="4977130" cy="2734945"/>
                  <wp:effectExtent l="0" t="0" r="0" b="0"/>
                  <wp:docPr id="3" name="ECB019B1-382A-4266-B25C-5B523AA43C14-3" descr="C:/Users/Administrator/AppData/Local/Temp/wps.vEeia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3" descr="C:/Users/Administrator/AppData/Local/Temp/wps.vEeiaTwps"/>
                          <pic:cNvPicPr>
                            <a:picLocks noChangeAspect="1"/>
                          </pic:cNvPicPr>
                        </pic:nvPicPr>
                        <pic:blipFill>
                          <a:blip r:embed="rId13"/>
                          <a:stretch>
                            <a:fillRect/>
                          </a:stretch>
                        </pic:blipFill>
                        <pic:spPr>
                          <a:xfrm>
                            <a:off x="0" y="0"/>
                            <a:ext cx="4977130" cy="2734945"/>
                          </a:xfrm>
                          <a:prstGeom prst="rect">
                            <a:avLst/>
                          </a:prstGeom>
                        </pic:spPr>
                      </pic:pic>
                    </a:graphicData>
                  </a:graphic>
                </wp:inline>
              </w:drawing>
            </w:r>
          </w:p>
          <w:p w14:paraId="608553A4">
            <w:pPr>
              <w:pStyle w:val="42"/>
              <w:bidi w:val="0"/>
              <w:rPr>
                <w:rFonts w:hint="default"/>
                <w:lang w:val="en-US" w:eastAsia="zh-CN"/>
              </w:rPr>
            </w:pPr>
            <w:r>
              <w:rPr>
                <w:rFonts w:hint="default"/>
                <w:lang w:val="en-US" w:eastAsia="zh-CN"/>
              </w:rPr>
              <w:t>图2-</w:t>
            </w:r>
            <w:r>
              <w:rPr>
                <w:rFonts w:hint="eastAsia"/>
                <w:lang w:val="en-US" w:eastAsia="zh-CN"/>
              </w:rPr>
              <w:t>4</w:t>
            </w:r>
            <w:r>
              <w:rPr>
                <w:rFonts w:hint="default"/>
                <w:lang w:val="en-US" w:eastAsia="zh-CN"/>
              </w:rPr>
              <w:t xml:space="preserve">    砼预制房一体浇筑</w:t>
            </w:r>
            <w:r>
              <w:rPr>
                <w:rFonts w:hint="eastAsia"/>
                <w:lang w:val="en-US" w:eastAsia="zh-CN"/>
              </w:rPr>
              <w:t>生产</w:t>
            </w:r>
            <w:r>
              <w:rPr>
                <w:rFonts w:hint="default"/>
                <w:lang w:val="en-US" w:eastAsia="zh-CN"/>
              </w:rPr>
              <w:t>工艺流程及产污环节图</w:t>
            </w:r>
          </w:p>
          <w:p w14:paraId="2423AB19">
            <w:pPr>
              <w:pStyle w:val="49"/>
              <w:bidi w:val="0"/>
              <w:rPr>
                <w:rFonts w:hint="default"/>
                <w:lang w:val="en-US" w:eastAsia="zh-CN"/>
              </w:rPr>
            </w:pPr>
            <w:r>
              <w:rPr>
                <w:rFonts w:hint="default"/>
                <w:lang w:val="en-US" w:eastAsia="zh-CN"/>
              </w:rPr>
              <w:t>工艺流程简述：</w:t>
            </w:r>
          </w:p>
          <w:p w14:paraId="41EFE503">
            <w:pPr>
              <w:pStyle w:val="53"/>
              <w:bidi w:val="0"/>
              <w:rPr>
                <w:rFonts w:hint="default"/>
                <w:lang w:val="en-US" w:eastAsia="zh-CN"/>
              </w:rPr>
            </w:pPr>
            <w:r>
              <w:rPr>
                <w:rFonts w:hint="default"/>
                <w:lang w:val="en-US" w:eastAsia="zh-CN"/>
              </w:rPr>
              <w:t>一、原料准备与计量搅拌</w:t>
            </w:r>
          </w:p>
          <w:p w14:paraId="6D839139">
            <w:pPr>
              <w:pStyle w:val="53"/>
              <w:bidi w:val="0"/>
              <w:rPr>
                <w:rFonts w:hint="default"/>
                <w:lang w:val="en-US" w:eastAsia="zh-CN"/>
              </w:rPr>
            </w:pPr>
            <w:r>
              <w:rPr>
                <w:rFonts w:hint="default"/>
                <w:lang w:val="en-US" w:eastAsia="zh-CN"/>
              </w:rPr>
              <w:t>外购砂石料经皮带输送机输送至计量系统，水泥、粉煤灰等粉状原料储存于密闭粉料筒仓，粉料经密闭</w:t>
            </w:r>
            <w:r>
              <w:rPr>
                <w:rFonts w:hint="eastAsia"/>
                <w:lang w:val="en-US" w:eastAsia="zh-CN"/>
              </w:rPr>
              <w:t>管道</w:t>
            </w:r>
            <w:r>
              <w:rPr>
                <w:rFonts w:hint="default"/>
                <w:lang w:val="en-US" w:eastAsia="zh-CN"/>
              </w:rPr>
              <w:t>输送至计量系统。外加剂（减水剂、防冻剂等）与生产用水按配比计量。各类原料按配合比计量后进入强制式搅拌机，充分搅拌形成成品混凝土。搅拌过程产生粉尘及搅拌噪声</w:t>
            </w:r>
            <w:r>
              <w:rPr>
                <w:rFonts w:hint="eastAsia"/>
                <w:lang w:val="en-US" w:eastAsia="zh-CN"/>
              </w:rPr>
              <w:t>，</w:t>
            </w:r>
            <w:r>
              <w:rPr>
                <w:rFonts w:hint="default"/>
                <w:lang w:val="en-US" w:eastAsia="zh-CN"/>
              </w:rPr>
              <w:t>搅拌机清洗产生少量设备清洗废水（经沉淀后回用）。</w:t>
            </w:r>
          </w:p>
          <w:p w14:paraId="59C54B8D">
            <w:pPr>
              <w:pStyle w:val="53"/>
              <w:bidi w:val="0"/>
              <w:rPr>
                <w:rFonts w:hint="default"/>
                <w:lang w:val="en-US" w:eastAsia="zh-CN"/>
              </w:rPr>
            </w:pPr>
            <w:r>
              <w:rPr>
                <w:rFonts w:hint="default"/>
                <w:lang w:val="en-US" w:eastAsia="zh-CN"/>
              </w:rPr>
              <w:t>二、模具准备与钢筋绑扎</w:t>
            </w:r>
          </w:p>
          <w:p w14:paraId="346DC7AE">
            <w:pPr>
              <w:pStyle w:val="53"/>
              <w:bidi w:val="0"/>
              <w:rPr>
                <w:rFonts w:hint="default"/>
                <w:lang w:val="en-US" w:eastAsia="zh-CN"/>
              </w:rPr>
            </w:pPr>
            <w:r>
              <w:rPr>
                <w:rFonts w:hint="default"/>
                <w:lang w:val="en-US" w:eastAsia="zh-CN"/>
              </w:rPr>
              <w:t>模具设计与组装：按产品规格设计组装模具，采用H型钢、槽钢焊接主体框架，搭配定型钢模和免拆式EPS夹芯板，通过螺栓连接固定。焊接过程产生焊接烟尘、焊接噪声及焊接废料（废焊条、废钢材）。</w:t>
            </w:r>
          </w:p>
          <w:p w14:paraId="69C0743B">
            <w:pPr>
              <w:pStyle w:val="53"/>
              <w:bidi w:val="0"/>
              <w:rPr>
                <w:rFonts w:hint="default"/>
                <w:lang w:val="en-US" w:eastAsia="zh-CN"/>
              </w:rPr>
            </w:pPr>
            <w:r>
              <w:rPr>
                <w:rFonts w:hint="default"/>
                <w:lang w:val="en-US" w:eastAsia="zh-CN"/>
              </w:rPr>
              <w:t>钢筋绑扎：按设计要求配置墙柱、顶板主筋及加强筋，在模具内绑扎，增设转角、门窗洞口加强结构。钢筋剪切、弯折过程产生少量钢筋废料（可回收再利用）。</w:t>
            </w:r>
          </w:p>
          <w:p w14:paraId="7B2A106C">
            <w:pPr>
              <w:pStyle w:val="53"/>
              <w:bidi w:val="0"/>
              <w:rPr>
                <w:rFonts w:hint="default"/>
                <w:lang w:val="en-US" w:eastAsia="zh-CN"/>
              </w:rPr>
            </w:pPr>
            <w:r>
              <w:rPr>
                <w:rFonts w:hint="default"/>
                <w:lang w:val="en-US" w:eastAsia="zh-CN"/>
              </w:rPr>
              <w:t>三、混凝土浇筑与养护</w:t>
            </w:r>
          </w:p>
          <w:p w14:paraId="75C2F47A">
            <w:pPr>
              <w:pStyle w:val="53"/>
              <w:bidi w:val="0"/>
              <w:rPr>
                <w:rFonts w:hint="default"/>
                <w:lang w:val="en-US" w:eastAsia="zh-CN"/>
              </w:rPr>
            </w:pPr>
            <w:r>
              <w:rPr>
                <w:rFonts w:hint="default"/>
                <w:lang w:val="en-US" w:eastAsia="zh-CN"/>
              </w:rPr>
              <w:t>混凝土浇筑：将搅拌均匀的成品混凝土分层浇筑至模具内，采用插入式振捣器振捣密实。</w:t>
            </w:r>
          </w:p>
          <w:p w14:paraId="117706C0">
            <w:pPr>
              <w:pStyle w:val="53"/>
              <w:bidi w:val="0"/>
              <w:rPr>
                <w:rFonts w:hint="default"/>
                <w:lang w:val="en-US" w:eastAsia="zh-CN"/>
              </w:rPr>
            </w:pPr>
            <w:r>
              <w:rPr>
                <w:rFonts w:hint="default"/>
                <w:lang w:val="en-US" w:eastAsia="zh-CN"/>
              </w:rPr>
              <w:t>养护：浇筑完成后覆盖土工布保湿自然养护，冬季加喷防冻剂。</w:t>
            </w:r>
          </w:p>
          <w:p w14:paraId="25B32526">
            <w:pPr>
              <w:pStyle w:val="53"/>
              <w:bidi w:val="0"/>
              <w:rPr>
                <w:rFonts w:hint="default"/>
                <w:lang w:val="en-US" w:eastAsia="zh-CN"/>
              </w:rPr>
            </w:pPr>
            <w:r>
              <w:rPr>
                <w:rFonts w:hint="default"/>
                <w:lang w:val="en-US" w:eastAsia="zh-CN"/>
              </w:rPr>
              <w:t>四、脱模与后处理</w:t>
            </w:r>
          </w:p>
          <w:p w14:paraId="0D837C20">
            <w:pPr>
              <w:pStyle w:val="53"/>
              <w:bidi w:val="0"/>
              <w:rPr>
                <w:rFonts w:hint="default"/>
                <w:lang w:val="en-US" w:eastAsia="zh-CN"/>
              </w:rPr>
            </w:pPr>
            <w:r>
              <w:rPr>
                <w:rFonts w:hint="default"/>
                <w:lang w:val="en-US" w:eastAsia="zh-CN"/>
              </w:rPr>
              <w:t>脱模与后处理：按规定顺序拆除模具，清理模具杂物并涂刷脱模剂便于复用，将成品吊运至堆放场，合格品喷码标识。</w:t>
            </w:r>
          </w:p>
          <w:p w14:paraId="4727C9A9">
            <w:pPr>
              <w:pStyle w:val="53"/>
              <w:bidi w:val="0"/>
              <w:rPr>
                <w:rFonts w:hint="default"/>
                <w:lang w:val="en-US" w:eastAsia="zh-CN"/>
              </w:rPr>
            </w:pPr>
            <w:r>
              <w:rPr>
                <w:rFonts w:hint="default"/>
                <w:lang w:val="en-US" w:eastAsia="zh-CN"/>
              </w:rPr>
              <w:t>检查井、消防池和化粪池的生产参照上述工艺，只需变更原辅料配比和更换模具即可（混凝土作为中间产物不单列生产线</w:t>
            </w:r>
            <w:r>
              <w:rPr>
                <w:rFonts w:hint="eastAsia"/>
                <w:lang w:val="en-US" w:eastAsia="zh-CN"/>
              </w:rPr>
              <w:t>，与以上产品整合为一条完整生产线一并分析</w:t>
            </w:r>
            <w:r>
              <w:rPr>
                <w:rFonts w:hint="default"/>
                <w:lang w:val="en-US" w:eastAsia="zh-CN"/>
              </w:rPr>
              <w:t>）。</w:t>
            </w:r>
          </w:p>
          <w:p w14:paraId="1BFB2818">
            <w:pPr>
              <w:pStyle w:val="49"/>
              <w:bidi w:val="0"/>
              <w:rPr>
                <w:rFonts w:hint="default"/>
                <w:lang w:val="en-US" w:eastAsia="zh-CN"/>
              </w:rPr>
            </w:pPr>
            <w:r>
              <w:rPr>
                <w:rFonts w:hint="eastAsia"/>
                <w:lang w:val="en-US" w:eastAsia="zh-CN"/>
              </w:rPr>
              <w:t>2.3水泥砖</w:t>
            </w:r>
          </w:p>
          <w:p w14:paraId="44815B93">
            <w:pPr>
              <w:pStyle w:val="8"/>
              <w:keepLines w:val="0"/>
              <w:pageBreakBefore w:val="0"/>
              <w:kinsoku/>
              <w:wordWrap/>
              <w:topLinePunct w:val="0"/>
              <w:autoSpaceDE/>
              <w:autoSpaceDN/>
              <w:bidi w:val="0"/>
              <w:spacing w:beforeAutospacing="0" w:afterAutospacing="0" w:line="240" w:lineRule="auto"/>
              <w:ind w:left="0" w:leftChars="0" w:firstLine="0" w:firstLineChars="0"/>
              <w:textAlignment w:val="auto"/>
              <w:rPr>
                <w:rFonts w:hint="eastAsia" w:ascii="宋体" w:hAnsi="宋体" w:cs="宋体"/>
                <w:bCs/>
                <w:szCs w:val="21"/>
                <w:lang w:val="en-US" w:eastAsia="zh-CN"/>
              </w:rPr>
            </w:pPr>
            <w:r>
              <w:rPr>
                <w:rFonts w:hint="eastAsia" w:ascii="宋体" w:hAnsi="宋体" w:cs="宋体"/>
                <w:bCs/>
                <w:szCs w:val="21"/>
                <w:lang w:val="en-US" w:eastAsia="zh-CN"/>
              </w:rPr>
              <w:drawing>
                <wp:inline distT="0" distB="0" distL="114300" distR="114300">
                  <wp:extent cx="4643755" cy="1622425"/>
                  <wp:effectExtent l="0" t="0" r="0" b="0"/>
                  <wp:docPr id="45" name="ECB019B1-382A-4266-B25C-5B523AA43C14-4" descr="C:/Users/Administrator/AppData/Local/Temp/wps.tgsBb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CB019B1-382A-4266-B25C-5B523AA43C14-4" descr="C:/Users/Administrator/AppData/Local/Temp/wps.tgsBbrwps"/>
                          <pic:cNvPicPr>
                            <a:picLocks noChangeAspect="1"/>
                          </pic:cNvPicPr>
                        </pic:nvPicPr>
                        <pic:blipFill>
                          <a:blip r:embed="rId14"/>
                          <a:stretch>
                            <a:fillRect/>
                          </a:stretch>
                        </pic:blipFill>
                        <pic:spPr>
                          <a:xfrm>
                            <a:off x="0" y="0"/>
                            <a:ext cx="4643755" cy="1622425"/>
                          </a:xfrm>
                          <a:prstGeom prst="rect">
                            <a:avLst/>
                          </a:prstGeom>
                        </pic:spPr>
                      </pic:pic>
                    </a:graphicData>
                  </a:graphic>
                </wp:inline>
              </w:drawing>
            </w:r>
          </w:p>
          <w:p w14:paraId="68E4471F">
            <w:pPr>
              <w:pStyle w:val="42"/>
              <w:bidi w:val="0"/>
              <w:rPr>
                <w:rFonts w:hint="eastAsia"/>
                <w:lang w:val="en-US" w:eastAsia="zh-CN"/>
              </w:rPr>
            </w:pPr>
            <w:r>
              <w:rPr>
                <w:rFonts w:hint="eastAsia"/>
                <w:lang w:val="en-US" w:eastAsia="zh-CN"/>
              </w:rPr>
              <w:t>图2-5    预制水泥砖生产工艺流程及产污环节图</w:t>
            </w:r>
          </w:p>
          <w:p w14:paraId="1F1960C8">
            <w:pPr>
              <w:pStyle w:val="49"/>
              <w:bidi w:val="0"/>
              <w:rPr>
                <w:rFonts w:hint="eastAsia"/>
                <w:lang w:val="en-US" w:eastAsia="zh-CN"/>
              </w:rPr>
            </w:pPr>
            <w:r>
              <w:rPr>
                <w:rFonts w:hint="eastAsia"/>
                <w:lang w:val="en-US" w:eastAsia="zh-CN"/>
              </w:rPr>
              <w:t>工艺流程简述：</w:t>
            </w:r>
          </w:p>
          <w:p w14:paraId="216292FF">
            <w:pPr>
              <w:pStyle w:val="53"/>
              <w:bidi w:val="0"/>
              <w:rPr>
                <w:rFonts w:hint="eastAsia"/>
                <w:lang w:val="en-US" w:eastAsia="zh-CN"/>
              </w:rPr>
            </w:pPr>
            <w:r>
              <w:rPr>
                <w:rFonts w:hint="eastAsia"/>
                <w:lang w:val="en-US" w:eastAsia="zh-CN"/>
              </w:rPr>
              <w:t>原料进仓：水泥和粉煤灰由密闭罐车拉运至厂区后气力输送入筒仓内储存，砂子堆存在密闭原料库房。进料时会产生粉尘。</w:t>
            </w:r>
          </w:p>
          <w:p w14:paraId="6C0CD2B0">
            <w:pPr>
              <w:pStyle w:val="53"/>
              <w:bidi w:val="0"/>
              <w:rPr>
                <w:rFonts w:hint="eastAsia"/>
                <w:lang w:val="en-US" w:eastAsia="zh-CN"/>
              </w:rPr>
            </w:pPr>
            <w:r>
              <w:rPr>
                <w:rFonts w:hint="eastAsia"/>
                <w:lang w:val="en-US" w:eastAsia="zh-CN"/>
              </w:rPr>
              <w:t>称重备料：根据预制水泥砖原料配比要求，水泥、粉煤灰、砂、外加剂通过绞龙输送机由密闭管道输送至自动计量系统，通过传感器数据反馈，实现原料精准计量、备料。</w:t>
            </w:r>
          </w:p>
          <w:p w14:paraId="17285CD6">
            <w:pPr>
              <w:pStyle w:val="53"/>
              <w:bidi w:val="0"/>
              <w:rPr>
                <w:rFonts w:hint="eastAsia"/>
                <w:lang w:val="en-US" w:eastAsia="zh-CN"/>
              </w:rPr>
            </w:pPr>
            <w:r>
              <w:rPr>
                <w:rFonts w:hint="eastAsia"/>
                <w:lang w:val="en-US" w:eastAsia="zh-CN"/>
              </w:rPr>
              <w:t>预混搅拌：粉煤灰与砂先通过双轴搅拌机干混，再加水和外加剂搅拌均匀。搅拌过程中，干混搅拌过程会产生粉尘、噪声。</w:t>
            </w:r>
          </w:p>
          <w:p w14:paraId="1A5A55D1">
            <w:pPr>
              <w:pStyle w:val="53"/>
              <w:bidi w:val="0"/>
              <w:rPr>
                <w:rFonts w:hint="eastAsia"/>
                <w:lang w:val="en-US" w:eastAsia="zh-CN"/>
              </w:rPr>
            </w:pPr>
            <w:r>
              <w:rPr>
                <w:rFonts w:hint="eastAsia"/>
                <w:lang w:val="en-US" w:eastAsia="zh-CN"/>
              </w:rPr>
              <w:t>布料成型：混合料经爬斗提升机输送至布料车，通过螺旋布料器均匀铺入预涂脱模剂的钢制模盒，采用振动加压式制砖机成型。</w:t>
            </w:r>
          </w:p>
          <w:p w14:paraId="5EBE7024">
            <w:pPr>
              <w:pStyle w:val="53"/>
              <w:bidi w:val="0"/>
              <w:rPr>
                <w:rFonts w:hint="eastAsia"/>
                <w:lang w:val="en-US" w:eastAsia="zh-CN"/>
              </w:rPr>
            </w:pPr>
            <w:r>
              <w:rPr>
                <w:rFonts w:hint="eastAsia"/>
                <w:lang w:val="en-US" w:eastAsia="zh-CN"/>
              </w:rPr>
              <w:t>养护处理：成型砖码放于养护架，覆盖土工布保湿进行自然养护。</w:t>
            </w:r>
          </w:p>
          <w:p w14:paraId="4B511599">
            <w:pPr>
              <w:pStyle w:val="53"/>
              <w:bidi w:val="0"/>
              <w:rPr>
                <w:rFonts w:hint="eastAsia"/>
                <w:lang w:val="en-US" w:eastAsia="zh-CN"/>
              </w:rPr>
            </w:pPr>
            <w:r>
              <w:rPr>
                <w:rFonts w:hint="eastAsia"/>
                <w:lang w:val="en-US" w:eastAsia="zh-CN"/>
              </w:rPr>
              <w:t>检验成品：对养护完成的砖体进行抗压强度、尺寸偏差、含水率检测，合格品喷码标识入库，不合格品回用于生产。</w:t>
            </w:r>
          </w:p>
          <w:p w14:paraId="43FEC2AF">
            <w:pPr>
              <w:pStyle w:val="2"/>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2.4产排污环节分析：</w:t>
            </w:r>
          </w:p>
          <w:p w14:paraId="5F5C7A37">
            <w:pPr>
              <w:pStyle w:val="8"/>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Cs w:val="24"/>
                <w:lang w:val="en-US" w:eastAsia="zh-CN" w:bidi="ar-SA"/>
              </w:rPr>
            </w:pPr>
            <w:r>
              <w:rPr>
                <w:rFonts w:hint="default"/>
                <w:lang w:val="en-US" w:eastAsia="zh-CN"/>
              </w:rPr>
              <w:t>本项目生产中会产生相应类别的污染物，公辅设施也会产生相应污染物，主要为厂区职工生活污水</w:t>
            </w:r>
            <w:r>
              <w:rPr>
                <w:rFonts w:hint="eastAsia"/>
                <w:lang w:val="en-US" w:eastAsia="zh-CN"/>
              </w:rPr>
              <w:t>和</w:t>
            </w:r>
            <w:r>
              <w:rPr>
                <w:rFonts w:hint="default"/>
                <w:lang w:val="en-US" w:eastAsia="zh-CN"/>
              </w:rPr>
              <w:t>厂区生活垃圾。本项目产污环节汇总</w:t>
            </w:r>
            <w:r>
              <w:rPr>
                <w:rFonts w:hint="eastAsia"/>
                <w:lang w:val="en-US" w:eastAsia="zh-CN"/>
              </w:rPr>
              <w:t>详</w:t>
            </w:r>
            <w:r>
              <w:rPr>
                <w:rFonts w:hint="default"/>
                <w:lang w:val="en-US" w:eastAsia="zh-CN"/>
              </w:rPr>
              <w:t>见</w:t>
            </w:r>
            <w:r>
              <w:rPr>
                <w:rFonts w:hint="eastAsia"/>
                <w:lang w:val="en-US" w:eastAsia="zh-CN"/>
              </w:rPr>
              <w:t>下</w:t>
            </w:r>
            <w:r>
              <w:rPr>
                <w:rFonts w:hint="default"/>
                <w:lang w:val="en-US" w:eastAsia="zh-CN"/>
              </w:rPr>
              <w:t>表。</w:t>
            </w:r>
          </w:p>
          <w:p w14:paraId="111BAC5D">
            <w:pPr>
              <w:pStyle w:val="42"/>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表2-10    项目运营期主要污染工序一览表</w:t>
            </w:r>
          </w:p>
          <w:tbl>
            <w:tblPr>
              <w:tblStyle w:val="23"/>
              <w:tblW w:w="8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072"/>
              <w:gridCol w:w="1534"/>
              <w:gridCol w:w="1685"/>
              <w:gridCol w:w="3241"/>
            </w:tblGrid>
            <w:tr w14:paraId="1221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gridSpan w:val="2"/>
                  <w:vAlign w:val="center"/>
                </w:tcPr>
                <w:p w14:paraId="1792C1F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lang w:val="en-US" w:eastAsia="zh-CN"/>
                    </w:rPr>
                  </w:pPr>
                  <w:r>
                    <w:rPr>
                      <w:rFonts w:hint="default" w:ascii="Times New Roman" w:hAnsi="Times New Roman" w:eastAsia="宋体" w:cs="Times New Roman"/>
                      <w:sz w:val="21"/>
                      <w:szCs w:val="21"/>
                    </w:rPr>
                    <w:t>污染类别</w:t>
                  </w:r>
                </w:p>
              </w:tc>
              <w:tc>
                <w:tcPr>
                  <w:tcW w:w="1534" w:type="dxa"/>
                  <w:vAlign w:val="center"/>
                </w:tcPr>
                <w:p w14:paraId="749C68C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lang w:val="en-US" w:eastAsia="zh-CN"/>
                    </w:rPr>
                  </w:pPr>
                  <w:r>
                    <w:rPr>
                      <w:rFonts w:hint="default" w:ascii="Times New Roman" w:hAnsi="Times New Roman" w:eastAsia="宋体" w:cs="Times New Roman"/>
                      <w:sz w:val="21"/>
                      <w:szCs w:val="21"/>
                    </w:rPr>
                    <w:t>来源</w:t>
                  </w:r>
                </w:p>
              </w:tc>
              <w:tc>
                <w:tcPr>
                  <w:tcW w:w="1685" w:type="dxa"/>
                  <w:vAlign w:val="center"/>
                </w:tcPr>
                <w:p w14:paraId="348E297C">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主要污染因子</w:t>
                  </w:r>
                </w:p>
              </w:tc>
              <w:tc>
                <w:tcPr>
                  <w:tcW w:w="3241" w:type="dxa"/>
                  <w:vAlign w:val="center"/>
                </w:tcPr>
                <w:p w14:paraId="481245E3">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防治措施</w:t>
                  </w:r>
                </w:p>
              </w:tc>
            </w:tr>
            <w:tr w14:paraId="0E1BA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gridSpan w:val="2"/>
                  <w:vMerge w:val="restart"/>
                  <w:vAlign w:val="center"/>
                </w:tcPr>
                <w:p w14:paraId="0B129CEE">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废气</w:t>
                  </w:r>
                </w:p>
              </w:tc>
              <w:tc>
                <w:tcPr>
                  <w:tcW w:w="1534" w:type="dxa"/>
                  <w:vAlign w:val="center"/>
                </w:tcPr>
                <w:p w14:paraId="4A408D82">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highlight w:val="none"/>
                      <w:lang w:val="en-US" w:eastAsia="zh-CN"/>
                    </w:rPr>
                    <w:t>原料堆存粉尘</w:t>
                  </w:r>
                </w:p>
              </w:tc>
              <w:tc>
                <w:tcPr>
                  <w:tcW w:w="1685" w:type="dxa"/>
                  <w:vAlign w:val="center"/>
                </w:tcPr>
                <w:p w14:paraId="0558CEED">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颗粒物</w:t>
                  </w:r>
                </w:p>
              </w:tc>
              <w:tc>
                <w:tcPr>
                  <w:tcW w:w="3241" w:type="dxa"/>
                  <w:vAlign w:val="center"/>
                </w:tcPr>
                <w:p w14:paraId="0BD49234">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highlight w:val="none"/>
                      <w:lang w:val="en-US" w:eastAsia="zh-CN"/>
                    </w:rPr>
                    <w:t>原料库房全密闭。</w:t>
                  </w:r>
                </w:p>
              </w:tc>
            </w:tr>
            <w:tr w14:paraId="3B43B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gridSpan w:val="2"/>
                  <w:vMerge w:val="continue"/>
                  <w:vAlign w:val="center"/>
                </w:tcPr>
                <w:p w14:paraId="72F807CD">
                  <w:pPr>
                    <w:pStyle w:val="40"/>
                    <w:keepLines w:val="0"/>
                    <w:pageBreakBefore w:val="0"/>
                    <w:kinsoku/>
                    <w:wordWrap/>
                    <w:topLinePunct w:val="0"/>
                    <w:autoSpaceDE/>
                    <w:autoSpaceDN/>
                    <w:bidi w:val="0"/>
                    <w:spacing w:beforeAutospacing="0" w:afterAutospacing="0"/>
                    <w:textAlignment w:val="auto"/>
                    <w:rPr>
                      <w:rFonts w:hint="eastAsia"/>
                      <w:lang w:val="en-US" w:eastAsia="zh-CN"/>
                    </w:rPr>
                  </w:pPr>
                </w:p>
              </w:tc>
              <w:tc>
                <w:tcPr>
                  <w:tcW w:w="1534" w:type="dxa"/>
                  <w:vAlign w:val="center"/>
                </w:tcPr>
                <w:p w14:paraId="42DF2FAC">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highlight w:val="none"/>
                      <w:lang w:val="en-US" w:eastAsia="zh-CN"/>
                    </w:rPr>
                    <w:t>筒仓粉尘</w:t>
                  </w:r>
                </w:p>
              </w:tc>
              <w:tc>
                <w:tcPr>
                  <w:tcW w:w="1685" w:type="dxa"/>
                  <w:vAlign w:val="center"/>
                </w:tcPr>
                <w:p w14:paraId="3A0828AB">
                  <w:pPr>
                    <w:keepLines w:val="0"/>
                    <w:pageBreakBefore w:val="0"/>
                    <w:kinsoku/>
                    <w:wordWrap/>
                    <w:topLinePunct w:val="0"/>
                    <w:autoSpaceDE/>
                    <w:autoSpaceDN/>
                    <w:bidi w:val="0"/>
                    <w:spacing w:beforeAutospacing="0" w:afterAutospacing="0"/>
                    <w:ind w:left="0" w:leftChars="0" w:right="0" w:rightChars="0" w:firstLine="0" w:firstLineChars="0"/>
                    <w:jc w:val="center"/>
                    <w:textAlignment w:val="auto"/>
                    <w:rPr>
                      <w:rFonts w:hint="eastAsia"/>
                      <w:lang w:val="en-US" w:eastAsia="zh-CN"/>
                    </w:rPr>
                  </w:pPr>
                  <w:r>
                    <w:rPr>
                      <w:rFonts w:hint="eastAsia"/>
                      <w:lang w:val="en-US" w:eastAsia="zh-CN"/>
                    </w:rPr>
                    <w:t>颗粒物</w:t>
                  </w:r>
                </w:p>
              </w:tc>
              <w:tc>
                <w:tcPr>
                  <w:tcW w:w="3241" w:type="dxa"/>
                  <w:vAlign w:val="center"/>
                </w:tcPr>
                <w:p w14:paraId="2288073C">
                  <w:pPr>
                    <w:pStyle w:val="40"/>
                    <w:keepLines w:val="0"/>
                    <w:pageBreakBefore w:val="0"/>
                    <w:kinsoku/>
                    <w:wordWrap/>
                    <w:topLinePunct w:val="0"/>
                    <w:autoSpaceDE/>
                    <w:autoSpaceDN/>
                    <w:bidi w:val="0"/>
                    <w:spacing w:beforeAutospacing="0" w:afterAutospacing="0"/>
                    <w:textAlignment w:val="auto"/>
                    <w:rPr>
                      <w:rFonts w:hint="eastAsia"/>
                      <w:lang w:val="en-US" w:eastAsia="zh-CN"/>
                    </w:rPr>
                  </w:pPr>
                  <w:r>
                    <w:rPr>
                      <w:rFonts w:hint="default"/>
                      <w:highlight w:val="none"/>
                      <w:lang w:val="en-US" w:eastAsia="zh-CN"/>
                    </w:rPr>
                    <w:t>仓顶</w:t>
                  </w:r>
                  <w:r>
                    <w:rPr>
                      <w:rFonts w:hint="eastAsia"/>
                      <w:highlight w:val="none"/>
                      <w:lang w:val="en-US" w:eastAsia="zh-CN"/>
                    </w:rPr>
                    <w:t>脉冲式布袋除尘器</w:t>
                  </w:r>
                  <w:r>
                    <w:rPr>
                      <w:rFonts w:hint="default"/>
                      <w:highlight w:val="none"/>
                      <w:lang w:val="en-US" w:eastAsia="zh-CN"/>
                    </w:rPr>
                    <w:t>处理后无组织排放</w:t>
                  </w:r>
                  <w:r>
                    <w:rPr>
                      <w:rFonts w:hint="eastAsia"/>
                      <w:highlight w:val="none"/>
                      <w:lang w:val="en-US" w:eastAsia="zh-CN"/>
                    </w:rPr>
                    <w:t>。</w:t>
                  </w:r>
                </w:p>
              </w:tc>
            </w:tr>
            <w:tr w14:paraId="49C7C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gridSpan w:val="2"/>
                  <w:vMerge w:val="continue"/>
                  <w:vAlign w:val="center"/>
                </w:tcPr>
                <w:p w14:paraId="0B39187C">
                  <w:pPr>
                    <w:pStyle w:val="40"/>
                    <w:keepLines w:val="0"/>
                    <w:pageBreakBefore w:val="0"/>
                    <w:kinsoku/>
                    <w:wordWrap/>
                    <w:topLinePunct w:val="0"/>
                    <w:autoSpaceDE/>
                    <w:autoSpaceDN/>
                    <w:bidi w:val="0"/>
                    <w:spacing w:beforeAutospacing="0" w:afterAutospacing="0"/>
                    <w:textAlignment w:val="auto"/>
                    <w:rPr>
                      <w:rFonts w:hint="eastAsia"/>
                      <w:lang w:val="en-US" w:eastAsia="zh-CN"/>
                    </w:rPr>
                  </w:pPr>
                </w:p>
              </w:tc>
              <w:tc>
                <w:tcPr>
                  <w:tcW w:w="1534" w:type="dxa"/>
                  <w:vAlign w:val="center"/>
                </w:tcPr>
                <w:p w14:paraId="0AF6A8E4">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highlight w:val="none"/>
                      <w:lang w:val="en-US" w:eastAsia="zh-CN"/>
                    </w:rPr>
                    <w:t>焊接烟尘</w:t>
                  </w:r>
                </w:p>
              </w:tc>
              <w:tc>
                <w:tcPr>
                  <w:tcW w:w="1685" w:type="dxa"/>
                  <w:vAlign w:val="center"/>
                </w:tcPr>
                <w:p w14:paraId="6F4F0921">
                  <w:pPr>
                    <w:keepLines w:val="0"/>
                    <w:pageBreakBefore w:val="0"/>
                    <w:kinsoku/>
                    <w:wordWrap/>
                    <w:topLinePunct w:val="0"/>
                    <w:autoSpaceDE/>
                    <w:autoSpaceDN/>
                    <w:bidi w:val="0"/>
                    <w:spacing w:beforeAutospacing="0" w:afterAutospacing="0"/>
                    <w:ind w:left="0" w:leftChars="0" w:right="0" w:rightChars="0" w:firstLine="0" w:firstLineChars="0"/>
                    <w:jc w:val="center"/>
                    <w:textAlignment w:val="auto"/>
                    <w:rPr>
                      <w:rFonts w:hint="eastAsia"/>
                      <w:lang w:val="en-US" w:eastAsia="zh-CN"/>
                    </w:rPr>
                  </w:pPr>
                  <w:r>
                    <w:rPr>
                      <w:rFonts w:hint="eastAsia"/>
                      <w:lang w:val="en-US" w:eastAsia="zh-CN"/>
                    </w:rPr>
                    <w:t>颗粒物</w:t>
                  </w:r>
                </w:p>
              </w:tc>
              <w:tc>
                <w:tcPr>
                  <w:tcW w:w="3241" w:type="dxa"/>
                  <w:vAlign w:val="center"/>
                </w:tcPr>
                <w:p w14:paraId="27EE67AE">
                  <w:pPr>
                    <w:pStyle w:val="40"/>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highlight w:val="none"/>
                      <w:lang w:val="en-US" w:eastAsia="zh-CN"/>
                    </w:rPr>
                    <w:t>移动式烟尘净化器处理后无组织排放。</w:t>
                  </w:r>
                </w:p>
              </w:tc>
            </w:tr>
            <w:tr w14:paraId="4557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gridSpan w:val="2"/>
                  <w:vMerge w:val="continue"/>
                  <w:vAlign w:val="center"/>
                </w:tcPr>
                <w:p w14:paraId="39F6C06F">
                  <w:pPr>
                    <w:pStyle w:val="40"/>
                    <w:keepLines w:val="0"/>
                    <w:pageBreakBefore w:val="0"/>
                    <w:kinsoku/>
                    <w:wordWrap/>
                    <w:topLinePunct w:val="0"/>
                    <w:autoSpaceDE/>
                    <w:autoSpaceDN/>
                    <w:bidi w:val="0"/>
                    <w:spacing w:beforeAutospacing="0" w:afterAutospacing="0"/>
                    <w:textAlignment w:val="auto"/>
                    <w:rPr>
                      <w:rFonts w:hint="eastAsia"/>
                      <w:lang w:val="en-US" w:eastAsia="zh-CN"/>
                    </w:rPr>
                  </w:pPr>
                </w:p>
              </w:tc>
              <w:tc>
                <w:tcPr>
                  <w:tcW w:w="1534" w:type="dxa"/>
                  <w:vAlign w:val="center"/>
                </w:tcPr>
                <w:p w14:paraId="087085B2">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highlight w:val="none"/>
                      <w:lang w:val="en-US" w:eastAsia="zh-CN"/>
                    </w:rPr>
                    <w:t>投料粉尘</w:t>
                  </w:r>
                </w:p>
              </w:tc>
              <w:tc>
                <w:tcPr>
                  <w:tcW w:w="1685" w:type="dxa"/>
                  <w:vAlign w:val="center"/>
                </w:tcPr>
                <w:p w14:paraId="506342D1">
                  <w:pPr>
                    <w:keepLines w:val="0"/>
                    <w:pageBreakBefore w:val="0"/>
                    <w:kinsoku/>
                    <w:wordWrap/>
                    <w:topLinePunct w:val="0"/>
                    <w:autoSpaceDE/>
                    <w:autoSpaceDN/>
                    <w:bidi w:val="0"/>
                    <w:spacing w:beforeAutospacing="0" w:afterAutospacing="0"/>
                    <w:ind w:left="0" w:leftChars="0" w:right="0" w:rightChars="0" w:firstLine="0" w:firstLineChars="0"/>
                    <w:jc w:val="center"/>
                    <w:textAlignment w:val="auto"/>
                    <w:rPr>
                      <w:rFonts w:hint="eastAsia"/>
                      <w:lang w:val="en-US" w:eastAsia="zh-CN"/>
                    </w:rPr>
                  </w:pPr>
                  <w:r>
                    <w:rPr>
                      <w:rFonts w:hint="eastAsia"/>
                      <w:lang w:val="en-US" w:eastAsia="zh-CN"/>
                    </w:rPr>
                    <w:t>颗粒物</w:t>
                  </w:r>
                </w:p>
              </w:tc>
              <w:tc>
                <w:tcPr>
                  <w:tcW w:w="3241" w:type="dxa"/>
                  <w:vAlign w:val="center"/>
                </w:tcPr>
                <w:p w14:paraId="57575A31">
                  <w:pPr>
                    <w:pStyle w:val="40"/>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highlight w:val="none"/>
                      <w:lang w:val="en-US" w:eastAsia="zh-CN"/>
                    </w:rPr>
                    <w:t>袋式除尘器处理+15m高排气筒。</w:t>
                  </w:r>
                </w:p>
              </w:tc>
            </w:tr>
            <w:tr w14:paraId="506F3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gridSpan w:val="2"/>
                  <w:vMerge w:val="continue"/>
                  <w:vAlign w:val="center"/>
                </w:tcPr>
                <w:p w14:paraId="36203BF3">
                  <w:pPr>
                    <w:pStyle w:val="40"/>
                    <w:keepLines w:val="0"/>
                    <w:pageBreakBefore w:val="0"/>
                    <w:kinsoku/>
                    <w:wordWrap/>
                    <w:topLinePunct w:val="0"/>
                    <w:autoSpaceDE/>
                    <w:autoSpaceDN/>
                    <w:bidi w:val="0"/>
                    <w:spacing w:beforeAutospacing="0" w:afterAutospacing="0"/>
                    <w:textAlignment w:val="auto"/>
                    <w:rPr>
                      <w:rFonts w:hint="eastAsia"/>
                      <w:lang w:val="en-US" w:eastAsia="zh-CN"/>
                    </w:rPr>
                  </w:pPr>
                </w:p>
              </w:tc>
              <w:tc>
                <w:tcPr>
                  <w:tcW w:w="1534" w:type="dxa"/>
                  <w:vAlign w:val="center"/>
                </w:tcPr>
                <w:p w14:paraId="6319B568">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highlight w:val="none"/>
                      <w:lang w:val="en-US" w:eastAsia="zh-CN"/>
                    </w:rPr>
                    <w:t>搅拌粉尘</w:t>
                  </w:r>
                </w:p>
              </w:tc>
              <w:tc>
                <w:tcPr>
                  <w:tcW w:w="1685" w:type="dxa"/>
                  <w:vAlign w:val="center"/>
                </w:tcPr>
                <w:p w14:paraId="67D644D0">
                  <w:pPr>
                    <w:keepLines w:val="0"/>
                    <w:pageBreakBefore w:val="0"/>
                    <w:kinsoku/>
                    <w:wordWrap/>
                    <w:topLinePunct w:val="0"/>
                    <w:autoSpaceDE/>
                    <w:autoSpaceDN/>
                    <w:bidi w:val="0"/>
                    <w:spacing w:beforeAutospacing="0" w:afterAutospacing="0"/>
                    <w:ind w:left="0" w:leftChars="0" w:right="0" w:rightChars="0" w:firstLine="0" w:firstLineChars="0"/>
                    <w:jc w:val="center"/>
                    <w:textAlignment w:val="auto"/>
                    <w:rPr>
                      <w:rFonts w:hint="eastAsia"/>
                      <w:lang w:val="en-US" w:eastAsia="zh-CN"/>
                    </w:rPr>
                  </w:pPr>
                  <w:r>
                    <w:rPr>
                      <w:rFonts w:hint="eastAsia"/>
                      <w:lang w:val="en-US" w:eastAsia="zh-CN"/>
                    </w:rPr>
                    <w:t>颗粒物</w:t>
                  </w:r>
                </w:p>
              </w:tc>
              <w:tc>
                <w:tcPr>
                  <w:tcW w:w="3241" w:type="dxa"/>
                  <w:vAlign w:val="center"/>
                </w:tcPr>
                <w:p w14:paraId="37FFC0C2">
                  <w:pPr>
                    <w:pStyle w:val="40"/>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highlight w:val="none"/>
                      <w:lang w:val="en-US" w:eastAsia="zh-CN"/>
                    </w:rPr>
                    <w:t>袋式除尘器处理+15m高排气筒。</w:t>
                  </w:r>
                </w:p>
              </w:tc>
            </w:tr>
            <w:tr w14:paraId="59C8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640" w:type="dxa"/>
                  <w:gridSpan w:val="2"/>
                  <w:vMerge w:val="restart"/>
                  <w:vAlign w:val="center"/>
                </w:tcPr>
                <w:p w14:paraId="20EC80A4">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废水</w:t>
                  </w:r>
                </w:p>
              </w:tc>
              <w:tc>
                <w:tcPr>
                  <w:tcW w:w="1534" w:type="dxa"/>
                  <w:vAlign w:val="center"/>
                </w:tcPr>
                <w:p w14:paraId="59D66529">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生活污水</w:t>
                  </w:r>
                </w:p>
              </w:tc>
              <w:tc>
                <w:tcPr>
                  <w:tcW w:w="1685" w:type="dxa"/>
                  <w:vAlign w:val="center"/>
                </w:tcPr>
                <w:p w14:paraId="402CA171">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pH、</w:t>
                  </w:r>
                  <w:r>
                    <w:rPr>
                      <w:rFonts w:hint="default"/>
                      <w:lang w:val="en-US" w:eastAsia="zh-CN"/>
                    </w:rPr>
                    <w:t>COD</w:t>
                  </w:r>
                  <w:r>
                    <w:rPr>
                      <w:rFonts w:hint="eastAsia"/>
                      <w:lang w:val="en-US" w:eastAsia="zh-CN"/>
                    </w:rPr>
                    <w:t>、</w:t>
                  </w:r>
                  <w:r>
                    <w:rPr>
                      <w:rFonts w:hint="default"/>
                      <w:lang w:val="en-US" w:eastAsia="zh-CN"/>
                    </w:rPr>
                    <w:t>BOD</w:t>
                  </w:r>
                  <w:r>
                    <w:rPr>
                      <w:rFonts w:hint="default"/>
                      <w:vertAlign w:val="subscript"/>
                      <w:lang w:val="en-US" w:eastAsia="zh-CN"/>
                    </w:rPr>
                    <w:t>5</w:t>
                  </w:r>
                  <w:r>
                    <w:rPr>
                      <w:rFonts w:hint="eastAsia"/>
                      <w:lang w:val="en-US" w:eastAsia="zh-CN"/>
                    </w:rPr>
                    <w:t>、</w:t>
                  </w:r>
                  <w:r>
                    <w:rPr>
                      <w:rFonts w:hint="default"/>
                      <w:lang w:val="en-US" w:eastAsia="zh-CN"/>
                    </w:rPr>
                    <w:t>SS</w:t>
                  </w:r>
                  <w:r>
                    <w:rPr>
                      <w:rFonts w:hint="eastAsia"/>
                      <w:lang w:val="en-US" w:eastAsia="zh-CN"/>
                    </w:rPr>
                    <w:t>、</w:t>
                  </w:r>
                  <w:r>
                    <w:rPr>
                      <w:rFonts w:hint="default"/>
                      <w:lang w:val="en-US" w:eastAsia="zh-CN"/>
                    </w:rPr>
                    <w:t>氨氮</w:t>
                  </w:r>
                  <w:r>
                    <w:rPr>
                      <w:rFonts w:hint="eastAsia"/>
                      <w:lang w:val="en-US" w:eastAsia="zh-CN"/>
                    </w:rPr>
                    <w:t>、动植物油</w:t>
                  </w:r>
                </w:p>
              </w:tc>
              <w:tc>
                <w:tcPr>
                  <w:tcW w:w="3241" w:type="dxa"/>
                  <w:vAlign w:val="center"/>
                </w:tcPr>
                <w:p w14:paraId="0A2FBABE">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化粪池处理后拉运至若羌县城镇污水处理厂进行集中处理。</w:t>
                  </w:r>
                </w:p>
              </w:tc>
            </w:tr>
            <w:tr w14:paraId="506A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640" w:type="dxa"/>
                  <w:gridSpan w:val="2"/>
                  <w:vMerge w:val="continue"/>
                  <w:vAlign w:val="center"/>
                </w:tcPr>
                <w:p w14:paraId="37C85D2A">
                  <w:pPr>
                    <w:pStyle w:val="40"/>
                    <w:keepLines w:val="0"/>
                    <w:pageBreakBefore w:val="0"/>
                    <w:kinsoku/>
                    <w:wordWrap/>
                    <w:topLinePunct w:val="0"/>
                    <w:autoSpaceDE/>
                    <w:autoSpaceDN/>
                    <w:bidi w:val="0"/>
                    <w:spacing w:beforeAutospacing="0" w:afterAutospacing="0"/>
                    <w:textAlignment w:val="auto"/>
                    <w:rPr>
                      <w:rFonts w:hint="eastAsia"/>
                      <w:lang w:val="en-US" w:eastAsia="zh-CN"/>
                    </w:rPr>
                  </w:pPr>
                </w:p>
              </w:tc>
              <w:tc>
                <w:tcPr>
                  <w:tcW w:w="1534" w:type="dxa"/>
                  <w:vAlign w:val="center"/>
                </w:tcPr>
                <w:p w14:paraId="69340916">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生产废水</w:t>
                  </w:r>
                </w:p>
              </w:tc>
              <w:tc>
                <w:tcPr>
                  <w:tcW w:w="4926" w:type="dxa"/>
                  <w:gridSpan w:val="2"/>
                  <w:vAlign w:val="center"/>
                </w:tcPr>
                <w:p w14:paraId="1FD9332D">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设备清洗</w:t>
                  </w:r>
                  <w:r>
                    <w:rPr>
                      <w:rFonts w:hint="eastAsia"/>
                      <w:lang w:val="en-US" w:eastAsia="zh-CN"/>
                    </w:rPr>
                    <w:t>废水和模具清洗废水经沉淀池沉淀后</w:t>
                  </w:r>
                  <w:r>
                    <w:rPr>
                      <w:rFonts w:hint="default"/>
                      <w:lang w:val="en-US" w:eastAsia="zh-CN"/>
                    </w:rPr>
                    <w:t>回用于产品</w:t>
                  </w:r>
                  <w:r>
                    <w:rPr>
                      <w:rFonts w:hint="eastAsia"/>
                      <w:lang w:val="en-US" w:eastAsia="zh-CN"/>
                    </w:rPr>
                    <w:t>；</w:t>
                  </w:r>
                  <w:r>
                    <w:rPr>
                      <w:rFonts w:hint="default"/>
                      <w:lang w:val="en-US" w:eastAsia="zh-CN"/>
                    </w:rPr>
                    <w:t>切割</w:t>
                  </w:r>
                  <w:r>
                    <w:rPr>
                      <w:rFonts w:hint="eastAsia"/>
                      <w:lang w:val="en-US" w:eastAsia="zh-CN"/>
                    </w:rPr>
                    <w:t>废</w:t>
                  </w:r>
                  <w:r>
                    <w:rPr>
                      <w:rFonts w:hint="default"/>
                      <w:lang w:val="en-US" w:eastAsia="zh-CN"/>
                    </w:rPr>
                    <w:t>水经</w:t>
                  </w:r>
                  <w:r>
                    <w:rPr>
                      <w:rFonts w:hint="eastAsia"/>
                      <w:lang w:val="en-US" w:eastAsia="zh-CN"/>
                    </w:rPr>
                    <w:t>沉淀后</w:t>
                  </w:r>
                  <w:r>
                    <w:rPr>
                      <w:rFonts w:hint="default"/>
                      <w:lang w:val="en-US" w:eastAsia="zh-CN"/>
                    </w:rPr>
                    <w:t>，循环利用</w:t>
                  </w:r>
                  <w:r>
                    <w:rPr>
                      <w:rFonts w:hint="eastAsia"/>
                      <w:lang w:val="en-US" w:eastAsia="zh-CN"/>
                    </w:rPr>
                    <w:t>。</w:t>
                  </w:r>
                </w:p>
              </w:tc>
            </w:tr>
            <w:tr w14:paraId="5724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640" w:type="dxa"/>
                  <w:gridSpan w:val="2"/>
                  <w:vAlign w:val="center"/>
                </w:tcPr>
                <w:p w14:paraId="428EFB7E">
                  <w:pPr>
                    <w:keepLines w:val="0"/>
                    <w:pageBreakBefore w:val="0"/>
                    <w:kinsoku/>
                    <w:wordWrap/>
                    <w:topLinePunct w:val="0"/>
                    <w:autoSpaceDE/>
                    <w:autoSpaceDN/>
                    <w:bidi w:val="0"/>
                    <w:spacing w:beforeAutospacing="0" w:afterAutospacing="0"/>
                    <w:jc w:val="center"/>
                    <w:textAlignment w:val="auto"/>
                    <w:rPr>
                      <w:rFonts w:hint="eastAsia"/>
                      <w:lang w:val="en-US" w:eastAsia="zh-CN"/>
                    </w:rPr>
                  </w:pPr>
                  <w:r>
                    <w:rPr>
                      <w:rFonts w:hint="eastAsia"/>
                      <w:highlight w:val="none"/>
                      <w:lang w:val="en-US" w:eastAsia="zh-CN"/>
                    </w:rPr>
                    <w:t>噪声</w:t>
                  </w:r>
                </w:p>
              </w:tc>
              <w:tc>
                <w:tcPr>
                  <w:tcW w:w="1534" w:type="dxa"/>
                  <w:vAlign w:val="center"/>
                </w:tcPr>
                <w:p w14:paraId="194B5664">
                  <w:pPr>
                    <w:keepLines w:val="0"/>
                    <w:pageBreakBefore w:val="0"/>
                    <w:kinsoku/>
                    <w:wordWrap/>
                    <w:topLinePunct w:val="0"/>
                    <w:autoSpaceDE/>
                    <w:autoSpaceDN/>
                    <w:bidi w:val="0"/>
                    <w:spacing w:beforeAutospacing="0" w:afterAutospacing="0"/>
                    <w:jc w:val="center"/>
                    <w:textAlignment w:val="auto"/>
                    <w:rPr>
                      <w:rFonts w:hint="eastAsia"/>
                      <w:lang w:val="en-US" w:eastAsia="zh-CN"/>
                    </w:rPr>
                  </w:pPr>
                  <w:r>
                    <w:rPr>
                      <w:rFonts w:hint="eastAsia"/>
                      <w:highlight w:val="none"/>
                      <w:lang w:val="en-US" w:eastAsia="zh-CN"/>
                    </w:rPr>
                    <w:t>生产设备及运输车辆</w:t>
                  </w:r>
                </w:p>
              </w:tc>
              <w:tc>
                <w:tcPr>
                  <w:tcW w:w="1685" w:type="dxa"/>
                  <w:vAlign w:val="center"/>
                </w:tcPr>
                <w:p w14:paraId="5B2C4EB5">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噪声</w:t>
                  </w:r>
                </w:p>
              </w:tc>
              <w:tc>
                <w:tcPr>
                  <w:tcW w:w="3241" w:type="dxa"/>
                  <w:vAlign w:val="center"/>
                </w:tcPr>
                <w:p w14:paraId="146F650B">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采取隔声、减震等措施</w:t>
                  </w:r>
                  <w:r>
                    <w:rPr>
                      <w:rFonts w:hint="eastAsia"/>
                      <w:lang w:val="en-US" w:eastAsia="zh-CN"/>
                    </w:rPr>
                    <w:t>，定期对设备进行保养，封闭生产</w:t>
                  </w:r>
                </w:p>
              </w:tc>
            </w:tr>
            <w:tr w14:paraId="7E3F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68" w:type="dxa"/>
                  <w:vMerge w:val="restart"/>
                  <w:vAlign w:val="center"/>
                </w:tcPr>
                <w:p w14:paraId="51CEB36B">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固体废物</w:t>
                  </w:r>
                </w:p>
              </w:tc>
              <w:tc>
                <w:tcPr>
                  <w:tcW w:w="1072" w:type="dxa"/>
                  <w:vAlign w:val="center"/>
                </w:tcPr>
                <w:p w14:paraId="3D26FF53">
                  <w:pPr>
                    <w:pStyle w:val="40"/>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一般工业固废</w:t>
                  </w:r>
                </w:p>
              </w:tc>
              <w:tc>
                <w:tcPr>
                  <w:tcW w:w="6460" w:type="dxa"/>
                  <w:gridSpan w:val="3"/>
                  <w:vAlign w:val="center"/>
                </w:tcPr>
                <w:p w14:paraId="2A44A870">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除尘灰和沉淀池沉渣回用于生产，废钢筋收集外售，废包装袋、边角料及不合格产品</w:t>
                  </w:r>
                  <w:r>
                    <w:rPr>
                      <w:rFonts w:hint="eastAsia"/>
                      <w:lang w:val="en-US" w:eastAsia="zh-CN"/>
                    </w:rPr>
                    <w:t>收集后外售综合利用</w:t>
                  </w:r>
                  <w:r>
                    <w:rPr>
                      <w:rFonts w:hint="default"/>
                      <w:lang w:val="en-US" w:eastAsia="zh-CN"/>
                    </w:rPr>
                    <w:t>，废布袋定期由设备厂家进行回收处理；废润滑油、废润滑油桶等危险废物贮存于危废贮存点内，定期交由有资质的单位进行处理。</w:t>
                  </w:r>
                </w:p>
              </w:tc>
            </w:tr>
            <w:tr w14:paraId="14B1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8" w:type="dxa"/>
                  <w:vMerge w:val="continue"/>
                  <w:vAlign w:val="center"/>
                </w:tcPr>
                <w:p w14:paraId="67844076">
                  <w:pPr>
                    <w:pStyle w:val="40"/>
                    <w:keepLines w:val="0"/>
                    <w:pageBreakBefore w:val="0"/>
                    <w:kinsoku/>
                    <w:wordWrap/>
                    <w:topLinePunct w:val="0"/>
                    <w:autoSpaceDE/>
                    <w:autoSpaceDN/>
                    <w:bidi w:val="0"/>
                    <w:spacing w:beforeAutospacing="0" w:afterAutospacing="0"/>
                    <w:textAlignment w:val="auto"/>
                    <w:rPr>
                      <w:rFonts w:hint="default"/>
                      <w:lang w:val="en-US" w:eastAsia="zh-CN"/>
                    </w:rPr>
                  </w:pPr>
                </w:p>
              </w:tc>
              <w:tc>
                <w:tcPr>
                  <w:tcW w:w="1072" w:type="dxa"/>
                  <w:vAlign w:val="center"/>
                </w:tcPr>
                <w:p w14:paraId="5D569711">
                  <w:pPr>
                    <w:pStyle w:val="40"/>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生活垃圾</w:t>
                  </w:r>
                </w:p>
              </w:tc>
              <w:tc>
                <w:tcPr>
                  <w:tcW w:w="1534" w:type="dxa"/>
                  <w:vAlign w:val="center"/>
                </w:tcPr>
                <w:p w14:paraId="4DE3C15E">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办公生活</w:t>
                  </w:r>
                </w:p>
              </w:tc>
              <w:tc>
                <w:tcPr>
                  <w:tcW w:w="1685" w:type="dxa"/>
                  <w:vAlign w:val="center"/>
                </w:tcPr>
                <w:p w14:paraId="5189A1C5">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生活垃圾</w:t>
                  </w:r>
                </w:p>
              </w:tc>
              <w:tc>
                <w:tcPr>
                  <w:tcW w:w="3241" w:type="dxa"/>
                  <w:vAlign w:val="center"/>
                </w:tcPr>
                <w:p w14:paraId="3644A44C">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交环卫部门处理</w:t>
                  </w:r>
                </w:p>
              </w:tc>
            </w:tr>
          </w:tbl>
          <w:p w14:paraId="17B36F6C">
            <w:pPr>
              <w:pStyle w:val="8"/>
              <w:keepLines w:val="0"/>
              <w:pageBreakBefore w:val="0"/>
              <w:kinsoku/>
              <w:wordWrap/>
              <w:topLinePunct w:val="0"/>
              <w:autoSpaceDE/>
              <w:autoSpaceDN/>
              <w:bidi w:val="0"/>
              <w:spacing w:beforeAutospacing="0" w:afterAutospacing="0"/>
              <w:ind w:left="0" w:leftChars="0" w:firstLine="0" w:firstLineChars="0"/>
              <w:textAlignment w:val="auto"/>
              <w:rPr>
                <w:rFonts w:hint="default" w:ascii="宋体" w:hAnsi="宋体" w:cs="宋体"/>
                <w:bCs/>
                <w:szCs w:val="21"/>
                <w:lang w:val="en-US" w:eastAsia="zh-CN"/>
              </w:rPr>
            </w:pPr>
          </w:p>
        </w:tc>
      </w:tr>
      <w:tr w14:paraId="783B45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1" w:hRule="atLeast"/>
          <w:jc w:val="center"/>
        </w:trPr>
        <w:tc>
          <w:tcPr>
            <w:tcW w:w="823" w:type="dxa"/>
            <w:noWrap w:val="0"/>
            <w:vAlign w:val="center"/>
          </w:tcPr>
          <w:p w14:paraId="44EA38DF">
            <w:pPr>
              <w:pStyle w:val="18"/>
              <w:keepLines w:val="0"/>
              <w:pageBreakBefore w:val="0"/>
              <w:kinsoku/>
              <w:wordWrap/>
              <w:topLinePunct w:val="0"/>
              <w:autoSpaceDE/>
              <w:autoSpaceDN/>
              <w:bidi w:val="0"/>
              <w:adjustRightInd w:val="0"/>
              <w:snapToGrid w:val="0"/>
              <w:spacing w:before="0" w:beforeAutospacing="0" w:after="0" w:afterAutospacing="0"/>
              <w:jc w:val="center"/>
              <w:textAlignment w:val="auto"/>
              <w:rPr>
                <w:rFonts w:cs="宋体"/>
                <w:sz w:val="21"/>
                <w:szCs w:val="21"/>
              </w:rPr>
            </w:pPr>
            <w:r>
              <w:rPr>
                <w:rFonts w:hint="eastAsia" w:cs="宋体"/>
                <w:bCs/>
                <w:kern w:val="2"/>
                <w:sz w:val="21"/>
                <w:szCs w:val="21"/>
              </w:rPr>
              <w:t>与项目有关的原有环境污染问题</w:t>
            </w:r>
          </w:p>
        </w:tc>
        <w:tc>
          <w:tcPr>
            <w:tcW w:w="8161" w:type="dxa"/>
            <w:noWrap w:val="0"/>
            <w:vAlign w:val="center"/>
          </w:tcPr>
          <w:p w14:paraId="41314C75">
            <w:pPr>
              <w:pStyle w:val="8"/>
              <w:keepLines w:val="0"/>
              <w:pageBreakBefore w:val="0"/>
              <w:kinsoku/>
              <w:wordWrap/>
              <w:topLinePunct w:val="0"/>
              <w:autoSpaceDE/>
              <w:autoSpaceDN/>
              <w:bidi w:val="0"/>
              <w:spacing w:beforeAutospacing="0" w:afterAutospacing="0"/>
              <w:jc w:val="center"/>
              <w:textAlignment w:val="auto"/>
              <w:rPr>
                <w:rFonts w:hint="eastAsia" w:ascii="宋体" w:hAnsi="宋体" w:eastAsia="宋体"/>
                <w:bCs/>
                <w:szCs w:val="21"/>
                <w:lang w:val="en-US" w:eastAsia="zh-CN"/>
              </w:rPr>
            </w:pPr>
            <w:r>
              <w:rPr>
                <w:rFonts w:hint="eastAsia"/>
                <w:lang w:val="en-US" w:eastAsia="zh-CN"/>
              </w:rPr>
              <w:t>本项目为新建项目，不存在与本项目有关的原有环境污染问题。</w:t>
            </w:r>
          </w:p>
        </w:tc>
      </w:tr>
    </w:tbl>
    <w:p w14:paraId="10DF45D4">
      <w:pPr>
        <w:pStyle w:val="18"/>
        <w:keepLines w:val="0"/>
        <w:pageBreakBefore w:val="0"/>
        <w:kinsoku/>
        <w:wordWrap/>
        <w:topLinePunct w:val="0"/>
        <w:autoSpaceDE/>
        <w:autoSpaceDN/>
        <w:bidi w:val="0"/>
        <w:spacing w:beforeAutospacing="0" w:afterAutospacing="0"/>
        <w:jc w:val="center"/>
        <w:textAlignment w:val="auto"/>
        <w:rPr>
          <w:rFonts w:ascii="黑体" w:hAnsi="黑体" w:eastAsia="黑体"/>
          <w:snapToGrid w:val="0"/>
          <w:sz w:val="36"/>
          <w:szCs w:val="36"/>
        </w:rPr>
        <w:sectPr>
          <w:footerReference r:id="rId8"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F10FB5E">
      <w:pPr>
        <w:pStyle w:val="18"/>
        <w:keepLines w:val="0"/>
        <w:pageBreakBefore w:val="0"/>
        <w:kinsoku/>
        <w:wordWrap/>
        <w:topLinePunct w:val="0"/>
        <w:autoSpaceDE/>
        <w:autoSpaceDN/>
        <w:bidi w:val="0"/>
        <w:spacing w:beforeAutospacing="0" w:afterAutospacing="0"/>
        <w:jc w:val="center"/>
        <w:textAlignment w:val="auto"/>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200"/>
      </w:tblGrid>
      <w:tr w14:paraId="349050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20" w:hRule="atLeast"/>
          <w:jc w:val="center"/>
        </w:trPr>
        <w:tc>
          <w:tcPr>
            <w:tcW w:w="800" w:type="dxa"/>
            <w:noWrap w:val="0"/>
            <w:vAlign w:val="center"/>
          </w:tcPr>
          <w:p w14:paraId="5B02B257">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区域</w:t>
            </w:r>
          </w:p>
          <w:p w14:paraId="24D6BB5B">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环境</w:t>
            </w:r>
          </w:p>
          <w:p w14:paraId="08C77DFC">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质量</w:t>
            </w:r>
          </w:p>
          <w:p w14:paraId="28FCE1D7">
            <w:pPr>
              <w:keepLines w:val="0"/>
              <w:pageBreakBefore w:val="0"/>
              <w:kinsoku/>
              <w:wordWrap/>
              <w:topLinePunct w:val="0"/>
              <w:autoSpaceDE/>
              <w:autoSpaceDN/>
              <w:bidi w:val="0"/>
              <w:adjustRightInd w:val="0"/>
              <w:snapToGrid w:val="0"/>
              <w:spacing w:beforeAutospacing="0" w:afterAutospacing="0"/>
              <w:jc w:val="center"/>
              <w:textAlignment w:val="auto"/>
              <w:rPr>
                <w:rFonts w:ascii="宋体" w:hAnsi="宋体" w:cs="宋体"/>
                <w:kern w:val="0"/>
                <w:szCs w:val="21"/>
              </w:rPr>
            </w:pPr>
            <w:r>
              <w:rPr>
                <w:rFonts w:hint="eastAsia" w:ascii="宋体" w:hAnsi="宋体" w:cs="宋体"/>
                <w:kern w:val="0"/>
                <w:szCs w:val="21"/>
              </w:rPr>
              <w:t>现状</w:t>
            </w:r>
          </w:p>
        </w:tc>
        <w:tc>
          <w:tcPr>
            <w:tcW w:w="8190" w:type="dxa"/>
            <w:noWrap w:val="0"/>
            <w:vAlign w:val="top"/>
          </w:tcPr>
          <w:p w14:paraId="44CABF49">
            <w:pPr>
              <w:pStyle w:val="2"/>
              <w:keepLines w:val="0"/>
              <w:pageBreakBefore w:val="0"/>
              <w:kinsoku/>
              <w:wordWrap/>
              <w:topLinePunct w:val="0"/>
              <w:autoSpaceDE/>
              <w:autoSpaceDN/>
              <w:bidi w:val="0"/>
              <w:spacing w:beforeAutospacing="0" w:afterAutospacing="0"/>
              <w:jc w:val="both"/>
              <w:textAlignment w:val="auto"/>
              <w:rPr>
                <w:rFonts w:hint="default"/>
                <w:lang w:val="en-US" w:eastAsia="zh-CN"/>
              </w:rPr>
            </w:pPr>
            <w:r>
              <w:rPr>
                <w:rFonts w:hint="eastAsia"/>
                <w:lang w:val="en-US" w:eastAsia="zh-CN"/>
              </w:rPr>
              <w:t>1.环境空气现状调查与评价</w:t>
            </w:r>
          </w:p>
          <w:p w14:paraId="37534EDB">
            <w:pPr>
              <w:pStyle w:val="2"/>
              <w:keepLines w:val="0"/>
              <w:pageBreakBefore w:val="0"/>
              <w:kinsoku/>
              <w:wordWrap/>
              <w:topLinePunct w:val="0"/>
              <w:autoSpaceDE/>
              <w:autoSpaceDN/>
              <w:bidi w:val="0"/>
              <w:spacing w:beforeAutospacing="0" w:afterAutospacing="0"/>
              <w:jc w:val="both"/>
              <w:textAlignment w:val="auto"/>
              <w:rPr>
                <w:rFonts w:hint="default"/>
                <w:lang w:val="en-US" w:eastAsia="zh-CN"/>
              </w:rPr>
            </w:pPr>
            <w:r>
              <w:rPr>
                <w:rFonts w:hint="eastAsia"/>
                <w:lang w:val="en-US" w:eastAsia="zh-CN"/>
              </w:rPr>
              <w:t>1.1基本污染物空气环境质量现状</w:t>
            </w:r>
          </w:p>
          <w:p w14:paraId="1DE66531">
            <w:pPr>
              <w:pStyle w:val="8"/>
              <w:keepLines w:val="0"/>
              <w:pageBreakBefore w:val="0"/>
              <w:kinsoku/>
              <w:wordWrap/>
              <w:topLinePunct w:val="0"/>
              <w:autoSpaceDE/>
              <w:autoSpaceDN/>
              <w:bidi w:val="0"/>
              <w:spacing w:beforeAutospacing="0" w:afterAutospacing="0"/>
              <w:textAlignment w:val="auto"/>
              <w:rPr>
                <w:rFonts w:hint="eastAsia"/>
              </w:rPr>
            </w:pPr>
            <w:r>
              <w:rPr>
                <w:rFonts w:hint="eastAsia"/>
              </w:rPr>
              <w:t>根据《建设项目环境影响报告表编制技术指南（污染影响类）（试行）》，对于基本污染物环境质量现状数据，项目所在区域达标判定优先采用国家或地方生态环境主管部门公开发布的评价基准年环境质量公告或环境质量报告中的数据或结论。</w:t>
            </w:r>
          </w:p>
          <w:p w14:paraId="120CB126">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本工程建设地点位于若羌县城东，315国道以北，本次评价现状监测资料引用巴音郭楞蒙古自治州若羌县2024年的自动监测数据。作为环境空气现状评价基本污染物SO</w:t>
            </w:r>
            <w:r>
              <w:rPr>
                <w:rFonts w:hint="eastAsia"/>
                <w:vertAlign w:val="subscript"/>
                <w:lang w:val="en-US" w:eastAsia="zh-CN"/>
              </w:rPr>
              <w:t>2</w:t>
            </w:r>
            <w:r>
              <w:rPr>
                <w:rFonts w:hint="eastAsia"/>
                <w:lang w:val="en-US" w:eastAsia="zh-CN"/>
              </w:rPr>
              <w:t>、NO</w:t>
            </w:r>
            <w:r>
              <w:rPr>
                <w:rFonts w:hint="eastAsia"/>
                <w:vertAlign w:val="subscript"/>
                <w:lang w:val="en-US" w:eastAsia="zh-CN"/>
              </w:rPr>
              <w:t>2</w:t>
            </w:r>
            <w:r>
              <w:rPr>
                <w:rFonts w:hint="eastAsia"/>
                <w:lang w:val="en-US" w:eastAsia="zh-CN"/>
              </w:rPr>
              <w:t>、PM</w:t>
            </w:r>
            <w:r>
              <w:rPr>
                <w:rFonts w:hint="eastAsia"/>
                <w:vertAlign w:val="subscript"/>
                <w:lang w:val="en-US" w:eastAsia="zh-CN"/>
              </w:rPr>
              <w:t>10</w:t>
            </w:r>
            <w:r>
              <w:rPr>
                <w:rFonts w:hint="eastAsia"/>
                <w:lang w:val="en-US" w:eastAsia="zh-CN"/>
              </w:rPr>
              <w:t>、PM</w:t>
            </w:r>
            <w:r>
              <w:rPr>
                <w:rFonts w:hint="eastAsia"/>
                <w:vertAlign w:val="subscript"/>
                <w:lang w:val="en-US" w:eastAsia="zh-CN"/>
              </w:rPr>
              <w:t>2.5</w:t>
            </w:r>
            <w:r>
              <w:rPr>
                <w:rFonts w:hint="eastAsia"/>
                <w:lang w:val="en-US" w:eastAsia="zh-CN"/>
              </w:rPr>
              <w:t>、CO和O</w:t>
            </w:r>
            <w:r>
              <w:rPr>
                <w:rFonts w:hint="eastAsia"/>
                <w:vertAlign w:val="subscript"/>
                <w:lang w:val="en-US" w:eastAsia="zh-CN"/>
              </w:rPr>
              <w:t>3</w:t>
            </w:r>
            <w:r>
              <w:rPr>
                <w:rFonts w:hint="eastAsia"/>
                <w:lang w:val="en-US" w:eastAsia="zh-CN"/>
              </w:rPr>
              <w:t>的数据来源。</w:t>
            </w:r>
          </w:p>
          <w:p w14:paraId="7E405DB0">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（1）监测项目、监测时间</w:t>
            </w:r>
          </w:p>
          <w:p w14:paraId="54266C00">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监测项目：基本污染物SO</w:t>
            </w:r>
            <w:r>
              <w:rPr>
                <w:rFonts w:hint="eastAsia"/>
                <w:vertAlign w:val="subscript"/>
                <w:lang w:val="en-US" w:eastAsia="zh-CN"/>
              </w:rPr>
              <w:t>2</w:t>
            </w:r>
            <w:r>
              <w:rPr>
                <w:rFonts w:hint="eastAsia"/>
                <w:lang w:val="en-US" w:eastAsia="zh-CN"/>
              </w:rPr>
              <w:t>、NO</w:t>
            </w:r>
            <w:r>
              <w:rPr>
                <w:rFonts w:hint="eastAsia"/>
                <w:vertAlign w:val="subscript"/>
                <w:lang w:val="en-US" w:eastAsia="zh-CN"/>
              </w:rPr>
              <w:t>2</w:t>
            </w:r>
            <w:r>
              <w:rPr>
                <w:rFonts w:hint="eastAsia"/>
                <w:lang w:val="en-US" w:eastAsia="zh-CN"/>
              </w:rPr>
              <w:t>、PM</w:t>
            </w:r>
            <w:r>
              <w:rPr>
                <w:rFonts w:hint="eastAsia"/>
                <w:vertAlign w:val="subscript"/>
                <w:lang w:val="en-US" w:eastAsia="zh-CN"/>
              </w:rPr>
              <w:t>10</w:t>
            </w:r>
            <w:r>
              <w:rPr>
                <w:rFonts w:hint="eastAsia"/>
                <w:lang w:val="en-US" w:eastAsia="zh-CN"/>
              </w:rPr>
              <w:t>、PM</w:t>
            </w:r>
            <w:r>
              <w:rPr>
                <w:rFonts w:hint="eastAsia"/>
                <w:vertAlign w:val="subscript"/>
                <w:lang w:val="en-US" w:eastAsia="zh-CN"/>
              </w:rPr>
              <w:t>2.5</w:t>
            </w:r>
            <w:r>
              <w:rPr>
                <w:rFonts w:hint="eastAsia"/>
                <w:lang w:val="en-US" w:eastAsia="zh-CN"/>
              </w:rPr>
              <w:t>、CO和O</w:t>
            </w:r>
            <w:r>
              <w:rPr>
                <w:rFonts w:hint="eastAsia"/>
                <w:vertAlign w:val="subscript"/>
                <w:lang w:val="en-US" w:eastAsia="zh-CN"/>
              </w:rPr>
              <w:t>3</w:t>
            </w:r>
            <w:r>
              <w:rPr>
                <w:rFonts w:hint="eastAsia"/>
                <w:lang w:val="en-US" w:eastAsia="zh-CN"/>
              </w:rPr>
              <w:t>；</w:t>
            </w:r>
          </w:p>
          <w:p w14:paraId="47AEB405">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监测时间：基本污染物SO</w:t>
            </w:r>
            <w:r>
              <w:rPr>
                <w:rFonts w:hint="eastAsia"/>
                <w:vertAlign w:val="subscript"/>
                <w:lang w:val="en-US" w:eastAsia="zh-CN"/>
              </w:rPr>
              <w:t>2</w:t>
            </w:r>
            <w:r>
              <w:rPr>
                <w:rFonts w:hint="eastAsia"/>
                <w:lang w:val="en-US" w:eastAsia="zh-CN"/>
              </w:rPr>
              <w:t>、NO</w:t>
            </w:r>
            <w:r>
              <w:rPr>
                <w:rFonts w:hint="eastAsia"/>
                <w:vertAlign w:val="subscript"/>
                <w:lang w:val="en-US" w:eastAsia="zh-CN"/>
              </w:rPr>
              <w:t>2</w:t>
            </w:r>
            <w:r>
              <w:rPr>
                <w:rFonts w:hint="eastAsia"/>
                <w:lang w:val="en-US" w:eastAsia="zh-CN"/>
              </w:rPr>
              <w:t>、PM</w:t>
            </w:r>
            <w:r>
              <w:rPr>
                <w:rFonts w:hint="eastAsia"/>
                <w:vertAlign w:val="subscript"/>
                <w:lang w:val="en-US" w:eastAsia="zh-CN"/>
              </w:rPr>
              <w:t>10</w:t>
            </w:r>
            <w:r>
              <w:rPr>
                <w:rFonts w:hint="eastAsia"/>
                <w:lang w:val="en-US" w:eastAsia="zh-CN"/>
              </w:rPr>
              <w:t>、PM</w:t>
            </w:r>
            <w:r>
              <w:rPr>
                <w:rFonts w:hint="eastAsia"/>
                <w:vertAlign w:val="subscript"/>
                <w:lang w:val="en-US" w:eastAsia="zh-CN"/>
              </w:rPr>
              <w:t>2.5</w:t>
            </w:r>
            <w:r>
              <w:rPr>
                <w:rFonts w:hint="eastAsia"/>
                <w:lang w:val="en-US" w:eastAsia="zh-CN"/>
              </w:rPr>
              <w:t>、CO和O</w:t>
            </w:r>
            <w:r>
              <w:rPr>
                <w:rFonts w:hint="eastAsia"/>
                <w:vertAlign w:val="subscript"/>
                <w:lang w:val="en-US" w:eastAsia="zh-CN"/>
              </w:rPr>
              <w:t>3</w:t>
            </w:r>
            <w:r>
              <w:rPr>
                <w:rFonts w:hint="eastAsia"/>
                <w:lang w:val="en-US" w:eastAsia="zh-CN"/>
              </w:rPr>
              <w:t>的监测时间为2024年全年监测数据。</w:t>
            </w:r>
          </w:p>
          <w:p w14:paraId="112AB0CC">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（2）评价标准</w:t>
            </w:r>
          </w:p>
          <w:p w14:paraId="3888EF8E">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根据环境空气质量功能区划分区规定，本次评价基本污染物SO</w:t>
            </w:r>
            <w:r>
              <w:rPr>
                <w:rFonts w:hint="eastAsia"/>
                <w:vertAlign w:val="subscript"/>
                <w:lang w:val="en-US" w:eastAsia="zh-CN"/>
              </w:rPr>
              <w:t>2</w:t>
            </w:r>
            <w:r>
              <w:rPr>
                <w:rFonts w:hint="eastAsia"/>
                <w:lang w:val="en-US" w:eastAsia="zh-CN"/>
              </w:rPr>
              <w:t>、NO</w:t>
            </w:r>
            <w:r>
              <w:rPr>
                <w:rFonts w:hint="eastAsia"/>
                <w:vertAlign w:val="subscript"/>
                <w:lang w:val="en-US" w:eastAsia="zh-CN"/>
              </w:rPr>
              <w:t>2</w:t>
            </w:r>
            <w:r>
              <w:rPr>
                <w:rFonts w:hint="eastAsia"/>
                <w:lang w:val="en-US" w:eastAsia="zh-CN"/>
              </w:rPr>
              <w:t>、PM</w:t>
            </w:r>
            <w:r>
              <w:rPr>
                <w:rFonts w:hint="eastAsia"/>
                <w:vertAlign w:val="subscript"/>
                <w:lang w:val="en-US" w:eastAsia="zh-CN"/>
              </w:rPr>
              <w:t>10</w:t>
            </w:r>
            <w:r>
              <w:rPr>
                <w:rFonts w:hint="eastAsia"/>
                <w:lang w:val="en-US" w:eastAsia="zh-CN"/>
              </w:rPr>
              <w:t>、PM</w:t>
            </w:r>
            <w:r>
              <w:rPr>
                <w:rFonts w:hint="eastAsia"/>
                <w:vertAlign w:val="subscript"/>
                <w:lang w:val="en-US" w:eastAsia="zh-CN"/>
              </w:rPr>
              <w:t>2.5</w:t>
            </w:r>
            <w:r>
              <w:rPr>
                <w:rFonts w:hint="eastAsia"/>
                <w:lang w:val="en-US" w:eastAsia="zh-CN"/>
              </w:rPr>
              <w:t>、CO和O</w:t>
            </w:r>
            <w:r>
              <w:rPr>
                <w:rFonts w:hint="eastAsia"/>
                <w:vertAlign w:val="subscript"/>
                <w:lang w:val="en-US" w:eastAsia="zh-CN"/>
              </w:rPr>
              <w:t>3</w:t>
            </w:r>
            <w:r>
              <w:rPr>
                <w:rFonts w:hint="eastAsia"/>
                <w:lang w:val="en-US" w:eastAsia="zh-CN"/>
              </w:rPr>
              <w:t>执行《环境空气质量标准》（GB3095-2026）过渡阶段的二级标准。</w:t>
            </w:r>
          </w:p>
          <w:p w14:paraId="2A266B75">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（3）评价方法</w:t>
            </w:r>
          </w:p>
          <w:p w14:paraId="26BF260C">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按照《环境空气质量评价技术规范》（HJ 663-2026）中各评价项目的年评价指标进行判定。年评价指标中的年均浓度和相应百分位数24h平均或8h平均质量浓度满足《环境空气质量标准》（GB3095-2026）过渡阶段的二级浓度限值要求的即为达标。对于超标的污染物，计算其超标倍数和超标率。</w:t>
            </w:r>
          </w:p>
          <w:p w14:paraId="5A0AFD01">
            <w:pPr>
              <w:pStyle w:val="8"/>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Cs w:val="24"/>
                <w:highlight w:val="none"/>
                <w:lang w:val="en-US" w:eastAsia="zh-CN" w:bidi="ar-SA"/>
              </w:rPr>
            </w:pPr>
            <w:r>
              <w:rPr>
                <w:rFonts w:hint="eastAsia"/>
                <w:lang w:val="en-US" w:eastAsia="zh-CN"/>
              </w:rPr>
              <w:t>区域空气质量现状评价见下表3-1。</w:t>
            </w:r>
          </w:p>
          <w:p w14:paraId="207600F8">
            <w:pPr>
              <w:pStyle w:val="42"/>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表3-1    区域空气质量现状评价</w:t>
            </w:r>
          </w:p>
          <w:tbl>
            <w:tblPr>
              <w:tblStyle w:val="23"/>
              <w:tblW w:w="4994"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2357"/>
              <w:gridCol w:w="1318"/>
              <w:gridCol w:w="1396"/>
              <w:gridCol w:w="889"/>
              <w:gridCol w:w="1129"/>
            </w:tblGrid>
            <w:tr w14:paraId="286A6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tcBorders>
                    <w:tl2br w:val="nil"/>
                    <w:tr2bl w:val="nil"/>
                  </w:tcBorders>
                  <w:noWrap w:val="0"/>
                  <w:vAlign w:val="center"/>
                </w:tcPr>
                <w:p w14:paraId="5D605961">
                  <w:pPr>
                    <w:pStyle w:val="40"/>
                    <w:keepLines w:val="0"/>
                    <w:pageBreakBefore w:val="0"/>
                    <w:kinsoku/>
                    <w:wordWrap/>
                    <w:topLinePunct w:val="0"/>
                    <w:autoSpaceDE/>
                    <w:autoSpaceDN/>
                    <w:bidi w:val="0"/>
                    <w:spacing w:beforeAutospacing="0" w:afterAutospacing="0"/>
                    <w:textAlignment w:val="auto"/>
                  </w:pPr>
                  <w:r>
                    <w:rPr>
                      <w:rFonts w:hint="eastAsia"/>
                    </w:rPr>
                    <w:t>污染物</w:t>
                  </w:r>
                </w:p>
              </w:tc>
              <w:tc>
                <w:tcPr>
                  <w:tcW w:w="1479" w:type="pct"/>
                  <w:tcBorders>
                    <w:tl2br w:val="nil"/>
                    <w:tr2bl w:val="nil"/>
                  </w:tcBorders>
                  <w:noWrap w:val="0"/>
                  <w:vAlign w:val="center"/>
                </w:tcPr>
                <w:p w14:paraId="4F07E1CA">
                  <w:pPr>
                    <w:pStyle w:val="40"/>
                    <w:keepLines w:val="0"/>
                    <w:pageBreakBefore w:val="0"/>
                    <w:kinsoku/>
                    <w:wordWrap/>
                    <w:topLinePunct w:val="0"/>
                    <w:autoSpaceDE/>
                    <w:autoSpaceDN/>
                    <w:bidi w:val="0"/>
                    <w:spacing w:beforeAutospacing="0" w:afterAutospacing="0"/>
                    <w:textAlignment w:val="auto"/>
                  </w:pPr>
                  <w:r>
                    <w:rPr>
                      <w:rFonts w:hint="eastAsia"/>
                    </w:rPr>
                    <w:t>评价项目</w:t>
                  </w:r>
                </w:p>
              </w:tc>
              <w:tc>
                <w:tcPr>
                  <w:tcW w:w="827" w:type="pct"/>
                  <w:tcBorders>
                    <w:tl2br w:val="nil"/>
                    <w:tr2bl w:val="nil"/>
                  </w:tcBorders>
                  <w:noWrap w:val="0"/>
                  <w:vAlign w:val="center"/>
                </w:tcPr>
                <w:p w14:paraId="0FF0FA44">
                  <w:pPr>
                    <w:pStyle w:val="40"/>
                    <w:keepLines w:val="0"/>
                    <w:pageBreakBefore w:val="0"/>
                    <w:kinsoku/>
                    <w:wordWrap/>
                    <w:topLinePunct w:val="0"/>
                    <w:autoSpaceDE/>
                    <w:autoSpaceDN/>
                    <w:bidi w:val="0"/>
                    <w:spacing w:beforeAutospacing="0" w:afterAutospacing="0"/>
                    <w:textAlignment w:val="auto"/>
                  </w:pPr>
                  <w:r>
                    <w:t>浓度（</w:t>
                  </w:r>
                  <w:r>
                    <w:rPr>
                      <w:rFonts w:hint="default"/>
                    </w:rPr>
                    <w:t>μ</w:t>
                  </w:r>
                  <w:r>
                    <w:rPr>
                      <w:rFonts w:hint="default"/>
                      <w:lang w:val="en-US" w:eastAsia="zh-CN"/>
                    </w:rPr>
                    <w:t>g</w:t>
                  </w:r>
                  <w:r>
                    <w:rPr>
                      <w:rFonts w:hint="default"/>
                    </w:rPr>
                    <w:t>/m</w:t>
                  </w:r>
                  <w:r>
                    <w:rPr>
                      <w:rFonts w:hint="default"/>
                      <w:vertAlign w:val="superscript"/>
                    </w:rPr>
                    <w:t>3</w:t>
                  </w:r>
                  <w:r>
                    <w:t>）</w:t>
                  </w:r>
                </w:p>
              </w:tc>
              <w:tc>
                <w:tcPr>
                  <w:tcW w:w="876" w:type="pct"/>
                  <w:tcBorders>
                    <w:tl2br w:val="nil"/>
                    <w:tr2bl w:val="nil"/>
                  </w:tcBorders>
                  <w:noWrap w:val="0"/>
                  <w:vAlign w:val="center"/>
                </w:tcPr>
                <w:p w14:paraId="0E8FAEA2">
                  <w:pPr>
                    <w:pStyle w:val="40"/>
                    <w:keepLines w:val="0"/>
                    <w:pageBreakBefore w:val="0"/>
                    <w:kinsoku/>
                    <w:wordWrap/>
                    <w:topLinePunct w:val="0"/>
                    <w:autoSpaceDE/>
                    <w:autoSpaceDN/>
                    <w:bidi w:val="0"/>
                    <w:spacing w:beforeAutospacing="0" w:afterAutospacing="0"/>
                    <w:textAlignment w:val="auto"/>
                  </w:pPr>
                  <w:r>
                    <w:rPr>
                      <w:rFonts w:hint="eastAsia"/>
                      <w:lang w:val="en-US" w:eastAsia="zh-CN"/>
                    </w:rPr>
                    <w:t>过渡阶段</w:t>
                  </w:r>
                  <w:r>
                    <w:rPr>
                      <w:rFonts w:hint="eastAsia"/>
                    </w:rPr>
                    <w:t>标准（二级）</w:t>
                  </w:r>
                  <w:r>
                    <w:t>（</w:t>
                  </w:r>
                  <w:r>
                    <w:rPr>
                      <w:rFonts w:hint="default"/>
                    </w:rPr>
                    <w:t>μ</w:t>
                  </w:r>
                  <w:r>
                    <w:rPr>
                      <w:rFonts w:hint="default"/>
                      <w:lang w:val="en-US" w:eastAsia="zh-CN"/>
                    </w:rPr>
                    <w:t>g</w:t>
                  </w:r>
                  <w:r>
                    <w:rPr>
                      <w:rFonts w:hint="default"/>
                    </w:rPr>
                    <w:t>/m</w:t>
                  </w:r>
                  <w:r>
                    <w:rPr>
                      <w:rFonts w:hint="default"/>
                      <w:vertAlign w:val="superscript"/>
                    </w:rPr>
                    <w:t>3</w:t>
                  </w:r>
                  <w:r>
                    <w:t>）</w:t>
                  </w:r>
                </w:p>
              </w:tc>
              <w:tc>
                <w:tcPr>
                  <w:tcW w:w="558" w:type="pct"/>
                  <w:tcBorders>
                    <w:tl2br w:val="nil"/>
                    <w:tr2bl w:val="nil"/>
                  </w:tcBorders>
                  <w:noWrap w:val="0"/>
                  <w:vAlign w:val="center"/>
                </w:tcPr>
                <w:p w14:paraId="017291B3">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eastAsia="zh-CN"/>
                    </w:rPr>
                    <w:t>占标率</w:t>
                  </w:r>
                  <w:r>
                    <w:rPr>
                      <w:rFonts w:hint="eastAsia"/>
                      <w:lang w:val="en-US" w:eastAsia="zh-CN"/>
                    </w:rPr>
                    <w:t>%</w:t>
                  </w:r>
                </w:p>
              </w:tc>
              <w:tc>
                <w:tcPr>
                  <w:tcW w:w="708" w:type="pct"/>
                  <w:tcBorders>
                    <w:tl2br w:val="nil"/>
                    <w:tr2bl w:val="nil"/>
                  </w:tcBorders>
                  <w:noWrap w:val="0"/>
                  <w:vAlign w:val="center"/>
                </w:tcPr>
                <w:p w14:paraId="70238122">
                  <w:pPr>
                    <w:pStyle w:val="40"/>
                    <w:keepLines w:val="0"/>
                    <w:pageBreakBefore w:val="0"/>
                    <w:kinsoku/>
                    <w:wordWrap/>
                    <w:topLinePunct w:val="0"/>
                    <w:autoSpaceDE/>
                    <w:autoSpaceDN/>
                    <w:bidi w:val="0"/>
                    <w:spacing w:beforeAutospacing="0" w:afterAutospacing="0"/>
                    <w:textAlignment w:val="auto"/>
                    <w:rPr>
                      <w:rFonts w:hint="eastAsia"/>
                      <w:lang w:eastAsia="zh-CN"/>
                    </w:rPr>
                  </w:pPr>
                  <w:r>
                    <w:rPr>
                      <w:rFonts w:hint="eastAsia"/>
                      <w:lang w:eastAsia="zh-CN"/>
                    </w:rPr>
                    <w:t>达标情况</w:t>
                  </w:r>
                </w:p>
              </w:tc>
            </w:tr>
            <w:tr w14:paraId="13AF0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restart"/>
                  <w:tcBorders>
                    <w:tl2br w:val="nil"/>
                    <w:tr2bl w:val="nil"/>
                  </w:tcBorders>
                  <w:noWrap w:val="0"/>
                  <w:vAlign w:val="center"/>
                </w:tcPr>
                <w:p w14:paraId="2F53ABF0">
                  <w:pPr>
                    <w:pStyle w:val="40"/>
                    <w:keepLines w:val="0"/>
                    <w:pageBreakBefore w:val="0"/>
                    <w:kinsoku/>
                    <w:wordWrap/>
                    <w:topLinePunct w:val="0"/>
                    <w:autoSpaceDE/>
                    <w:autoSpaceDN/>
                    <w:bidi w:val="0"/>
                    <w:spacing w:beforeAutospacing="0" w:afterAutospacing="0"/>
                    <w:textAlignment w:val="auto"/>
                  </w:pPr>
                  <w:r>
                    <w:rPr>
                      <w:rFonts w:hint="eastAsia"/>
                    </w:rPr>
                    <w:t>SO</w:t>
                  </w:r>
                  <w:r>
                    <w:rPr>
                      <w:rFonts w:hint="eastAsia"/>
                      <w:vertAlign w:val="subscript"/>
                    </w:rPr>
                    <w:t>2</w:t>
                  </w:r>
                </w:p>
              </w:tc>
              <w:tc>
                <w:tcPr>
                  <w:tcW w:w="1479" w:type="pct"/>
                  <w:tcBorders>
                    <w:tl2br w:val="nil"/>
                    <w:tr2bl w:val="nil"/>
                  </w:tcBorders>
                  <w:noWrap w:val="0"/>
                  <w:vAlign w:val="center"/>
                </w:tcPr>
                <w:p w14:paraId="421BF9A9">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年平均</w:t>
                  </w:r>
                </w:p>
              </w:tc>
              <w:tc>
                <w:tcPr>
                  <w:tcW w:w="1318" w:type="dxa"/>
                  <w:tcBorders>
                    <w:tl2br w:val="nil"/>
                    <w:tr2bl w:val="nil"/>
                  </w:tcBorders>
                  <w:noWrap w:val="0"/>
                  <w:vAlign w:val="center"/>
                </w:tcPr>
                <w:p w14:paraId="410D6173">
                  <w:pPr>
                    <w:pStyle w:val="61"/>
                    <w:spacing w:beforeLines="0" w:afterLines="0"/>
                    <w:rPr>
                      <w:rFonts w:hint="default"/>
                      <w:lang w:val="en-US" w:eastAsia="zh-CN"/>
                    </w:rPr>
                  </w:pPr>
                  <w:r>
                    <w:rPr>
                      <w:rFonts w:hint="eastAsia"/>
                      <w:color w:val="auto"/>
                      <w:sz w:val="21"/>
                      <w:szCs w:val="21"/>
                      <w:lang w:val="en-US" w:eastAsia="zh-CN"/>
                    </w:rPr>
                    <w:t>6</w:t>
                  </w:r>
                </w:p>
              </w:tc>
              <w:tc>
                <w:tcPr>
                  <w:tcW w:w="1396" w:type="dxa"/>
                  <w:tcBorders>
                    <w:tl2br w:val="nil"/>
                    <w:tr2bl w:val="nil"/>
                  </w:tcBorders>
                  <w:noWrap w:val="0"/>
                  <w:vAlign w:val="center"/>
                </w:tcPr>
                <w:p w14:paraId="1C163FC0">
                  <w:pPr>
                    <w:pStyle w:val="61"/>
                    <w:spacing w:beforeLines="0" w:afterLines="0"/>
                  </w:pPr>
                  <w:r>
                    <w:rPr>
                      <w:rFonts w:hint="eastAsia"/>
                      <w:color w:val="auto"/>
                      <w:sz w:val="21"/>
                      <w:szCs w:val="21"/>
                    </w:rPr>
                    <w:t>60</w:t>
                  </w:r>
                </w:p>
              </w:tc>
              <w:tc>
                <w:tcPr>
                  <w:tcW w:w="889" w:type="dxa"/>
                  <w:tcBorders>
                    <w:tl2br w:val="nil"/>
                    <w:tr2bl w:val="nil"/>
                  </w:tcBorders>
                  <w:noWrap w:val="0"/>
                  <w:vAlign w:val="center"/>
                </w:tcPr>
                <w:p w14:paraId="7866A0CA">
                  <w:pPr>
                    <w:pStyle w:val="61"/>
                    <w:bidi w:val="0"/>
                    <w:rPr>
                      <w:rFonts w:hint="default"/>
                      <w:lang w:val="en-US" w:eastAsia="zh-CN"/>
                    </w:rPr>
                  </w:pPr>
                  <w:r>
                    <w:rPr>
                      <w:rFonts w:hint="eastAsia"/>
                      <w:lang w:val="en-US" w:eastAsia="zh-CN"/>
                    </w:rPr>
                    <w:t>10</w:t>
                  </w:r>
                </w:p>
              </w:tc>
              <w:tc>
                <w:tcPr>
                  <w:tcW w:w="1129" w:type="dxa"/>
                  <w:tcBorders>
                    <w:tl2br w:val="nil"/>
                    <w:tr2bl w:val="nil"/>
                  </w:tcBorders>
                  <w:noWrap w:val="0"/>
                  <w:vAlign w:val="center"/>
                </w:tcPr>
                <w:p w14:paraId="471074F7">
                  <w:pPr>
                    <w:pStyle w:val="40"/>
                    <w:keepLines w:val="0"/>
                    <w:pageBreakBefore w:val="0"/>
                    <w:kinsoku/>
                    <w:wordWrap/>
                    <w:topLinePunct w:val="0"/>
                    <w:autoSpaceDE/>
                    <w:autoSpaceDN/>
                    <w:bidi w:val="0"/>
                    <w:spacing w:beforeAutospacing="0" w:afterAutospacing="0"/>
                    <w:textAlignment w:val="auto"/>
                    <w:rPr>
                      <w:rFonts w:hint="eastAsia"/>
                      <w:lang w:eastAsia="zh-CN"/>
                    </w:rPr>
                  </w:pPr>
                  <w:r>
                    <w:rPr>
                      <w:rFonts w:hint="eastAsia"/>
                      <w:lang w:eastAsia="zh-CN"/>
                    </w:rPr>
                    <w:t>达标</w:t>
                  </w:r>
                </w:p>
              </w:tc>
            </w:tr>
            <w:tr w14:paraId="2ACA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tcBorders>
                    <w:tl2br w:val="nil"/>
                    <w:tr2bl w:val="nil"/>
                  </w:tcBorders>
                  <w:noWrap w:val="0"/>
                  <w:vAlign w:val="center"/>
                </w:tcPr>
                <w:p w14:paraId="720CCFDD">
                  <w:pPr>
                    <w:pStyle w:val="40"/>
                    <w:keepLines w:val="0"/>
                    <w:pageBreakBefore w:val="0"/>
                    <w:kinsoku/>
                    <w:wordWrap/>
                    <w:topLinePunct w:val="0"/>
                    <w:autoSpaceDE/>
                    <w:autoSpaceDN/>
                    <w:bidi w:val="0"/>
                    <w:spacing w:beforeAutospacing="0" w:afterAutospacing="0"/>
                    <w:textAlignment w:val="auto"/>
                  </w:pPr>
                </w:p>
              </w:tc>
              <w:tc>
                <w:tcPr>
                  <w:tcW w:w="1479" w:type="pct"/>
                  <w:tcBorders>
                    <w:tl2br w:val="nil"/>
                    <w:tr2bl w:val="nil"/>
                  </w:tcBorders>
                  <w:noWrap w:val="0"/>
                  <w:vAlign w:val="center"/>
                </w:tcPr>
                <w:p w14:paraId="0F992E90">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24h平均第98百分位数</w:t>
                  </w:r>
                </w:p>
              </w:tc>
              <w:tc>
                <w:tcPr>
                  <w:tcW w:w="1318" w:type="dxa"/>
                  <w:tcBorders>
                    <w:tl2br w:val="nil"/>
                    <w:tr2bl w:val="nil"/>
                  </w:tcBorders>
                  <w:noWrap w:val="0"/>
                  <w:vAlign w:val="center"/>
                </w:tcPr>
                <w:p w14:paraId="234F5885">
                  <w:pPr>
                    <w:pStyle w:val="61"/>
                    <w:spacing w:beforeLines="0" w:afterLines="0"/>
                    <w:rPr>
                      <w:rFonts w:hint="default"/>
                      <w:lang w:val="en-US" w:eastAsia="zh-CN"/>
                    </w:rPr>
                  </w:pPr>
                  <w:r>
                    <w:rPr>
                      <w:rFonts w:hint="eastAsia"/>
                      <w:color w:val="auto"/>
                      <w:sz w:val="21"/>
                      <w:szCs w:val="21"/>
                    </w:rPr>
                    <w:t>9</w:t>
                  </w:r>
                </w:p>
              </w:tc>
              <w:tc>
                <w:tcPr>
                  <w:tcW w:w="1396" w:type="dxa"/>
                  <w:tcBorders>
                    <w:tl2br w:val="nil"/>
                    <w:tr2bl w:val="nil"/>
                  </w:tcBorders>
                  <w:noWrap w:val="0"/>
                  <w:vAlign w:val="center"/>
                </w:tcPr>
                <w:p w14:paraId="6FD1DC2B">
                  <w:pPr>
                    <w:pStyle w:val="61"/>
                    <w:spacing w:beforeLines="0" w:afterLines="0"/>
                  </w:pPr>
                  <w:r>
                    <w:rPr>
                      <w:rFonts w:hint="eastAsia"/>
                      <w:color w:val="auto"/>
                      <w:sz w:val="21"/>
                      <w:szCs w:val="21"/>
                    </w:rPr>
                    <w:t>150</w:t>
                  </w:r>
                </w:p>
              </w:tc>
              <w:tc>
                <w:tcPr>
                  <w:tcW w:w="889" w:type="dxa"/>
                  <w:tcBorders>
                    <w:tl2br w:val="nil"/>
                    <w:tr2bl w:val="nil"/>
                  </w:tcBorders>
                  <w:noWrap w:val="0"/>
                  <w:vAlign w:val="center"/>
                </w:tcPr>
                <w:p w14:paraId="5FB48790">
                  <w:pPr>
                    <w:pStyle w:val="61"/>
                    <w:bidi w:val="0"/>
                    <w:rPr>
                      <w:rFonts w:hint="default"/>
                      <w:lang w:val="en-US" w:eastAsia="zh-CN"/>
                    </w:rPr>
                  </w:pPr>
                  <w:r>
                    <w:rPr>
                      <w:rFonts w:hint="eastAsia"/>
                      <w:lang w:val="en-US" w:eastAsia="zh-CN"/>
                    </w:rPr>
                    <w:t>6</w:t>
                  </w:r>
                </w:p>
              </w:tc>
              <w:tc>
                <w:tcPr>
                  <w:tcW w:w="1129" w:type="dxa"/>
                  <w:tcBorders>
                    <w:tl2br w:val="nil"/>
                    <w:tr2bl w:val="nil"/>
                  </w:tcBorders>
                  <w:noWrap w:val="0"/>
                  <w:vAlign w:val="center"/>
                </w:tcPr>
                <w:p w14:paraId="2163057E">
                  <w:pPr>
                    <w:pStyle w:val="40"/>
                    <w:keepLines w:val="0"/>
                    <w:pageBreakBefore w:val="0"/>
                    <w:kinsoku/>
                    <w:wordWrap/>
                    <w:topLinePunct w:val="0"/>
                    <w:autoSpaceDE/>
                    <w:autoSpaceDN/>
                    <w:bidi w:val="0"/>
                    <w:spacing w:beforeAutospacing="0" w:afterAutospacing="0"/>
                    <w:textAlignment w:val="auto"/>
                    <w:rPr>
                      <w:rFonts w:hint="eastAsia"/>
                    </w:rPr>
                  </w:pPr>
                  <w:r>
                    <w:rPr>
                      <w:rFonts w:hint="eastAsia"/>
                      <w:lang w:eastAsia="zh-CN"/>
                    </w:rPr>
                    <w:t>达标</w:t>
                  </w:r>
                </w:p>
              </w:tc>
            </w:tr>
            <w:tr w14:paraId="34BB8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9" w:type="pct"/>
                  <w:vMerge w:val="restart"/>
                  <w:tcBorders>
                    <w:tl2br w:val="nil"/>
                    <w:tr2bl w:val="nil"/>
                  </w:tcBorders>
                  <w:noWrap w:val="0"/>
                  <w:vAlign w:val="center"/>
                </w:tcPr>
                <w:p w14:paraId="12F8E457">
                  <w:pPr>
                    <w:pStyle w:val="40"/>
                    <w:keepLines w:val="0"/>
                    <w:pageBreakBefore w:val="0"/>
                    <w:kinsoku/>
                    <w:wordWrap/>
                    <w:topLinePunct w:val="0"/>
                    <w:autoSpaceDE/>
                    <w:autoSpaceDN/>
                    <w:bidi w:val="0"/>
                    <w:spacing w:beforeAutospacing="0" w:afterAutospacing="0"/>
                    <w:textAlignment w:val="auto"/>
                  </w:pPr>
                  <w:r>
                    <w:rPr>
                      <w:rFonts w:hint="eastAsia"/>
                    </w:rPr>
                    <w:t>NO</w:t>
                  </w:r>
                  <w:r>
                    <w:rPr>
                      <w:rFonts w:hint="eastAsia"/>
                      <w:vertAlign w:val="subscript"/>
                    </w:rPr>
                    <w:t>2</w:t>
                  </w:r>
                </w:p>
              </w:tc>
              <w:tc>
                <w:tcPr>
                  <w:tcW w:w="1479" w:type="pct"/>
                  <w:tcBorders>
                    <w:tl2br w:val="nil"/>
                    <w:tr2bl w:val="nil"/>
                  </w:tcBorders>
                  <w:noWrap w:val="0"/>
                  <w:vAlign w:val="center"/>
                </w:tcPr>
                <w:p w14:paraId="69BD7607">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年平均</w:t>
                  </w:r>
                </w:p>
              </w:tc>
              <w:tc>
                <w:tcPr>
                  <w:tcW w:w="1318" w:type="dxa"/>
                  <w:tcBorders>
                    <w:tl2br w:val="nil"/>
                    <w:tr2bl w:val="nil"/>
                  </w:tcBorders>
                  <w:noWrap w:val="0"/>
                  <w:vAlign w:val="center"/>
                </w:tcPr>
                <w:p w14:paraId="73123972">
                  <w:pPr>
                    <w:pStyle w:val="61"/>
                    <w:spacing w:beforeLines="0" w:afterLines="0"/>
                    <w:rPr>
                      <w:rFonts w:hint="default"/>
                      <w:lang w:val="en-US" w:eastAsia="zh-CN"/>
                    </w:rPr>
                  </w:pPr>
                  <w:r>
                    <w:rPr>
                      <w:rFonts w:hint="eastAsia"/>
                      <w:lang w:val="en-US" w:eastAsia="zh-CN"/>
                    </w:rPr>
                    <w:t>8</w:t>
                  </w:r>
                </w:p>
              </w:tc>
              <w:tc>
                <w:tcPr>
                  <w:tcW w:w="1396" w:type="dxa"/>
                  <w:tcBorders>
                    <w:tl2br w:val="nil"/>
                    <w:tr2bl w:val="nil"/>
                  </w:tcBorders>
                  <w:noWrap w:val="0"/>
                  <w:vAlign w:val="center"/>
                </w:tcPr>
                <w:p w14:paraId="561EEE0D">
                  <w:pPr>
                    <w:pStyle w:val="61"/>
                    <w:spacing w:beforeLines="0" w:afterLines="0"/>
                  </w:pPr>
                  <w:r>
                    <w:rPr>
                      <w:rFonts w:hint="eastAsia"/>
                      <w:color w:val="auto"/>
                      <w:sz w:val="21"/>
                      <w:szCs w:val="21"/>
                    </w:rPr>
                    <w:t>40</w:t>
                  </w:r>
                </w:p>
              </w:tc>
              <w:tc>
                <w:tcPr>
                  <w:tcW w:w="889" w:type="dxa"/>
                  <w:tcBorders>
                    <w:tl2br w:val="nil"/>
                    <w:tr2bl w:val="nil"/>
                  </w:tcBorders>
                  <w:noWrap w:val="0"/>
                  <w:vAlign w:val="center"/>
                </w:tcPr>
                <w:p w14:paraId="0137CAD0">
                  <w:pPr>
                    <w:pStyle w:val="61"/>
                    <w:bidi w:val="0"/>
                    <w:rPr>
                      <w:rFonts w:hint="default"/>
                      <w:lang w:val="en-US" w:eastAsia="zh-CN"/>
                    </w:rPr>
                  </w:pPr>
                  <w:r>
                    <w:rPr>
                      <w:rFonts w:hint="eastAsia"/>
                      <w:lang w:val="en-US" w:eastAsia="zh-CN"/>
                    </w:rPr>
                    <w:t>20</w:t>
                  </w:r>
                </w:p>
              </w:tc>
              <w:tc>
                <w:tcPr>
                  <w:tcW w:w="1129" w:type="dxa"/>
                  <w:tcBorders>
                    <w:tl2br w:val="nil"/>
                    <w:tr2bl w:val="nil"/>
                  </w:tcBorders>
                  <w:noWrap w:val="0"/>
                  <w:vAlign w:val="center"/>
                </w:tcPr>
                <w:p w14:paraId="15E2AA85">
                  <w:pPr>
                    <w:pStyle w:val="40"/>
                    <w:keepLines w:val="0"/>
                    <w:pageBreakBefore w:val="0"/>
                    <w:kinsoku/>
                    <w:wordWrap/>
                    <w:topLinePunct w:val="0"/>
                    <w:autoSpaceDE/>
                    <w:autoSpaceDN/>
                    <w:bidi w:val="0"/>
                    <w:spacing w:beforeAutospacing="0" w:afterAutospacing="0"/>
                    <w:textAlignment w:val="auto"/>
                    <w:rPr>
                      <w:rFonts w:hint="eastAsia"/>
                    </w:rPr>
                  </w:pPr>
                  <w:r>
                    <w:rPr>
                      <w:rFonts w:hint="eastAsia"/>
                      <w:lang w:eastAsia="zh-CN"/>
                    </w:rPr>
                    <w:t>达标</w:t>
                  </w:r>
                </w:p>
              </w:tc>
            </w:tr>
            <w:tr w14:paraId="4BAE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tcBorders>
                    <w:tl2br w:val="nil"/>
                    <w:tr2bl w:val="nil"/>
                  </w:tcBorders>
                  <w:noWrap w:val="0"/>
                  <w:vAlign w:val="center"/>
                </w:tcPr>
                <w:p w14:paraId="340670B6">
                  <w:pPr>
                    <w:pStyle w:val="40"/>
                    <w:keepLines w:val="0"/>
                    <w:pageBreakBefore w:val="0"/>
                    <w:kinsoku/>
                    <w:wordWrap/>
                    <w:topLinePunct w:val="0"/>
                    <w:autoSpaceDE/>
                    <w:autoSpaceDN/>
                    <w:bidi w:val="0"/>
                    <w:spacing w:beforeAutospacing="0" w:afterAutospacing="0"/>
                    <w:textAlignment w:val="auto"/>
                  </w:pPr>
                </w:p>
              </w:tc>
              <w:tc>
                <w:tcPr>
                  <w:tcW w:w="1479" w:type="pct"/>
                  <w:tcBorders>
                    <w:tl2br w:val="nil"/>
                    <w:tr2bl w:val="nil"/>
                  </w:tcBorders>
                  <w:noWrap w:val="0"/>
                  <w:vAlign w:val="center"/>
                </w:tcPr>
                <w:p w14:paraId="591DB364">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24h平均第98百分位数</w:t>
                  </w:r>
                </w:p>
              </w:tc>
              <w:tc>
                <w:tcPr>
                  <w:tcW w:w="1318" w:type="dxa"/>
                  <w:tcBorders>
                    <w:tl2br w:val="nil"/>
                    <w:tr2bl w:val="nil"/>
                  </w:tcBorders>
                  <w:noWrap w:val="0"/>
                  <w:vAlign w:val="center"/>
                </w:tcPr>
                <w:p w14:paraId="07826B83">
                  <w:pPr>
                    <w:pStyle w:val="61"/>
                    <w:spacing w:beforeLines="0" w:afterLines="0"/>
                    <w:rPr>
                      <w:rFonts w:hint="default"/>
                      <w:lang w:val="en-US" w:eastAsia="zh-CN"/>
                    </w:rPr>
                  </w:pPr>
                  <w:r>
                    <w:rPr>
                      <w:rFonts w:hint="eastAsia"/>
                      <w:lang w:val="en-US" w:eastAsia="zh-CN"/>
                    </w:rPr>
                    <w:t>15</w:t>
                  </w:r>
                </w:p>
              </w:tc>
              <w:tc>
                <w:tcPr>
                  <w:tcW w:w="1396" w:type="dxa"/>
                  <w:tcBorders>
                    <w:tl2br w:val="nil"/>
                    <w:tr2bl w:val="nil"/>
                  </w:tcBorders>
                  <w:noWrap w:val="0"/>
                  <w:vAlign w:val="center"/>
                </w:tcPr>
                <w:p w14:paraId="422E2165">
                  <w:pPr>
                    <w:pStyle w:val="61"/>
                    <w:spacing w:beforeLines="0" w:afterLines="0"/>
                  </w:pPr>
                  <w:r>
                    <w:rPr>
                      <w:rFonts w:hint="eastAsia"/>
                      <w:color w:val="auto"/>
                      <w:sz w:val="21"/>
                      <w:szCs w:val="21"/>
                    </w:rPr>
                    <w:t>80</w:t>
                  </w:r>
                </w:p>
              </w:tc>
              <w:tc>
                <w:tcPr>
                  <w:tcW w:w="889" w:type="dxa"/>
                  <w:tcBorders>
                    <w:tl2br w:val="nil"/>
                    <w:tr2bl w:val="nil"/>
                  </w:tcBorders>
                  <w:noWrap w:val="0"/>
                  <w:vAlign w:val="center"/>
                </w:tcPr>
                <w:p w14:paraId="1F62A51B">
                  <w:pPr>
                    <w:pStyle w:val="61"/>
                    <w:bidi w:val="0"/>
                    <w:rPr>
                      <w:rFonts w:hint="default"/>
                      <w:lang w:val="en-US" w:eastAsia="zh-CN"/>
                    </w:rPr>
                  </w:pPr>
                  <w:r>
                    <w:rPr>
                      <w:rFonts w:hint="eastAsia"/>
                      <w:lang w:val="en-US" w:eastAsia="zh-CN"/>
                    </w:rPr>
                    <w:t>19</w:t>
                  </w:r>
                </w:p>
              </w:tc>
              <w:tc>
                <w:tcPr>
                  <w:tcW w:w="1129" w:type="dxa"/>
                  <w:tcBorders>
                    <w:tl2br w:val="nil"/>
                    <w:tr2bl w:val="nil"/>
                  </w:tcBorders>
                  <w:noWrap w:val="0"/>
                  <w:vAlign w:val="center"/>
                </w:tcPr>
                <w:p w14:paraId="30F0E099">
                  <w:pPr>
                    <w:pStyle w:val="40"/>
                    <w:keepLines w:val="0"/>
                    <w:pageBreakBefore w:val="0"/>
                    <w:kinsoku/>
                    <w:wordWrap/>
                    <w:topLinePunct w:val="0"/>
                    <w:autoSpaceDE/>
                    <w:autoSpaceDN/>
                    <w:bidi w:val="0"/>
                    <w:spacing w:beforeAutospacing="0" w:afterAutospacing="0"/>
                    <w:textAlignment w:val="auto"/>
                    <w:rPr>
                      <w:rFonts w:hint="eastAsia"/>
                    </w:rPr>
                  </w:pPr>
                  <w:r>
                    <w:rPr>
                      <w:rFonts w:hint="eastAsia"/>
                      <w:lang w:eastAsia="zh-CN"/>
                    </w:rPr>
                    <w:t>达标</w:t>
                  </w:r>
                </w:p>
              </w:tc>
            </w:tr>
            <w:tr w14:paraId="77E1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tcBorders>
                    <w:tl2br w:val="nil"/>
                    <w:tr2bl w:val="nil"/>
                  </w:tcBorders>
                  <w:noWrap w:val="0"/>
                  <w:vAlign w:val="center"/>
                </w:tcPr>
                <w:p w14:paraId="3D40B4BD">
                  <w:pPr>
                    <w:pStyle w:val="40"/>
                    <w:keepLines w:val="0"/>
                    <w:pageBreakBefore w:val="0"/>
                    <w:kinsoku/>
                    <w:wordWrap/>
                    <w:topLinePunct w:val="0"/>
                    <w:autoSpaceDE/>
                    <w:autoSpaceDN/>
                    <w:bidi w:val="0"/>
                    <w:spacing w:beforeAutospacing="0" w:afterAutospacing="0"/>
                    <w:textAlignment w:val="auto"/>
                  </w:pPr>
                  <w:r>
                    <w:rPr>
                      <w:rFonts w:hint="eastAsia"/>
                    </w:rPr>
                    <w:t>CO</w:t>
                  </w:r>
                </w:p>
              </w:tc>
              <w:tc>
                <w:tcPr>
                  <w:tcW w:w="1479" w:type="pct"/>
                  <w:tcBorders>
                    <w:tl2br w:val="nil"/>
                    <w:tr2bl w:val="nil"/>
                  </w:tcBorders>
                  <w:noWrap w:val="0"/>
                  <w:vAlign w:val="center"/>
                </w:tcPr>
                <w:p w14:paraId="105C787F">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24h平均第95百分位数</w:t>
                  </w:r>
                </w:p>
              </w:tc>
              <w:tc>
                <w:tcPr>
                  <w:tcW w:w="1318" w:type="dxa"/>
                  <w:tcBorders>
                    <w:tl2br w:val="nil"/>
                    <w:tr2bl w:val="nil"/>
                  </w:tcBorders>
                  <w:noWrap w:val="0"/>
                  <w:vAlign w:val="center"/>
                </w:tcPr>
                <w:p w14:paraId="252F000D">
                  <w:pPr>
                    <w:pStyle w:val="61"/>
                    <w:spacing w:beforeLines="0" w:afterLines="0"/>
                    <w:rPr>
                      <w:rFonts w:hint="default"/>
                      <w:lang w:val="en-US" w:eastAsia="zh-CN"/>
                    </w:rPr>
                  </w:pPr>
                  <w:r>
                    <w:rPr>
                      <w:rFonts w:hint="eastAsia"/>
                      <w:lang w:val="en-US" w:eastAsia="zh-CN"/>
                    </w:rPr>
                    <w:t>500</w:t>
                  </w:r>
                </w:p>
              </w:tc>
              <w:tc>
                <w:tcPr>
                  <w:tcW w:w="1396" w:type="dxa"/>
                  <w:tcBorders>
                    <w:tl2br w:val="nil"/>
                    <w:tr2bl w:val="nil"/>
                  </w:tcBorders>
                  <w:noWrap w:val="0"/>
                  <w:vAlign w:val="center"/>
                </w:tcPr>
                <w:p w14:paraId="1405C9DF">
                  <w:pPr>
                    <w:pStyle w:val="61"/>
                    <w:spacing w:beforeLines="0" w:afterLines="0"/>
                    <w:rPr>
                      <w:rFonts w:hint="default"/>
                      <w:lang w:val="en-US" w:eastAsia="zh-CN"/>
                    </w:rPr>
                  </w:pPr>
                  <w:r>
                    <w:rPr>
                      <w:rFonts w:hint="eastAsia"/>
                      <w:color w:val="auto"/>
                      <w:sz w:val="21"/>
                      <w:szCs w:val="21"/>
                    </w:rPr>
                    <w:t>4000</w:t>
                  </w:r>
                </w:p>
              </w:tc>
              <w:tc>
                <w:tcPr>
                  <w:tcW w:w="889" w:type="dxa"/>
                  <w:tcBorders>
                    <w:tl2br w:val="nil"/>
                    <w:tr2bl w:val="nil"/>
                  </w:tcBorders>
                  <w:noWrap w:val="0"/>
                  <w:vAlign w:val="center"/>
                </w:tcPr>
                <w:p w14:paraId="12A1601B">
                  <w:pPr>
                    <w:pStyle w:val="61"/>
                    <w:bidi w:val="0"/>
                    <w:rPr>
                      <w:rFonts w:hint="default"/>
                      <w:lang w:val="en-US" w:eastAsia="zh-CN"/>
                    </w:rPr>
                  </w:pPr>
                  <w:r>
                    <w:rPr>
                      <w:rFonts w:hint="eastAsia"/>
                      <w:lang w:val="en-US" w:eastAsia="zh-CN"/>
                    </w:rPr>
                    <w:t>13</w:t>
                  </w:r>
                </w:p>
              </w:tc>
              <w:tc>
                <w:tcPr>
                  <w:tcW w:w="1129" w:type="dxa"/>
                  <w:tcBorders>
                    <w:tl2br w:val="nil"/>
                    <w:tr2bl w:val="nil"/>
                  </w:tcBorders>
                  <w:noWrap w:val="0"/>
                  <w:vAlign w:val="center"/>
                </w:tcPr>
                <w:p w14:paraId="419F0BCF">
                  <w:pPr>
                    <w:pStyle w:val="40"/>
                    <w:keepLines w:val="0"/>
                    <w:pageBreakBefore w:val="0"/>
                    <w:kinsoku/>
                    <w:wordWrap/>
                    <w:topLinePunct w:val="0"/>
                    <w:autoSpaceDE/>
                    <w:autoSpaceDN/>
                    <w:bidi w:val="0"/>
                    <w:spacing w:beforeAutospacing="0" w:afterAutospacing="0"/>
                    <w:textAlignment w:val="auto"/>
                    <w:rPr>
                      <w:rFonts w:hint="eastAsia"/>
                    </w:rPr>
                  </w:pPr>
                  <w:r>
                    <w:rPr>
                      <w:rFonts w:hint="eastAsia"/>
                      <w:lang w:eastAsia="zh-CN"/>
                    </w:rPr>
                    <w:t>达标</w:t>
                  </w:r>
                </w:p>
              </w:tc>
            </w:tr>
            <w:tr w14:paraId="07D4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tcBorders>
                    <w:tl2br w:val="nil"/>
                    <w:tr2bl w:val="nil"/>
                  </w:tcBorders>
                  <w:noWrap w:val="0"/>
                  <w:vAlign w:val="center"/>
                </w:tcPr>
                <w:p w14:paraId="6DCB79D0">
                  <w:pPr>
                    <w:pStyle w:val="40"/>
                    <w:keepLines w:val="0"/>
                    <w:pageBreakBefore w:val="0"/>
                    <w:kinsoku/>
                    <w:wordWrap/>
                    <w:topLinePunct w:val="0"/>
                    <w:autoSpaceDE/>
                    <w:autoSpaceDN/>
                    <w:bidi w:val="0"/>
                    <w:spacing w:beforeAutospacing="0" w:afterAutospacing="0"/>
                    <w:textAlignment w:val="auto"/>
                  </w:pPr>
                  <w:r>
                    <w:rPr>
                      <w:rFonts w:hint="eastAsia"/>
                    </w:rPr>
                    <w:t>O</w:t>
                  </w:r>
                  <w:r>
                    <w:rPr>
                      <w:rFonts w:hint="eastAsia"/>
                      <w:vertAlign w:val="subscript"/>
                    </w:rPr>
                    <w:t>3</w:t>
                  </w:r>
                </w:p>
              </w:tc>
              <w:tc>
                <w:tcPr>
                  <w:tcW w:w="1479" w:type="pct"/>
                  <w:tcBorders>
                    <w:tl2br w:val="nil"/>
                    <w:tr2bl w:val="nil"/>
                  </w:tcBorders>
                  <w:noWrap w:val="0"/>
                  <w:vAlign w:val="center"/>
                </w:tcPr>
                <w:p w14:paraId="44F8B9F3">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最大8小时滑动平均值的第90百分位数</w:t>
                  </w:r>
                </w:p>
              </w:tc>
              <w:tc>
                <w:tcPr>
                  <w:tcW w:w="1318" w:type="dxa"/>
                  <w:tcBorders>
                    <w:tl2br w:val="nil"/>
                    <w:tr2bl w:val="nil"/>
                  </w:tcBorders>
                  <w:noWrap w:val="0"/>
                  <w:vAlign w:val="center"/>
                </w:tcPr>
                <w:p w14:paraId="759015EF">
                  <w:pPr>
                    <w:pStyle w:val="61"/>
                    <w:spacing w:beforeLines="0" w:afterLines="0"/>
                    <w:rPr>
                      <w:rFonts w:hint="default"/>
                      <w:lang w:val="en-US" w:eastAsia="zh-CN"/>
                    </w:rPr>
                  </w:pPr>
                  <w:r>
                    <w:rPr>
                      <w:rFonts w:hint="eastAsia"/>
                      <w:lang w:val="en-US" w:eastAsia="zh-CN"/>
                    </w:rPr>
                    <w:t>131</w:t>
                  </w:r>
                </w:p>
              </w:tc>
              <w:tc>
                <w:tcPr>
                  <w:tcW w:w="1396" w:type="dxa"/>
                  <w:tcBorders>
                    <w:tl2br w:val="nil"/>
                    <w:tr2bl w:val="nil"/>
                  </w:tcBorders>
                  <w:noWrap w:val="0"/>
                  <w:vAlign w:val="center"/>
                </w:tcPr>
                <w:p w14:paraId="2987DF07">
                  <w:pPr>
                    <w:pStyle w:val="61"/>
                    <w:spacing w:beforeLines="0" w:afterLines="0"/>
                  </w:pPr>
                  <w:r>
                    <w:rPr>
                      <w:rFonts w:hint="eastAsia"/>
                      <w:color w:val="auto"/>
                      <w:sz w:val="21"/>
                      <w:szCs w:val="21"/>
                    </w:rPr>
                    <w:t>160</w:t>
                  </w:r>
                </w:p>
              </w:tc>
              <w:tc>
                <w:tcPr>
                  <w:tcW w:w="889" w:type="dxa"/>
                  <w:tcBorders>
                    <w:tl2br w:val="nil"/>
                    <w:tr2bl w:val="nil"/>
                  </w:tcBorders>
                  <w:noWrap w:val="0"/>
                  <w:vAlign w:val="center"/>
                </w:tcPr>
                <w:p w14:paraId="736B80CC">
                  <w:pPr>
                    <w:pStyle w:val="61"/>
                    <w:bidi w:val="0"/>
                    <w:rPr>
                      <w:rFonts w:hint="default"/>
                      <w:lang w:val="en-US" w:eastAsia="zh-CN"/>
                    </w:rPr>
                  </w:pPr>
                  <w:r>
                    <w:rPr>
                      <w:rFonts w:hint="eastAsia"/>
                      <w:lang w:val="en-US" w:eastAsia="zh-CN"/>
                    </w:rPr>
                    <w:t>82</w:t>
                  </w:r>
                </w:p>
              </w:tc>
              <w:tc>
                <w:tcPr>
                  <w:tcW w:w="1129" w:type="dxa"/>
                  <w:tcBorders>
                    <w:tl2br w:val="nil"/>
                    <w:tr2bl w:val="nil"/>
                  </w:tcBorders>
                  <w:noWrap w:val="0"/>
                  <w:vAlign w:val="center"/>
                </w:tcPr>
                <w:p w14:paraId="7E9729EE">
                  <w:pPr>
                    <w:pStyle w:val="40"/>
                    <w:keepLines w:val="0"/>
                    <w:pageBreakBefore w:val="0"/>
                    <w:kinsoku/>
                    <w:wordWrap/>
                    <w:topLinePunct w:val="0"/>
                    <w:autoSpaceDE/>
                    <w:autoSpaceDN/>
                    <w:bidi w:val="0"/>
                    <w:spacing w:beforeAutospacing="0" w:afterAutospacing="0"/>
                    <w:textAlignment w:val="auto"/>
                    <w:rPr>
                      <w:rFonts w:hint="eastAsia"/>
                    </w:rPr>
                  </w:pPr>
                  <w:r>
                    <w:rPr>
                      <w:rFonts w:hint="eastAsia"/>
                      <w:lang w:eastAsia="zh-CN"/>
                    </w:rPr>
                    <w:t>达标</w:t>
                  </w:r>
                </w:p>
              </w:tc>
            </w:tr>
            <w:tr w14:paraId="74FA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49" w:type="pct"/>
                  <w:vMerge w:val="restart"/>
                  <w:tcBorders>
                    <w:tl2br w:val="nil"/>
                    <w:tr2bl w:val="nil"/>
                  </w:tcBorders>
                  <w:noWrap w:val="0"/>
                  <w:vAlign w:val="center"/>
                </w:tcPr>
                <w:p w14:paraId="1069006B">
                  <w:pPr>
                    <w:pStyle w:val="40"/>
                    <w:keepLines w:val="0"/>
                    <w:pageBreakBefore w:val="0"/>
                    <w:kinsoku/>
                    <w:wordWrap/>
                    <w:topLinePunct w:val="0"/>
                    <w:autoSpaceDE/>
                    <w:autoSpaceDN/>
                    <w:bidi w:val="0"/>
                    <w:spacing w:beforeAutospacing="0" w:afterAutospacing="0"/>
                    <w:textAlignment w:val="auto"/>
                  </w:pPr>
                  <w:r>
                    <w:rPr>
                      <w:rFonts w:hint="eastAsia"/>
                    </w:rPr>
                    <w:t>PM</w:t>
                  </w:r>
                  <w:r>
                    <w:rPr>
                      <w:rFonts w:hint="eastAsia"/>
                      <w:vertAlign w:val="subscript"/>
                    </w:rPr>
                    <w:t>10</w:t>
                  </w:r>
                </w:p>
              </w:tc>
              <w:tc>
                <w:tcPr>
                  <w:tcW w:w="1479" w:type="pct"/>
                  <w:tcBorders>
                    <w:tl2br w:val="nil"/>
                    <w:tr2bl w:val="nil"/>
                  </w:tcBorders>
                  <w:noWrap w:val="0"/>
                  <w:vAlign w:val="center"/>
                </w:tcPr>
                <w:p w14:paraId="07F475F6">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年平均</w:t>
                  </w:r>
                </w:p>
              </w:tc>
              <w:tc>
                <w:tcPr>
                  <w:tcW w:w="1318" w:type="dxa"/>
                  <w:tcBorders>
                    <w:tl2br w:val="nil"/>
                    <w:tr2bl w:val="nil"/>
                  </w:tcBorders>
                  <w:noWrap w:val="0"/>
                  <w:vAlign w:val="center"/>
                </w:tcPr>
                <w:p w14:paraId="2D180EE8">
                  <w:pPr>
                    <w:pStyle w:val="61"/>
                    <w:spacing w:beforeLines="0" w:afterLines="0"/>
                    <w:rPr>
                      <w:rFonts w:hint="default"/>
                      <w:lang w:val="en-US" w:eastAsia="zh-CN"/>
                    </w:rPr>
                  </w:pPr>
                  <w:r>
                    <w:rPr>
                      <w:rFonts w:hint="eastAsia"/>
                      <w:lang w:val="en-US" w:eastAsia="zh-CN"/>
                    </w:rPr>
                    <w:t>284</w:t>
                  </w:r>
                </w:p>
              </w:tc>
              <w:tc>
                <w:tcPr>
                  <w:tcW w:w="1396" w:type="dxa"/>
                  <w:tcBorders>
                    <w:tl2br w:val="nil"/>
                    <w:tr2bl w:val="nil"/>
                  </w:tcBorders>
                  <w:noWrap w:val="0"/>
                  <w:vAlign w:val="center"/>
                </w:tcPr>
                <w:p w14:paraId="2024FAC4">
                  <w:pPr>
                    <w:pStyle w:val="61"/>
                    <w:spacing w:beforeLines="0" w:afterLines="0"/>
                  </w:pPr>
                  <w:r>
                    <w:rPr>
                      <w:rFonts w:hint="eastAsia"/>
                      <w:color w:val="auto"/>
                      <w:sz w:val="21"/>
                      <w:szCs w:val="21"/>
                      <w:lang w:val="en-US" w:eastAsia="zh-CN"/>
                    </w:rPr>
                    <w:t>60</w:t>
                  </w:r>
                </w:p>
              </w:tc>
              <w:tc>
                <w:tcPr>
                  <w:tcW w:w="889" w:type="dxa"/>
                  <w:tcBorders>
                    <w:tl2br w:val="nil"/>
                    <w:tr2bl w:val="nil"/>
                  </w:tcBorders>
                  <w:noWrap w:val="0"/>
                  <w:vAlign w:val="center"/>
                </w:tcPr>
                <w:p w14:paraId="76494337">
                  <w:pPr>
                    <w:pStyle w:val="61"/>
                    <w:bidi w:val="0"/>
                    <w:rPr>
                      <w:rFonts w:hint="default"/>
                      <w:lang w:val="en-US" w:eastAsia="zh-CN"/>
                    </w:rPr>
                  </w:pPr>
                  <w:r>
                    <w:rPr>
                      <w:rFonts w:hint="eastAsia"/>
                      <w:lang w:val="en-US" w:eastAsia="zh-CN"/>
                    </w:rPr>
                    <w:t>473</w:t>
                  </w:r>
                </w:p>
              </w:tc>
              <w:tc>
                <w:tcPr>
                  <w:tcW w:w="1129" w:type="dxa"/>
                  <w:tcBorders>
                    <w:tl2br w:val="nil"/>
                    <w:tr2bl w:val="nil"/>
                  </w:tcBorders>
                  <w:noWrap w:val="0"/>
                  <w:vAlign w:val="center"/>
                </w:tcPr>
                <w:p w14:paraId="5FC6E7F4">
                  <w:pPr>
                    <w:pStyle w:val="40"/>
                    <w:keepLines w:val="0"/>
                    <w:pageBreakBefore w:val="0"/>
                    <w:kinsoku/>
                    <w:wordWrap/>
                    <w:topLinePunct w:val="0"/>
                    <w:autoSpaceDE/>
                    <w:autoSpaceDN/>
                    <w:bidi w:val="0"/>
                    <w:spacing w:beforeAutospacing="0" w:afterAutospacing="0"/>
                    <w:textAlignment w:val="auto"/>
                    <w:rPr>
                      <w:rFonts w:hint="eastAsia"/>
                    </w:rPr>
                  </w:pPr>
                  <w:r>
                    <w:rPr>
                      <w:rFonts w:hint="eastAsia"/>
                      <w:lang w:eastAsia="zh-CN"/>
                    </w:rPr>
                    <w:t>不达标</w:t>
                  </w:r>
                </w:p>
              </w:tc>
            </w:tr>
            <w:tr w14:paraId="443F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tcBorders>
                    <w:tl2br w:val="nil"/>
                    <w:tr2bl w:val="nil"/>
                  </w:tcBorders>
                  <w:noWrap w:val="0"/>
                  <w:vAlign w:val="center"/>
                </w:tcPr>
                <w:p w14:paraId="724DFE31">
                  <w:pPr>
                    <w:pStyle w:val="40"/>
                    <w:keepLines w:val="0"/>
                    <w:pageBreakBefore w:val="0"/>
                    <w:kinsoku/>
                    <w:wordWrap/>
                    <w:topLinePunct w:val="0"/>
                    <w:autoSpaceDE/>
                    <w:autoSpaceDN/>
                    <w:bidi w:val="0"/>
                    <w:spacing w:beforeAutospacing="0" w:afterAutospacing="0"/>
                    <w:textAlignment w:val="auto"/>
                  </w:pPr>
                </w:p>
              </w:tc>
              <w:tc>
                <w:tcPr>
                  <w:tcW w:w="1479" w:type="pct"/>
                  <w:tcBorders>
                    <w:tl2br w:val="nil"/>
                    <w:tr2bl w:val="nil"/>
                  </w:tcBorders>
                  <w:noWrap w:val="0"/>
                  <w:vAlign w:val="center"/>
                </w:tcPr>
                <w:p w14:paraId="073217C4">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24h平均第95百分位数</w:t>
                  </w:r>
                </w:p>
              </w:tc>
              <w:tc>
                <w:tcPr>
                  <w:tcW w:w="1318" w:type="dxa"/>
                  <w:tcBorders>
                    <w:tl2br w:val="nil"/>
                    <w:tr2bl w:val="nil"/>
                  </w:tcBorders>
                  <w:noWrap w:val="0"/>
                  <w:vAlign w:val="center"/>
                </w:tcPr>
                <w:p w14:paraId="6FCB2630">
                  <w:pPr>
                    <w:pStyle w:val="61"/>
                    <w:spacing w:beforeLines="0" w:afterLines="0"/>
                    <w:rPr>
                      <w:rFonts w:hint="default"/>
                      <w:lang w:val="en-US" w:eastAsia="zh-CN"/>
                    </w:rPr>
                  </w:pPr>
                  <w:r>
                    <w:rPr>
                      <w:rFonts w:hint="eastAsia"/>
                      <w:lang w:val="en-US" w:eastAsia="zh-CN"/>
                    </w:rPr>
                    <w:t>876</w:t>
                  </w:r>
                </w:p>
              </w:tc>
              <w:tc>
                <w:tcPr>
                  <w:tcW w:w="1396" w:type="dxa"/>
                  <w:tcBorders>
                    <w:tl2br w:val="nil"/>
                    <w:tr2bl w:val="nil"/>
                  </w:tcBorders>
                  <w:noWrap w:val="0"/>
                  <w:vAlign w:val="center"/>
                </w:tcPr>
                <w:p w14:paraId="3130CE2B">
                  <w:pPr>
                    <w:pStyle w:val="61"/>
                    <w:spacing w:beforeLines="0" w:afterLines="0"/>
                  </w:pPr>
                  <w:r>
                    <w:rPr>
                      <w:rFonts w:hint="eastAsia"/>
                      <w:lang w:val="en-US" w:eastAsia="zh-CN"/>
                    </w:rPr>
                    <w:t>120</w:t>
                  </w:r>
                </w:p>
              </w:tc>
              <w:tc>
                <w:tcPr>
                  <w:tcW w:w="889" w:type="dxa"/>
                  <w:tcBorders>
                    <w:tl2br w:val="nil"/>
                    <w:tr2bl w:val="nil"/>
                  </w:tcBorders>
                  <w:noWrap w:val="0"/>
                  <w:vAlign w:val="center"/>
                </w:tcPr>
                <w:p w14:paraId="3BF4BCCE">
                  <w:pPr>
                    <w:pStyle w:val="61"/>
                    <w:bidi w:val="0"/>
                    <w:rPr>
                      <w:rFonts w:hint="default"/>
                      <w:lang w:val="en-US" w:eastAsia="zh-CN"/>
                    </w:rPr>
                  </w:pPr>
                  <w:r>
                    <w:rPr>
                      <w:rFonts w:hint="eastAsia"/>
                      <w:lang w:val="en-US" w:eastAsia="zh-CN"/>
                    </w:rPr>
                    <w:t>730</w:t>
                  </w:r>
                </w:p>
              </w:tc>
              <w:tc>
                <w:tcPr>
                  <w:tcW w:w="1129" w:type="dxa"/>
                  <w:tcBorders>
                    <w:tl2br w:val="nil"/>
                    <w:tr2bl w:val="nil"/>
                  </w:tcBorders>
                  <w:noWrap w:val="0"/>
                  <w:vAlign w:val="center"/>
                </w:tcPr>
                <w:p w14:paraId="35923824">
                  <w:pPr>
                    <w:pStyle w:val="40"/>
                    <w:keepLines w:val="0"/>
                    <w:pageBreakBefore w:val="0"/>
                    <w:kinsoku/>
                    <w:wordWrap/>
                    <w:topLinePunct w:val="0"/>
                    <w:autoSpaceDE/>
                    <w:autoSpaceDN/>
                    <w:bidi w:val="0"/>
                    <w:spacing w:beforeAutospacing="0" w:afterAutospacing="0"/>
                    <w:textAlignment w:val="auto"/>
                    <w:rPr>
                      <w:rFonts w:hint="eastAsia"/>
                    </w:rPr>
                  </w:pPr>
                  <w:r>
                    <w:rPr>
                      <w:rFonts w:hint="eastAsia"/>
                      <w:lang w:eastAsia="zh-CN"/>
                    </w:rPr>
                    <w:t>不达标</w:t>
                  </w:r>
                </w:p>
              </w:tc>
            </w:tr>
            <w:tr w14:paraId="56AE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restart"/>
                  <w:tcBorders>
                    <w:tl2br w:val="nil"/>
                    <w:tr2bl w:val="nil"/>
                  </w:tcBorders>
                  <w:noWrap w:val="0"/>
                  <w:vAlign w:val="center"/>
                </w:tcPr>
                <w:p w14:paraId="55E84F9C">
                  <w:pPr>
                    <w:pStyle w:val="40"/>
                    <w:keepLines w:val="0"/>
                    <w:pageBreakBefore w:val="0"/>
                    <w:kinsoku/>
                    <w:wordWrap/>
                    <w:topLinePunct w:val="0"/>
                    <w:autoSpaceDE/>
                    <w:autoSpaceDN/>
                    <w:bidi w:val="0"/>
                    <w:spacing w:beforeAutospacing="0" w:afterAutospacing="0"/>
                    <w:textAlignment w:val="auto"/>
                  </w:pPr>
                  <w:r>
                    <w:rPr>
                      <w:rFonts w:hint="eastAsia"/>
                    </w:rPr>
                    <w:t>PM</w:t>
                  </w:r>
                  <w:r>
                    <w:rPr>
                      <w:rFonts w:hint="eastAsia"/>
                      <w:vertAlign w:val="subscript"/>
                    </w:rPr>
                    <w:t>2.5</w:t>
                  </w:r>
                </w:p>
              </w:tc>
              <w:tc>
                <w:tcPr>
                  <w:tcW w:w="1479" w:type="pct"/>
                  <w:tcBorders>
                    <w:tl2br w:val="nil"/>
                    <w:tr2bl w:val="nil"/>
                  </w:tcBorders>
                  <w:noWrap w:val="0"/>
                  <w:vAlign w:val="center"/>
                </w:tcPr>
                <w:p w14:paraId="43888540">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年平均</w:t>
                  </w:r>
                </w:p>
              </w:tc>
              <w:tc>
                <w:tcPr>
                  <w:tcW w:w="1318" w:type="dxa"/>
                  <w:tcBorders>
                    <w:tl2br w:val="nil"/>
                    <w:tr2bl w:val="nil"/>
                  </w:tcBorders>
                  <w:noWrap w:val="0"/>
                  <w:vAlign w:val="center"/>
                </w:tcPr>
                <w:p w14:paraId="4E610178">
                  <w:pPr>
                    <w:pStyle w:val="61"/>
                    <w:spacing w:beforeLines="0" w:afterLines="0"/>
                    <w:rPr>
                      <w:rFonts w:hint="default"/>
                      <w:lang w:val="en-US" w:eastAsia="zh-CN"/>
                    </w:rPr>
                  </w:pPr>
                  <w:r>
                    <w:rPr>
                      <w:rFonts w:hint="eastAsia"/>
                      <w:lang w:val="en-US" w:eastAsia="zh-CN"/>
                    </w:rPr>
                    <w:t>94</w:t>
                  </w:r>
                </w:p>
              </w:tc>
              <w:tc>
                <w:tcPr>
                  <w:tcW w:w="1396" w:type="dxa"/>
                  <w:tcBorders>
                    <w:tl2br w:val="nil"/>
                    <w:tr2bl w:val="nil"/>
                  </w:tcBorders>
                  <w:noWrap w:val="0"/>
                  <w:vAlign w:val="center"/>
                </w:tcPr>
                <w:p w14:paraId="5CEF8DAB">
                  <w:pPr>
                    <w:pStyle w:val="61"/>
                    <w:spacing w:beforeLines="0" w:afterLines="0"/>
                  </w:pPr>
                  <w:r>
                    <w:rPr>
                      <w:rFonts w:hint="eastAsia"/>
                      <w:lang w:val="en-US" w:eastAsia="zh-CN"/>
                    </w:rPr>
                    <w:t>30</w:t>
                  </w:r>
                </w:p>
              </w:tc>
              <w:tc>
                <w:tcPr>
                  <w:tcW w:w="889" w:type="dxa"/>
                  <w:tcBorders>
                    <w:tl2br w:val="nil"/>
                    <w:tr2bl w:val="nil"/>
                  </w:tcBorders>
                  <w:noWrap w:val="0"/>
                  <w:vAlign w:val="center"/>
                </w:tcPr>
                <w:p w14:paraId="42914708">
                  <w:pPr>
                    <w:pStyle w:val="61"/>
                    <w:bidi w:val="0"/>
                    <w:rPr>
                      <w:rFonts w:hint="default"/>
                      <w:lang w:val="en-US" w:eastAsia="zh-CN"/>
                    </w:rPr>
                  </w:pPr>
                  <w:r>
                    <w:rPr>
                      <w:rFonts w:hint="eastAsia"/>
                      <w:lang w:val="en-US" w:eastAsia="zh-CN"/>
                    </w:rPr>
                    <w:t>313</w:t>
                  </w:r>
                </w:p>
              </w:tc>
              <w:tc>
                <w:tcPr>
                  <w:tcW w:w="1129" w:type="dxa"/>
                  <w:tcBorders>
                    <w:tl2br w:val="nil"/>
                    <w:tr2bl w:val="nil"/>
                  </w:tcBorders>
                  <w:noWrap w:val="0"/>
                  <w:vAlign w:val="center"/>
                </w:tcPr>
                <w:p w14:paraId="1051DCBF">
                  <w:pPr>
                    <w:pStyle w:val="40"/>
                    <w:keepLines w:val="0"/>
                    <w:pageBreakBefore w:val="0"/>
                    <w:kinsoku/>
                    <w:wordWrap/>
                    <w:topLinePunct w:val="0"/>
                    <w:autoSpaceDE/>
                    <w:autoSpaceDN/>
                    <w:bidi w:val="0"/>
                    <w:spacing w:beforeAutospacing="0" w:afterAutospacing="0"/>
                    <w:textAlignment w:val="auto"/>
                    <w:rPr>
                      <w:rFonts w:hint="eastAsia"/>
                    </w:rPr>
                  </w:pPr>
                  <w:r>
                    <w:rPr>
                      <w:rFonts w:hint="eastAsia"/>
                      <w:lang w:eastAsia="zh-CN"/>
                    </w:rPr>
                    <w:t>不达标</w:t>
                  </w:r>
                </w:p>
              </w:tc>
            </w:tr>
            <w:tr w14:paraId="24F6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tcBorders>
                    <w:tl2br w:val="nil"/>
                    <w:tr2bl w:val="nil"/>
                  </w:tcBorders>
                  <w:noWrap w:val="0"/>
                  <w:vAlign w:val="center"/>
                </w:tcPr>
                <w:p w14:paraId="6336309D">
                  <w:pPr>
                    <w:pStyle w:val="40"/>
                    <w:keepLines w:val="0"/>
                    <w:pageBreakBefore w:val="0"/>
                    <w:kinsoku/>
                    <w:wordWrap/>
                    <w:topLinePunct w:val="0"/>
                    <w:autoSpaceDE/>
                    <w:autoSpaceDN/>
                    <w:bidi w:val="0"/>
                    <w:spacing w:beforeAutospacing="0" w:afterAutospacing="0"/>
                    <w:textAlignment w:val="auto"/>
                  </w:pPr>
                </w:p>
              </w:tc>
              <w:tc>
                <w:tcPr>
                  <w:tcW w:w="1479" w:type="pct"/>
                  <w:tcBorders>
                    <w:tl2br w:val="nil"/>
                    <w:tr2bl w:val="nil"/>
                  </w:tcBorders>
                  <w:noWrap w:val="0"/>
                  <w:vAlign w:val="center"/>
                </w:tcPr>
                <w:p w14:paraId="473ACFB8">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24h平均第95百分位数</w:t>
                  </w:r>
                </w:p>
              </w:tc>
              <w:tc>
                <w:tcPr>
                  <w:tcW w:w="1318" w:type="dxa"/>
                  <w:tcBorders>
                    <w:tl2br w:val="nil"/>
                    <w:tr2bl w:val="nil"/>
                  </w:tcBorders>
                  <w:noWrap w:val="0"/>
                  <w:vAlign w:val="center"/>
                </w:tcPr>
                <w:p w14:paraId="710B32A2">
                  <w:pPr>
                    <w:pStyle w:val="61"/>
                    <w:spacing w:beforeLines="0" w:afterLines="0"/>
                    <w:rPr>
                      <w:rFonts w:hint="default"/>
                      <w:lang w:val="en-US" w:eastAsia="zh-CN"/>
                    </w:rPr>
                  </w:pPr>
                  <w:r>
                    <w:rPr>
                      <w:rFonts w:hint="eastAsia"/>
                      <w:lang w:val="en-US" w:eastAsia="zh-CN"/>
                    </w:rPr>
                    <w:t>320</w:t>
                  </w:r>
                </w:p>
              </w:tc>
              <w:tc>
                <w:tcPr>
                  <w:tcW w:w="1396" w:type="dxa"/>
                  <w:tcBorders>
                    <w:tl2br w:val="nil"/>
                    <w:tr2bl w:val="nil"/>
                  </w:tcBorders>
                  <w:noWrap w:val="0"/>
                  <w:vAlign w:val="center"/>
                </w:tcPr>
                <w:p w14:paraId="61775639">
                  <w:pPr>
                    <w:pStyle w:val="61"/>
                    <w:spacing w:beforeLines="0" w:afterLines="0"/>
                  </w:pPr>
                  <w:r>
                    <w:rPr>
                      <w:rFonts w:hint="eastAsia"/>
                      <w:lang w:val="en-US" w:eastAsia="zh-CN"/>
                    </w:rPr>
                    <w:t>60</w:t>
                  </w:r>
                </w:p>
              </w:tc>
              <w:tc>
                <w:tcPr>
                  <w:tcW w:w="889" w:type="dxa"/>
                  <w:tcBorders>
                    <w:tl2br w:val="nil"/>
                    <w:tr2bl w:val="nil"/>
                  </w:tcBorders>
                  <w:noWrap w:val="0"/>
                  <w:vAlign w:val="center"/>
                </w:tcPr>
                <w:p w14:paraId="210ED13F">
                  <w:pPr>
                    <w:pStyle w:val="61"/>
                    <w:bidi w:val="0"/>
                    <w:rPr>
                      <w:rFonts w:hint="default"/>
                      <w:lang w:val="en-US" w:eastAsia="zh-CN"/>
                    </w:rPr>
                  </w:pPr>
                  <w:r>
                    <w:rPr>
                      <w:rFonts w:hint="eastAsia"/>
                      <w:lang w:val="en-US" w:eastAsia="zh-CN"/>
                    </w:rPr>
                    <w:t>533</w:t>
                  </w:r>
                </w:p>
              </w:tc>
              <w:tc>
                <w:tcPr>
                  <w:tcW w:w="1129" w:type="dxa"/>
                  <w:tcBorders>
                    <w:tl2br w:val="nil"/>
                    <w:tr2bl w:val="nil"/>
                  </w:tcBorders>
                  <w:noWrap w:val="0"/>
                  <w:vAlign w:val="center"/>
                </w:tcPr>
                <w:p w14:paraId="278569F3">
                  <w:pPr>
                    <w:pStyle w:val="40"/>
                    <w:keepLines w:val="0"/>
                    <w:pageBreakBefore w:val="0"/>
                    <w:kinsoku/>
                    <w:wordWrap/>
                    <w:topLinePunct w:val="0"/>
                    <w:autoSpaceDE/>
                    <w:autoSpaceDN/>
                    <w:bidi w:val="0"/>
                    <w:spacing w:beforeAutospacing="0" w:afterAutospacing="0"/>
                    <w:textAlignment w:val="auto"/>
                    <w:rPr>
                      <w:rFonts w:hint="eastAsia"/>
                    </w:rPr>
                  </w:pPr>
                  <w:r>
                    <w:rPr>
                      <w:rFonts w:hint="eastAsia"/>
                      <w:lang w:eastAsia="zh-CN"/>
                    </w:rPr>
                    <w:t>不达标</w:t>
                  </w:r>
                </w:p>
              </w:tc>
            </w:tr>
          </w:tbl>
          <w:p w14:paraId="610AF12F">
            <w:pPr>
              <w:pStyle w:val="8"/>
              <w:keepLines w:val="0"/>
              <w:pageBreakBefore w:val="0"/>
              <w:kinsoku/>
              <w:wordWrap/>
              <w:topLinePunct w:val="0"/>
              <w:autoSpaceDE/>
              <w:autoSpaceDN/>
              <w:bidi w:val="0"/>
              <w:spacing w:beforeAutospacing="0" w:afterAutospacing="0"/>
              <w:textAlignment w:val="auto"/>
              <w:rPr>
                <w:rFonts w:hint="default"/>
                <w:lang w:eastAsia="zh-CN"/>
              </w:rPr>
            </w:pPr>
            <w:r>
              <w:rPr>
                <w:rFonts w:hint="eastAsia"/>
                <w:lang w:val="en-US" w:eastAsia="zh-CN"/>
              </w:rPr>
              <w:t>本项目所在区域PM</w:t>
            </w:r>
            <w:r>
              <w:rPr>
                <w:rFonts w:hint="eastAsia"/>
                <w:vertAlign w:val="subscript"/>
                <w:lang w:val="en-US" w:eastAsia="zh-CN"/>
              </w:rPr>
              <w:t>2.5</w:t>
            </w:r>
            <w:r>
              <w:rPr>
                <w:rFonts w:hint="eastAsia"/>
                <w:lang w:val="en-US" w:eastAsia="zh-CN"/>
              </w:rPr>
              <w:t>、</w:t>
            </w:r>
            <w:r>
              <w:rPr>
                <w:rFonts w:hint="default"/>
                <w:lang w:val="en-US" w:eastAsia="zh-CN"/>
              </w:rPr>
              <w:t>PM</w:t>
            </w:r>
            <w:r>
              <w:rPr>
                <w:rFonts w:hint="default"/>
                <w:vertAlign w:val="subscript"/>
                <w:lang w:val="en-US" w:eastAsia="zh-CN"/>
              </w:rPr>
              <w:t>10</w:t>
            </w:r>
            <w:r>
              <w:rPr>
                <w:rFonts w:hint="eastAsia"/>
                <w:lang w:val="en-US" w:eastAsia="zh-CN"/>
              </w:rPr>
              <w:t>年平均和24h平均第95百分位数浓度超过《环境空气质量标准》（GB3095-2026）过渡阶段的二级标准要求，SO</w:t>
            </w:r>
            <w:r>
              <w:rPr>
                <w:rFonts w:hint="eastAsia"/>
                <w:vertAlign w:val="subscript"/>
                <w:lang w:val="en-US" w:eastAsia="zh-CN"/>
              </w:rPr>
              <w:t>2</w:t>
            </w:r>
            <w:r>
              <w:rPr>
                <w:rFonts w:hint="eastAsia"/>
                <w:lang w:val="en-US" w:eastAsia="zh-CN"/>
              </w:rPr>
              <w:t>、NO</w:t>
            </w:r>
            <w:r>
              <w:rPr>
                <w:rFonts w:hint="eastAsia"/>
                <w:vertAlign w:val="subscript"/>
                <w:lang w:val="en-US" w:eastAsia="zh-CN"/>
              </w:rPr>
              <w:t>2</w:t>
            </w:r>
            <w:r>
              <w:rPr>
                <w:rFonts w:hint="eastAsia"/>
                <w:lang w:val="en-US" w:eastAsia="zh-CN"/>
              </w:rPr>
              <w:t>、CO、O</w:t>
            </w:r>
            <w:r>
              <w:rPr>
                <w:rFonts w:hint="eastAsia"/>
                <w:vertAlign w:val="subscript"/>
                <w:lang w:val="en-US" w:eastAsia="zh-CN"/>
              </w:rPr>
              <w:t>3</w:t>
            </w:r>
            <w:r>
              <w:rPr>
                <w:rFonts w:hint="eastAsia"/>
                <w:lang w:val="en-US" w:eastAsia="zh-CN"/>
              </w:rPr>
              <w:t>等其他监测指标均满足二级标准。PM</w:t>
            </w:r>
            <w:r>
              <w:rPr>
                <w:rFonts w:hint="eastAsia"/>
                <w:vertAlign w:val="subscript"/>
                <w:lang w:val="en-US" w:eastAsia="zh-CN"/>
              </w:rPr>
              <w:t>10</w:t>
            </w:r>
            <w:r>
              <w:rPr>
                <w:rFonts w:hint="eastAsia"/>
                <w:lang w:val="en-US" w:eastAsia="zh-CN"/>
              </w:rPr>
              <w:t>、PM</w:t>
            </w:r>
            <w:r>
              <w:rPr>
                <w:rFonts w:hint="eastAsia"/>
                <w:vertAlign w:val="subscript"/>
                <w:lang w:val="en-US" w:eastAsia="zh-CN"/>
              </w:rPr>
              <w:t>2.5</w:t>
            </w:r>
            <w:r>
              <w:rPr>
                <w:rFonts w:hint="eastAsia"/>
                <w:lang w:val="en-US" w:eastAsia="zh-CN"/>
              </w:rPr>
              <w:t>超标主要与当地气候条件和地理位置有关，评价区大气由于受当地干旱气候的影响，空气中</w:t>
            </w:r>
            <w:r>
              <w:rPr>
                <w:rFonts w:hint="default"/>
                <w:lang w:val="en-US" w:eastAsia="zh-CN"/>
              </w:rPr>
              <w:t>PM</w:t>
            </w:r>
            <w:r>
              <w:rPr>
                <w:rFonts w:hint="default"/>
                <w:vertAlign w:val="subscript"/>
                <w:lang w:val="en-US" w:eastAsia="zh-CN"/>
              </w:rPr>
              <w:t>2.5</w:t>
            </w:r>
            <w:r>
              <w:rPr>
                <w:rFonts w:hint="eastAsia"/>
                <w:lang w:val="en-US" w:eastAsia="zh-CN"/>
              </w:rPr>
              <w:t>、</w:t>
            </w:r>
            <w:r>
              <w:rPr>
                <w:rFonts w:hint="default"/>
                <w:lang w:val="en-US" w:eastAsia="zh-CN"/>
              </w:rPr>
              <w:t>PM</w:t>
            </w:r>
            <w:r>
              <w:rPr>
                <w:rFonts w:hint="default"/>
                <w:vertAlign w:val="subscript"/>
                <w:lang w:val="en-US" w:eastAsia="zh-CN"/>
              </w:rPr>
              <w:t>10</w:t>
            </w:r>
            <w:r>
              <w:rPr>
                <w:rFonts w:hint="eastAsia"/>
                <w:lang w:val="en-US" w:eastAsia="zh-CN"/>
              </w:rPr>
              <w:t>的本底值偏高，尤其在沙尘暴和浮尘天气，会出现严重超标。</w:t>
            </w:r>
            <w:r>
              <w:rPr>
                <w:rFonts w:hint="default"/>
                <w:lang w:eastAsia="zh-CN"/>
              </w:rPr>
              <w:t>因此，项目所在区域为不达标区。</w:t>
            </w:r>
          </w:p>
          <w:p w14:paraId="76B218DF">
            <w:pPr>
              <w:pStyle w:val="2"/>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1.2其他污染物质量现状</w:t>
            </w:r>
          </w:p>
          <w:p w14:paraId="28F976DA">
            <w:pPr>
              <w:pStyle w:val="8"/>
              <w:keepLines w:val="0"/>
              <w:pageBreakBefore w:val="0"/>
              <w:kinsoku/>
              <w:wordWrap/>
              <w:topLinePunct w:val="0"/>
              <w:autoSpaceDE/>
              <w:autoSpaceDN/>
              <w:bidi w:val="0"/>
              <w:spacing w:beforeAutospacing="0" w:afterAutospacing="0"/>
              <w:textAlignment w:val="auto"/>
              <w:rPr>
                <w:rFonts w:hint="eastAsia"/>
                <w:lang w:eastAsia="zh-CN"/>
              </w:rPr>
            </w:pPr>
            <w:r>
              <w:rPr>
                <w:rFonts w:hint="eastAsia"/>
                <w:lang w:val="en-US" w:eastAsia="zh-CN"/>
              </w:rPr>
              <w:t>根据《建设项目环境影响报告表编制技术指南（污染影响类）（试行）》，排放国家、地方环境空气质量标准中有标准限值要求的特征污染物时，引用建设项目周边5千米范围内近3年的现有监测数据</w:t>
            </w:r>
            <w:r>
              <w:rPr>
                <w:rFonts w:hint="eastAsia"/>
                <w:lang w:eastAsia="zh-CN"/>
              </w:rPr>
              <w:t>。</w:t>
            </w:r>
          </w:p>
          <w:p w14:paraId="4577EADA">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本项目引用新疆中测测试有限责任公司于2023年8月1日至8月4日关于《若羌县泰胜风能装备有限公司若羌风机塔筒生产基地》中TSP的监测数据（位于本项目</w:t>
            </w:r>
            <w:r>
              <w:rPr>
                <w:rFonts w:hint="eastAsia"/>
                <w:lang w:val="en-US" w:eastAsia="zh-CN"/>
              </w:rPr>
              <w:t>东</w:t>
            </w:r>
            <w:r>
              <w:rPr>
                <w:rFonts w:hint="default"/>
                <w:highlight w:val="none"/>
                <w:lang w:val="en-US" w:eastAsia="zh-CN"/>
              </w:rPr>
              <w:t>南侧约</w:t>
            </w:r>
            <w:r>
              <w:rPr>
                <w:rFonts w:hint="eastAsia"/>
                <w:highlight w:val="none"/>
                <w:lang w:val="en-US" w:eastAsia="zh-CN"/>
              </w:rPr>
              <w:t>1.1k</w:t>
            </w:r>
            <w:r>
              <w:rPr>
                <w:rFonts w:hint="default"/>
                <w:highlight w:val="none"/>
                <w:lang w:val="en-US" w:eastAsia="zh-CN"/>
              </w:rPr>
              <w:t>m</w:t>
            </w:r>
            <w:r>
              <w:rPr>
                <w:rFonts w:hint="default"/>
                <w:lang w:val="en-US" w:eastAsia="zh-CN"/>
              </w:rPr>
              <w:t>处）。</w:t>
            </w:r>
          </w:p>
          <w:p w14:paraId="75368165">
            <w:pPr>
              <w:pStyle w:val="44"/>
              <w:numPr>
                <w:ilvl w:val="0"/>
                <w:numId w:val="0"/>
              </w:numPr>
              <w:bidi w:val="0"/>
              <w:ind w:firstLine="480" w:firstLineChars="200"/>
              <w:rPr>
                <w:rFonts w:hint="default"/>
                <w:lang w:val="en-US" w:eastAsia="zh-CN"/>
              </w:rPr>
            </w:pPr>
            <w:r>
              <w:rPr>
                <w:rFonts w:hint="default" w:ascii="Times New Roman" w:hAnsi="Times New Roman" w:eastAsia="宋体" w:cs="宋体"/>
                <w:kern w:val="0"/>
                <w:sz w:val="24"/>
                <w:szCs w:val="24"/>
                <w:lang w:val="en-US" w:eastAsia="zh-CN" w:bidi="ar-SA"/>
              </w:rPr>
              <w:t>（1）</w:t>
            </w:r>
            <w:r>
              <w:rPr>
                <w:rFonts w:hint="eastAsia"/>
                <w:lang w:val="en-US" w:eastAsia="zh-CN"/>
              </w:rPr>
              <w:t>监测项目、监测频次</w:t>
            </w:r>
          </w:p>
          <w:p w14:paraId="1E7FCC92">
            <w:pPr>
              <w:pStyle w:val="44"/>
              <w:bidi w:val="0"/>
              <w:rPr>
                <w:rFonts w:hint="eastAsia"/>
                <w:lang w:val="en-US" w:eastAsia="zh-CN"/>
              </w:rPr>
            </w:pPr>
            <w:r>
              <w:rPr>
                <w:rFonts w:hint="eastAsia"/>
                <w:lang w:val="en-US" w:eastAsia="zh-CN"/>
              </w:rPr>
              <w:t>监测项目：TSP。</w:t>
            </w:r>
          </w:p>
          <w:p w14:paraId="3510DB72">
            <w:pPr>
              <w:pStyle w:val="44"/>
              <w:bidi w:val="0"/>
              <w:rPr>
                <w:rFonts w:hint="eastAsia"/>
                <w:lang w:val="en-US" w:eastAsia="zh-CN"/>
              </w:rPr>
            </w:pPr>
            <w:r>
              <w:rPr>
                <w:rFonts w:hint="eastAsia"/>
                <w:lang w:val="en-US" w:eastAsia="zh-CN"/>
              </w:rPr>
              <w:t>监测频率：连续采样3天。</w:t>
            </w:r>
          </w:p>
          <w:p w14:paraId="603AA21B">
            <w:pPr>
              <w:pStyle w:val="44"/>
              <w:numPr>
                <w:ilvl w:val="0"/>
                <w:numId w:val="0"/>
              </w:numPr>
              <w:bidi w:val="0"/>
              <w:ind w:left="0" w:leftChars="0" w:firstLine="480" w:firstLineChars="200"/>
              <w:rPr>
                <w:rFonts w:hint="eastAsia"/>
                <w:lang w:val="en-US" w:eastAsia="zh-CN"/>
              </w:rPr>
            </w:pPr>
            <w:r>
              <w:rPr>
                <w:rFonts w:hint="eastAsia" w:ascii="Times New Roman" w:hAnsi="Times New Roman" w:eastAsia="宋体" w:cs="宋体"/>
                <w:kern w:val="0"/>
                <w:sz w:val="24"/>
                <w:szCs w:val="24"/>
                <w:lang w:val="en-US" w:eastAsia="zh-CN" w:bidi="ar-SA"/>
              </w:rPr>
              <w:t>（2）</w:t>
            </w:r>
            <w:r>
              <w:rPr>
                <w:rFonts w:hint="eastAsia"/>
                <w:lang w:val="en-US" w:eastAsia="zh-CN"/>
              </w:rPr>
              <w:t>采样分析方法、评价标准及方法</w:t>
            </w:r>
          </w:p>
          <w:p w14:paraId="0D6DDB28">
            <w:pPr>
              <w:pStyle w:val="44"/>
              <w:bidi w:val="0"/>
              <w:rPr>
                <w:rFonts w:hint="eastAsia"/>
                <w:lang w:val="en-US" w:eastAsia="zh-CN"/>
              </w:rPr>
            </w:pPr>
            <w:r>
              <w:rPr>
                <w:rFonts w:hint="eastAsia"/>
                <w:lang w:val="en-US" w:eastAsia="zh-CN"/>
              </w:rPr>
              <w:t>采样和分析方法：依据国家环保局颁布的《环境监测技术规范》（大气部分）和《空气和废气监测分析方法》进行监测。</w:t>
            </w:r>
          </w:p>
          <w:p w14:paraId="0DC28470">
            <w:pPr>
              <w:pStyle w:val="44"/>
              <w:bidi w:val="0"/>
              <w:rPr>
                <w:rFonts w:hint="eastAsia"/>
                <w:lang w:val="en-US" w:eastAsia="zh-CN"/>
              </w:rPr>
            </w:pPr>
            <w:r>
              <w:rPr>
                <w:rFonts w:hint="eastAsia"/>
                <w:lang w:val="en-US" w:eastAsia="zh-CN"/>
              </w:rPr>
              <w:t>评价标准：TSP执行《环境空气质量标准》（GB3095-2026）过渡阶段的二级标准。</w:t>
            </w:r>
          </w:p>
          <w:p w14:paraId="6395F0D8">
            <w:pPr>
              <w:pStyle w:val="8"/>
              <w:bidi w:val="0"/>
            </w:pPr>
            <w:r>
              <w:rPr>
                <w:rFonts w:hint="eastAsia"/>
                <w:lang w:val="en-US" w:eastAsia="zh-CN"/>
              </w:rPr>
              <w:t>评价方法：本次大气环境质量现状评价采用</w:t>
            </w:r>
            <w:r>
              <w:t>最大占标百分比，计算公式如下：</w:t>
            </w:r>
          </w:p>
          <w:p w14:paraId="377B1FF4">
            <w:pPr>
              <w:pStyle w:val="8"/>
              <w:bidi w:val="0"/>
            </w:pPr>
            <w:r>
              <w:t>Pi=Ci/Coi</w:t>
            </w:r>
          </w:p>
          <w:p w14:paraId="301E825D">
            <w:pPr>
              <w:pStyle w:val="8"/>
              <w:bidi w:val="0"/>
            </w:pPr>
            <w:r>
              <w:t>式中：Pi——i评价因子最大浓度占标率；</w:t>
            </w:r>
          </w:p>
          <w:p w14:paraId="013DD320">
            <w:pPr>
              <w:pStyle w:val="8"/>
              <w:bidi w:val="0"/>
            </w:pPr>
            <w:r>
              <w:t>Ci——i评价因子的最大监测浓度（mg/m</w:t>
            </w:r>
            <w:r>
              <w:rPr>
                <w:vertAlign w:val="superscript"/>
              </w:rPr>
              <w:t>3</w:t>
            </w:r>
            <w:r>
              <w:t>）；</w:t>
            </w:r>
          </w:p>
          <w:p w14:paraId="0080603E">
            <w:pPr>
              <w:pStyle w:val="8"/>
              <w:bidi w:val="0"/>
            </w:pPr>
            <w:r>
              <w:t>Coi——i评价因子的评价标准（mg/m</w:t>
            </w:r>
            <w:r>
              <w:rPr>
                <w:vertAlign w:val="superscript"/>
              </w:rPr>
              <w:t>3</w:t>
            </w:r>
            <w:r>
              <w:t>）</w:t>
            </w:r>
          </w:p>
          <w:p w14:paraId="4EC9193C">
            <w:pPr>
              <w:pStyle w:val="44"/>
              <w:numPr>
                <w:ilvl w:val="0"/>
                <w:numId w:val="0"/>
              </w:numPr>
              <w:bidi w:val="0"/>
              <w:ind w:left="0" w:leftChars="0" w:firstLine="480" w:firstLineChars="200"/>
              <w:rPr>
                <w:rFonts w:hint="eastAsia"/>
                <w:lang w:val="en-US" w:eastAsia="zh-CN"/>
              </w:rPr>
            </w:pPr>
            <w:r>
              <w:rPr>
                <w:rFonts w:hint="eastAsia" w:ascii="Times New Roman" w:hAnsi="Times New Roman" w:eastAsia="宋体" w:cs="宋体"/>
                <w:kern w:val="0"/>
                <w:sz w:val="24"/>
                <w:szCs w:val="24"/>
                <w:lang w:val="en-US" w:eastAsia="zh-CN" w:bidi="ar-SA"/>
              </w:rPr>
              <w:t>（</w:t>
            </w:r>
            <w:r>
              <w:rPr>
                <w:rFonts w:hint="eastAsia" w:cs="宋体"/>
                <w:kern w:val="0"/>
                <w:sz w:val="24"/>
                <w:szCs w:val="24"/>
                <w:lang w:val="en-US" w:eastAsia="zh-CN" w:bidi="ar-SA"/>
              </w:rPr>
              <w:t>3</w:t>
            </w:r>
            <w:r>
              <w:rPr>
                <w:rFonts w:hint="eastAsia" w:ascii="Times New Roman" w:hAnsi="Times New Roman" w:eastAsia="宋体" w:cs="宋体"/>
                <w:kern w:val="0"/>
                <w:sz w:val="24"/>
                <w:szCs w:val="24"/>
                <w:lang w:val="en-US" w:eastAsia="zh-CN" w:bidi="ar-SA"/>
              </w:rPr>
              <w:t>）</w:t>
            </w:r>
            <w:r>
              <w:rPr>
                <w:rFonts w:hint="eastAsia"/>
                <w:lang w:val="en-US" w:eastAsia="zh-CN"/>
              </w:rPr>
              <w:t>现状监测及评价结果</w:t>
            </w:r>
          </w:p>
          <w:p w14:paraId="6BAEECA7">
            <w:pPr>
              <w:pStyle w:val="44"/>
              <w:bidi w:val="0"/>
              <w:rPr>
                <w:rFonts w:hint="default"/>
                <w:lang w:val="en-US" w:eastAsia="zh-CN"/>
              </w:rPr>
            </w:pPr>
            <w:r>
              <w:rPr>
                <w:rFonts w:hint="eastAsia"/>
                <w:lang w:val="en-US" w:eastAsia="zh-CN"/>
              </w:rPr>
              <w:t>颗粒物现状监测、评价结果见下表。</w:t>
            </w:r>
          </w:p>
          <w:p w14:paraId="0E227B94">
            <w:pPr>
              <w:pStyle w:val="42"/>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表3-2    TSP现状监测表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7"/>
              <w:gridCol w:w="1621"/>
              <w:gridCol w:w="1547"/>
              <w:gridCol w:w="1141"/>
              <w:gridCol w:w="1125"/>
              <w:gridCol w:w="820"/>
            </w:tblGrid>
            <w:tr w14:paraId="0AD1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077" w:type="pct"/>
                  <w:vAlign w:val="center"/>
                </w:tcPr>
                <w:p w14:paraId="5AD82614">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监测点位</w:t>
                  </w:r>
                </w:p>
              </w:tc>
              <w:tc>
                <w:tcPr>
                  <w:tcW w:w="1016" w:type="pct"/>
                  <w:vAlign w:val="center"/>
                </w:tcPr>
                <w:p w14:paraId="0FB2C4B4">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时间</w:t>
                  </w:r>
                </w:p>
              </w:tc>
              <w:tc>
                <w:tcPr>
                  <w:tcW w:w="970" w:type="pct"/>
                  <w:vAlign w:val="center"/>
                </w:tcPr>
                <w:p w14:paraId="6996B30A">
                  <w:pPr>
                    <w:pStyle w:val="40"/>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检测结果</w:t>
                  </w:r>
                  <w:r>
                    <w:rPr>
                      <w:rFonts w:hint="default"/>
                    </w:rPr>
                    <w:t>（</w:t>
                  </w:r>
                  <w:r>
                    <w:rPr>
                      <w:rFonts w:hint="eastAsia"/>
                      <w:lang w:val="en-US" w:eastAsia="zh-CN"/>
                    </w:rPr>
                    <w:t>ug/m</w:t>
                  </w:r>
                  <w:r>
                    <w:rPr>
                      <w:rFonts w:hint="eastAsia"/>
                      <w:vertAlign w:val="superscript"/>
                      <w:lang w:val="en-US" w:eastAsia="zh-CN"/>
                    </w:rPr>
                    <w:t>3</w:t>
                  </w:r>
                  <w:r>
                    <w:rPr>
                      <w:rFonts w:hint="default"/>
                    </w:rPr>
                    <w:t>）</w:t>
                  </w:r>
                </w:p>
              </w:tc>
              <w:tc>
                <w:tcPr>
                  <w:tcW w:w="715" w:type="pct"/>
                  <w:vAlign w:val="center"/>
                </w:tcPr>
                <w:p w14:paraId="3650B322">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标准值</w:t>
                  </w:r>
                  <w:r>
                    <w:rPr>
                      <w:rFonts w:hint="eastAsia"/>
                      <w:lang w:eastAsia="zh-CN"/>
                    </w:rPr>
                    <w:t>（</w:t>
                  </w:r>
                  <w:r>
                    <w:rPr>
                      <w:rFonts w:hint="eastAsia"/>
                      <w:lang w:val="en-US" w:eastAsia="zh-CN"/>
                    </w:rPr>
                    <w:t>ug/m</w:t>
                  </w:r>
                  <w:r>
                    <w:rPr>
                      <w:rFonts w:hint="eastAsia"/>
                      <w:vertAlign w:val="superscript"/>
                      <w:lang w:val="en-US" w:eastAsia="zh-CN"/>
                    </w:rPr>
                    <w:t>3</w:t>
                  </w:r>
                  <w:r>
                    <w:rPr>
                      <w:rFonts w:hint="eastAsia"/>
                      <w:lang w:eastAsia="zh-CN"/>
                    </w:rPr>
                    <w:t>）</w:t>
                  </w:r>
                </w:p>
              </w:tc>
              <w:tc>
                <w:tcPr>
                  <w:tcW w:w="705" w:type="pct"/>
                  <w:vAlign w:val="center"/>
                </w:tcPr>
                <w:p w14:paraId="16C1D15A">
                  <w:pPr>
                    <w:pStyle w:val="40"/>
                    <w:keepLines w:val="0"/>
                    <w:pageBreakBefore w:val="0"/>
                    <w:kinsoku/>
                    <w:wordWrap/>
                    <w:topLinePunct w:val="0"/>
                    <w:autoSpaceDE/>
                    <w:autoSpaceDN/>
                    <w:bidi w:val="0"/>
                    <w:spacing w:beforeAutospacing="0" w:afterAutospacing="0"/>
                    <w:textAlignment w:val="auto"/>
                    <w:rPr>
                      <w:rFonts w:hint="default"/>
                    </w:rPr>
                  </w:pPr>
                  <w:r>
                    <w:rPr>
                      <w:rFonts w:hint="default"/>
                    </w:rPr>
                    <w:t>浓度占标率（</w:t>
                  </w:r>
                  <w:r>
                    <w:rPr>
                      <w:rFonts w:hint="default"/>
                      <w:lang w:val="en-US" w:eastAsia="zh-CN"/>
                    </w:rPr>
                    <w:t>%</w:t>
                  </w:r>
                  <w:r>
                    <w:rPr>
                      <w:rFonts w:hint="default"/>
                    </w:rPr>
                    <w:t>）</w:t>
                  </w:r>
                </w:p>
              </w:tc>
              <w:tc>
                <w:tcPr>
                  <w:tcW w:w="514" w:type="pct"/>
                  <w:vAlign w:val="center"/>
                </w:tcPr>
                <w:p w14:paraId="5B98BC36">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rPr>
                    <w:t>达标情况</w:t>
                  </w:r>
                </w:p>
              </w:tc>
            </w:tr>
            <w:tr w14:paraId="02ED7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077" w:type="pct"/>
                  <w:vMerge w:val="restart"/>
                  <w:vAlign w:val="center"/>
                </w:tcPr>
                <w:p w14:paraId="6FFB5183">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E</w:t>
                  </w:r>
                  <w:r>
                    <w:rPr>
                      <w:rFonts w:hint="eastAsia"/>
                      <w:lang w:val="en-US" w:eastAsia="zh-CN"/>
                    </w:rPr>
                    <w:t>:</w:t>
                  </w:r>
                  <w:r>
                    <w:rPr>
                      <w:rFonts w:hint="default"/>
                      <w:lang w:val="en-US" w:eastAsia="zh-CN"/>
                    </w:rPr>
                    <w:t>88°15′18.936″,</w:t>
                  </w:r>
                </w:p>
                <w:p w14:paraId="23F1B61D">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N</w:t>
                  </w:r>
                  <w:r>
                    <w:rPr>
                      <w:rFonts w:hint="eastAsia"/>
                      <w:lang w:val="en-US" w:eastAsia="zh-CN"/>
                    </w:rPr>
                    <w:t>:</w:t>
                  </w:r>
                  <w:r>
                    <w:rPr>
                      <w:rFonts w:hint="default"/>
                      <w:lang w:val="en-US" w:eastAsia="zh-CN"/>
                    </w:rPr>
                    <w:t>39°0′51.728″</w:t>
                  </w:r>
                </w:p>
              </w:tc>
              <w:tc>
                <w:tcPr>
                  <w:tcW w:w="1016" w:type="pct"/>
                  <w:vAlign w:val="center"/>
                </w:tcPr>
                <w:p w14:paraId="679EA7D4">
                  <w:pPr>
                    <w:pStyle w:val="60"/>
                    <w:bidi w:val="0"/>
                    <w:rPr>
                      <w:rFonts w:hint="default"/>
                      <w:lang w:val="en-US" w:eastAsia="zh-CN"/>
                    </w:rPr>
                  </w:pPr>
                  <w:r>
                    <w:rPr>
                      <w:rFonts w:hint="eastAsia"/>
                      <w:lang w:val="en-US" w:eastAsia="zh-CN"/>
                    </w:rPr>
                    <w:t>2023.8.1-8.2</w:t>
                  </w:r>
                </w:p>
              </w:tc>
              <w:tc>
                <w:tcPr>
                  <w:tcW w:w="970" w:type="pct"/>
                  <w:vAlign w:val="center"/>
                </w:tcPr>
                <w:p w14:paraId="4721CEA4">
                  <w:pPr>
                    <w:pStyle w:val="60"/>
                    <w:bidi w:val="0"/>
                    <w:rPr>
                      <w:rFonts w:hint="default"/>
                      <w:lang w:val="en-US" w:eastAsia="zh-CN"/>
                    </w:rPr>
                  </w:pPr>
                  <w:r>
                    <w:rPr>
                      <w:rFonts w:hint="eastAsia" w:cs="Times New Roman"/>
                      <w:lang w:val="en-US" w:eastAsia="zh-CN"/>
                    </w:rPr>
                    <w:t>205</w:t>
                  </w:r>
                </w:p>
              </w:tc>
              <w:tc>
                <w:tcPr>
                  <w:tcW w:w="715" w:type="pct"/>
                  <w:vMerge w:val="restart"/>
                  <w:vAlign w:val="center"/>
                </w:tcPr>
                <w:p w14:paraId="1CBC4484">
                  <w:pPr>
                    <w:pStyle w:val="40"/>
                    <w:bidi w:val="0"/>
                    <w:rPr>
                      <w:rFonts w:hint="default"/>
                      <w:lang w:val="en-US" w:eastAsia="zh-CN"/>
                    </w:rPr>
                  </w:pPr>
                  <w:r>
                    <w:rPr>
                      <w:rFonts w:hint="default" w:ascii="Times New Roman" w:hAnsi="Times New Roman" w:cs="Times New Roman"/>
                      <w:lang w:val="en-US" w:eastAsia="zh-CN"/>
                    </w:rPr>
                    <w:t>300</w:t>
                  </w:r>
                </w:p>
              </w:tc>
              <w:tc>
                <w:tcPr>
                  <w:tcW w:w="705" w:type="pct"/>
                  <w:vAlign w:val="center"/>
                </w:tcPr>
                <w:p w14:paraId="57928383">
                  <w:pPr>
                    <w:pStyle w:val="60"/>
                    <w:bidi w:val="0"/>
                    <w:rPr>
                      <w:rFonts w:hint="default"/>
                      <w:lang w:val="en-US" w:eastAsia="zh-CN"/>
                    </w:rPr>
                  </w:pPr>
                  <w:r>
                    <w:rPr>
                      <w:rFonts w:hint="eastAsia" w:cs="Times New Roman"/>
                      <w:lang w:val="en-US" w:eastAsia="zh-CN"/>
                    </w:rPr>
                    <w:t>68.3</w:t>
                  </w:r>
                </w:p>
              </w:tc>
              <w:tc>
                <w:tcPr>
                  <w:tcW w:w="514" w:type="pct"/>
                  <w:vAlign w:val="center"/>
                </w:tcPr>
                <w:p w14:paraId="5E87D6CF">
                  <w:pPr>
                    <w:pStyle w:val="40"/>
                    <w:bidi w:val="0"/>
                    <w:rPr>
                      <w:rFonts w:hint="default"/>
                      <w:lang w:val="en-US" w:eastAsia="zh-CN"/>
                    </w:rPr>
                  </w:pPr>
                  <w:r>
                    <w:rPr>
                      <w:rFonts w:hint="default" w:ascii="Times New Roman" w:hAnsi="Times New Roman" w:cs="Times New Roman"/>
                      <w:lang w:val="en-US" w:eastAsia="zh-CN"/>
                    </w:rPr>
                    <w:t>达标</w:t>
                  </w:r>
                </w:p>
              </w:tc>
            </w:tr>
            <w:tr w14:paraId="06AB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77" w:type="pct"/>
                  <w:vMerge w:val="continue"/>
                  <w:vAlign w:val="center"/>
                </w:tcPr>
                <w:p w14:paraId="259C7C7E">
                  <w:pPr>
                    <w:pStyle w:val="40"/>
                    <w:keepLines w:val="0"/>
                    <w:pageBreakBefore w:val="0"/>
                    <w:kinsoku/>
                    <w:wordWrap/>
                    <w:topLinePunct w:val="0"/>
                    <w:autoSpaceDE/>
                    <w:autoSpaceDN/>
                    <w:bidi w:val="0"/>
                    <w:spacing w:beforeAutospacing="0" w:afterAutospacing="0"/>
                    <w:textAlignment w:val="auto"/>
                    <w:rPr>
                      <w:rFonts w:hint="eastAsia"/>
                      <w:lang w:val="en-US" w:eastAsia="zh-CN"/>
                    </w:rPr>
                  </w:pPr>
                </w:p>
              </w:tc>
              <w:tc>
                <w:tcPr>
                  <w:tcW w:w="1016" w:type="pct"/>
                  <w:vAlign w:val="center"/>
                </w:tcPr>
                <w:p w14:paraId="6E158578">
                  <w:pPr>
                    <w:pStyle w:val="60"/>
                    <w:bidi w:val="0"/>
                    <w:rPr>
                      <w:rFonts w:hint="default"/>
                      <w:lang w:val="en-US" w:eastAsia="zh-CN"/>
                    </w:rPr>
                  </w:pPr>
                  <w:r>
                    <w:rPr>
                      <w:rFonts w:hint="default"/>
                      <w:lang w:val="en-US" w:eastAsia="zh-CN"/>
                    </w:rPr>
                    <w:t>2023.</w:t>
                  </w:r>
                  <w:r>
                    <w:rPr>
                      <w:rFonts w:hint="eastAsia"/>
                      <w:lang w:val="en-US" w:eastAsia="zh-CN"/>
                    </w:rPr>
                    <w:t>8.2-8.3</w:t>
                  </w:r>
                </w:p>
              </w:tc>
              <w:tc>
                <w:tcPr>
                  <w:tcW w:w="970" w:type="pct"/>
                  <w:vAlign w:val="center"/>
                </w:tcPr>
                <w:p w14:paraId="454920DB">
                  <w:pPr>
                    <w:pStyle w:val="60"/>
                    <w:bidi w:val="0"/>
                    <w:rPr>
                      <w:rFonts w:hint="default"/>
                      <w:lang w:val="en-US" w:eastAsia="zh-CN"/>
                    </w:rPr>
                  </w:pPr>
                  <w:r>
                    <w:rPr>
                      <w:rFonts w:hint="eastAsia" w:cs="Times New Roman"/>
                      <w:lang w:val="en-US" w:eastAsia="zh-CN"/>
                    </w:rPr>
                    <w:t>210</w:t>
                  </w:r>
                </w:p>
              </w:tc>
              <w:tc>
                <w:tcPr>
                  <w:tcW w:w="715" w:type="pct"/>
                  <w:vMerge w:val="continue"/>
                  <w:vAlign w:val="center"/>
                </w:tcPr>
                <w:p w14:paraId="09A025C5">
                  <w:pPr>
                    <w:pStyle w:val="40"/>
                    <w:bidi w:val="0"/>
                    <w:rPr>
                      <w:rFonts w:hint="eastAsia"/>
                      <w:lang w:val="en-US" w:eastAsia="zh-CN"/>
                    </w:rPr>
                  </w:pPr>
                </w:p>
              </w:tc>
              <w:tc>
                <w:tcPr>
                  <w:tcW w:w="705" w:type="pct"/>
                  <w:vAlign w:val="center"/>
                </w:tcPr>
                <w:p w14:paraId="2BDFB113">
                  <w:pPr>
                    <w:pStyle w:val="60"/>
                    <w:bidi w:val="0"/>
                    <w:rPr>
                      <w:rFonts w:hint="default"/>
                      <w:lang w:val="en-US" w:eastAsia="zh-CN"/>
                    </w:rPr>
                  </w:pPr>
                  <w:r>
                    <w:rPr>
                      <w:rFonts w:hint="eastAsia" w:cs="Times New Roman"/>
                      <w:lang w:val="en-US" w:eastAsia="zh-CN"/>
                    </w:rPr>
                    <w:t>70</w:t>
                  </w:r>
                </w:p>
              </w:tc>
              <w:tc>
                <w:tcPr>
                  <w:tcW w:w="514" w:type="pct"/>
                  <w:vAlign w:val="center"/>
                </w:tcPr>
                <w:p w14:paraId="712A0412">
                  <w:pPr>
                    <w:pStyle w:val="40"/>
                    <w:bidi w:val="0"/>
                    <w:rPr>
                      <w:rFonts w:hint="eastAsia"/>
                      <w:lang w:val="en-US" w:eastAsia="zh-CN"/>
                    </w:rPr>
                  </w:pPr>
                  <w:r>
                    <w:rPr>
                      <w:rFonts w:hint="default" w:ascii="Times New Roman" w:hAnsi="Times New Roman" w:cs="Times New Roman"/>
                      <w:lang w:val="en-US" w:eastAsia="zh-CN"/>
                    </w:rPr>
                    <w:t>达标</w:t>
                  </w:r>
                </w:p>
              </w:tc>
            </w:tr>
            <w:tr w14:paraId="545F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77" w:type="pct"/>
                  <w:vMerge w:val="continue"/>
                  <w:vAlign w:val="center"/>
                </w:tcPr>
                <w:p w14:paraId="21967218">
                  <w:pPr>
                    <w:pStyle w:val="40"/>
                    <w:keepLines w:val="0"/>
                    <w:pageBreakBefore w:val="0"/>
                    <w:kinsoku/>
                    <w:wordWrap/>
                    <w:topLinePunct w:val="0"/>
                    <w:autoSpaceDE/>
                    <w:autoSpaceDN/>
                    <w:bidi w:val="0"/>
                    <w:spacing w:beforeAutospacing="0" w:afterAutospacing="0"/>
                    <w:textAlignment w:val="auto"/>
                    <w:rPr>
                      <w:rFonts w:hint="eastAsia"/>
                      <w:lang w:val="en-US" w:eastAsia="zh-CN"/>
                    </w:rPr>
                  </w:pPr>
                </w:p>
              </w:tc>
              <w:tc>
                <w:tcPr>
                  <w:tcW w:w="1016" w:type="pct"/>
                  <w:vAlign w:val="center"/>
                </w:tcPr>
                <w:p w14:paraId="1F6174D7">
                  <w:pPr>
                    <w:pStyle w:val="60"/>
                    <w:bidi w:val="0"/>
                    <w:rPr>
                      <w:rFonts w:hint="default"/>
                      <w:lang w:val="en-US" w:eastAsia="zh-CN"/>
                    </w:rPr>
                  </w:pPr>
                  <w:r>
                    <w:rPr>
                      <w:rFonts w:hint="default"/>
                      <w:lang w:val="en-US" w:eastAsia="zh-CN"/>
                    </w:rPr>
                    <w:t>2023.</w:t>
                  </w:r>
                  <w:r>
                    <w:rPr>
                      <w:rFonts w:hint="eastAsia"/>
                      <w:lang w:val="en-US" w:eastAsia="zh-CN"/>
                    </w:rPr>
                    <w:t>8.3-8.4</w:t>
                  </w:r>
                </w:p>
              </w:tc>
              <w:tc>
                <w:tcPr>
                  <w:tcW w:w="970" w:type="pct"/>
                  <w:vAlign w:val="center"/>
                </w:tcPr>
                <w:p w14:paraId="5C5DA075">
                  <w:pPr>
                    <w:pStyle w:val="60"/>
                    <w:bidi w:val="0"/>
                    <w:rPr>
                      <w:rFonts w:hint="default"/>
                      <w:lang w:val="en-US" w:eastAsia="zh-CN"/>
                    </w:rPr>
                  </w:pPr>
                  <w:r>
                    <w:rPr>
                      <w:rFonts w:hint="eastAsia" w:cs="Times New Roman"/>
                      <w:lang w:val="en-US" w:eastAsia="zh-CN"/>
                    </w:rPr>
                    <w:t>217</w:t>
                  </w:r>
                </w:p>
              </w:tc>
              <w:tc>
                <w:tcPr>
                  <w:tcW w:w="715" w:type="pct"/>
                  <w:vMerge w:val="continue"/>
                  <w:vAlign w:val="center"/>
                </w:tcPr>
                <w:p w14:paraId="0D008BBA">
                  <w:pPr>
                    <w:pStyle w:val="40"/>
                    <w:bidi w:val="0"/>
                    <w:rPr>
                      <w:rFonts w:hint="eastAsia"/>
                      <w:lang w:val="en-US" w:eastAsia="zh-CN"/>
                    </w:rPr>
                  </w:pPr>
                </w:p>
              </w:tc>
              <w:tc>
                <w:tcPr>
                  <w:tcW w:w="705" w:type="pct"/>
                  <w:vAlign w:val="center"/>
                </w:tcPr>
                <w:p w14:paraId="36B0E9A0">
                  <w:pPr>
                    <w:pStyle w:val="60"/>
                    <w:bidi w:val="0"/>
                    <w:rPr>
                      <w:rFonts w:hint="default"/>
                      <w:lang w:val="en-US" w:eastAsia="zh-CN"/>
                    </w:rPr>
                  </w:pPr>
                  <w:r>
                    <w:rPr>
                      <w:rFonts w:hint="eastAsia" w:cs="Times New Roman"/>
                      <w:lang w:val="en-US" w:eastAsia="zh-CN"/>
                    </w:rPr>
                    <w:t>72.3</w:t>
                  </w:r>
                </w:p>
              </w:tc>
              <w:tc>
                <w:tcPr>
                  <w:tcW w:w="514" w:type="pct"/>
                  <w:vAlign w:val="center"/>
                </w:tcPr>
                <w:p w14:paraId="7D31FC3C">
                  <w:pPr>
                    <w:pStyle w:val="40"/>
                    <w:bidi w:val="0"/>
                    <w:rPr>
                      <w:rFonts w:hint="eastAsia"/>
                      <w:lang w:val="en-US" w:eastAsia="zh-CN"/>
                    </w:rPr>
                  </w:pPr>
                  <w:r>
                    <w:rPr>
                      <w:rFonts w:hint="default" w:ascii="Times New Roman" w:hAnsi="Times New Roman" w:cs="Times New Roman"/>
                      <w:lang w:val="en-US" w:eastAsia="zh-CN"/>
                    </w:rPr>
                    <w:t>达标</w:t>
                  </w:r>
                </w:p>
              </w:tc>
            </w:tr>
          </w:tbl>
          <w:p w14:paraId="75A3BBE6">
            <w:pPr>
              <w:pStyle w:val="8"/>
              <w:keepLines w:val="0"/>
              <w:pageBreakBefore w:val="0"/>
              <w:kinsoku/>
              <w:wordWrap/>
              <w:topLinePunct w:val="0"/>
              <w:autoSpaceDE/>
              <w:autoSpaceDN/>
              <w:bidi w:val="0"/>
              <w:spacing w:beforeAutospacing="0" w:afterAutospacing="0"/>
              <w:textAlignment w:val="auto"/>
              <w:rPr>
                <w:rFonts w:hint="eastAsia"/>
              </w:rPr>
            </w:pPr>
            <w:r>
              <w:rPr>
                <w:rFonts w:hint="eastAsia"/>
                <w:lang w:val="en-US" w:eastAsia="zh-CN"/>
              </w:rPr>
              <w:t>监测数据分析：评价区大气环境中特征因子TSP未超出</w:t>
            </w:r>
            <w:r>
              <w:rPr>
                <w:rFonts w:hint="default"/>
                <w:lang w:val="en-US" w:eastAsia="zh-CN"/>
              </w:rPr>
              <w:t>《环境空气质量标准》（GB3095-2026）</w:t>
            </w:r>
            <w:r>
              <w:rPr>
                <w:rFonts w:hint="eastAsia"/>
                <w:lang w:val="en-US" w:eastAsia="zh-CN"/>
              </w:rPr>
              <w:t>过渡阶段的</w:t>
            </w:r>
            <w:r>
              <w:rPr>
                <w:rFonts w:hint="default"/>
                <w:lang w:val="en-US" w:eastAsia="zh-CN"/>
              </w:rPr>
              <w:t>二级标准限值要求</w:t>
            </w:r>
            <w:r>
              <w:t>。</w:t>
            </w:r>
          </w:p>
          <w:p w14:paraId="3466AB90">
            <w:pPr>
              <w:pStyle w:val="2"/>
              <w:keepLines w:val="0"/>
              <w:pageBreakBefore w:val="0"/>
              <w:kinsoku/>
              <w:wordWrap/>
              <w:topLinePunct w:val="0"/>
              <w:autoSpaceDE/>
              <w:autoSpaceDN/>
              <w:bidi w:val="0"/>
              <w:spacing w:beforeAutospacing="0" w:afterAutospacing="0"/>
              <w:textAlignment w:val="auto"/>
            </w:pPr>
            <w:r>
              <w:rPr>
                <w:rFonts w:hint="eastAsia"/>
                <w:lang w:val="en-US" w:eastAsia="zh-CN"/>
              </w:rPr>
              <w:t>2.地表水</w:t>
            </w:r>
            <w:bookmarkStart w:id="9" w:name="_Toc329596219"/>
            <w:bookmarkStart w:id="10" w:name="_Toc396385923"/>
            <w:r>
              <w:rPr>
                <w:rFonts w:hint="eastAsia"/>
                <w:lang w:val="en-US" w:eastAsia="zh-CN"/>
              </w:rPr>
              <w:t>环境质量现状</w:t>
            </w:r>
            <w:bookmarkEnd w:id="9"/>
            <w:bookmarkEnd w:id="10"/>
          </w:p>
          <w:p w14:paraId="7BBE23FB">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项目施工期及运营期均无生产废水外排；生活污水经化粪池预处理后，定期清运至若羌县城镇污水处理厂集中处理，不向周边地表水体排放任何废水。距离项目区最近的地表水体为西侧8km处的若羌河总干渠，若羌河监测数据引用巴州永诚环境检测技术服务有限公司于2023年6月19日针对“巴音郭楞蒙古自治州水利水电勘测设计有限责任公司委托性检测”开展的若羌河水库地表水检测报告(附件16)。若羌河水库位于若羌河出山口上游约8公里处，对照《地表水环境质量标准》(GB 3838-2002)，若羌河水质满足《地表水环境质量标准》(GB 3838-2002)</w:t>
            </w:r>
            <w:r>
              <w:rPr>
                <w:rFonts w:hint="default" w:ascii="Times New Roman" w:hAnsi="Times New Roman" w:eastAsia="微软雅黑" w:cs="Times New Roman"/>
                <w:lang w:val="en-US" w:eastAsia="zh-CN"/>
              </w:rPr>
              <w:t>Ⅲ</w:t>
            </w:r>
            <w:r>
              <w:rPr>
                <w:rFonts w:hint="default" w:ascii="Times New Roman" w:hAnsi="Times New Roman" w:cs="Times New Roman"/>
                <w:lang w:val="en-US" w:eastAsia="zh-CN"/>
              </w:rPr>
              <w:t>类</w:t>
            </w:r>
            <w:r>
              <w:rPr>
                <w:rFonts w:hint="eastAsia"/>
                <w:lang w:val="en-US" w:eastAsia="zh-CN"/>
              </w:rPr>
              <w:t>标准要求。</w:t>
            </w:r>
          </w:p>
          <w:p w14:paraId="34BFB6DE">
            <w:pPr>
              <w:pStyle w:val="2"/>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3.声环境质量现状</w:t>
            </w:r>
          </w:p>
          <w:p w14:paraId="57B883DD">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根据《建设项目环境影响报告表编制技术指南》（污染影响类）（试行），厂界外周边50m范围内不存在声环境保护目标的建设项目，不需要对声环境质量现状进行监测并评价达标情况。</w:t>
            </w:r>
          </w:p>
          <w:p w14:paraId="1026C7F2">
            <w:pPr>
              <w:pStyle w:val="2"/>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4.生态环境质量现状</w:t>
            </w:r>
          </w:p>
          <w:p w14:paraId="4383EB9E">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根据《建设项目环境影响报告表编制技术指南（污染影响类）（试行）》的要求，本项目土地用途为工业用地，用地范围内无生态环境保护目标，可不进行生态现状调查。</w:t>
            </w:r>
          </w:p>
          <w:p w14:paraId="52E536F3">
            <w:pPr>
              <w:pStyle w:val="2"/>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5.地下水、土壤环境质量现状</w:t>
            </w:r>
          </w:p>
          <w:p w14:paraId="1F62012F">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根据《建设项目环境影响报告表编制技术指南（污染影响类）》，存在土壤、地下水环境污染途径的需开展地下水环境、土壤质量现状调查。本项目不存在土壤、地下水环境污染途径，无需开展地下水环境、土壤质量现状调查。</w:t>
            </w:r>
          </w:p>
          <w:p w14:paraId="608748E0">
            <w:pPr>
              <w:pStyle w:val="49"/>
              <w:bidi w:val="0"/>
              <w:rPr>
                <w:rFonts w:hint="default"/>
                <w:lang w:val="en-US" w:eastAsia="zh-CN"/>
              </w:rPr>
            </w:pPr>
            <w:r>
              <w:rPr>
                <w:rFonts w:hint="eastAsia"/>
                <w:lang w:val="en-US" w:eastAsia="zh-CN"/>
              </w:rPr>
              <w:t>6.沙化土地现状</w:t>
            </w:r>
          </w:p>
          <w:p w14:paraId="4884FA2A">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经调查，项目区域属于非沙化土地。为进一步防范土壤沙化风险，本环评要求项目在施工期采取针对性防治措施，切实防止土地沙化。</w:t>
            </w:r>
          </w:p>
        </w:tc>
      </w:tr>
      <w:tr w14:paraId="7E65C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14:paraId="4041AAF1">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环境</w:t>
            </w:r>
          </w:p>
          <w:p w14:paraId="7C66017C">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保护</w:t>
            </w:r>
          </w:p>
          <w:p w14:paraId="23AED5D0">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目标</w:t>
            </w:r>
          </w:p>
        </w:tc>
        <w:tc>
          <w:tcPr>
            <w:tcW w:w="8190" w:type="dxa"/>
            <w:noWrap w:val="0"/>
            <w:vAlign w:val="top"/>
          </w:tcPr>
          <w:p w14:paraId="21DD4C42">
            <w:pPr>
              <w:pStyle w:val="2"/>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1.大气环境保护目标</w:t>
            </w:r>
          </w:p>
          <w:p w14:paraId="46C59753">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根据现状调查，本项目厂界外500m范围内无自然保护区、风景名胜区。主要环境保护目标为居住区。大气环境保护目标具体情况见下表。保护目标具体位置见附图7。</w:t>
            </w:r>
          </w:p>
          <w:p w14:paraId="2FE9394E">
            <w:pPr>
              <w:pStyle w:val="29"/>
              <w:bidi w:val="0"/>
              <w:rPr>
                <w:rFonts w:hint="eastAsia"/>
                <w:lang w:val="en-US" w:eastAsia="zh-CN"/>
              </w:rPr>
            </w:pPr>
            <w:r>
              <w:rPr>
                <w:rFonts w:hint="eastAsia"/>
                <w:highlight w:val="none"/>
                <w:lang w:val="en-US" w:eastAsia="zh-CN"/>
              </w:rPr>
              <w:t xml:space="preserve">表3-3 </w:t>
            </w:r>
            <w:r>
              <w:rPr>
                <w:rFonts w:hint="eastAsia"/>
                <w:lang w:val="en-US" w:eastAsia="zh-CN"/>
              </w:rPr>
              <w:t xml:space="preserve">  环境空气保护目标</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1507"/>
              <w:gridCol w:w="693"/>
              <w:gridCol w:w="1250"/>
              <w:gridCol w:w="1287"/>
              <w:gridCol w:w="2080"/>
            </w:tblGrid>
            <w:tr w14:paraId="6253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147" w:type="dxa"/>
                  <w:vAlign w:val="center"/>
                </w:tcPr>
                <w:p w14:paraId="754D0A04">
                  <w:pPr>
                    <w:pStyle w:val="40"/>
                    <w:bidi w:val="0"/>
                    <w:rPr>
                      <w:rFonts w:hint="eastAsia"/>
                      <w:lang w:val="en-US" w:eastAsia="zh-CN"/>
                    </w:rPr>
                  </w:pPr>
                  <w:r>
                    <w:rPr>
                      <w:rFonts w:hint="eastAsia"/>
                      <w:lang w:val="en-US" w:eastAsia="zh-CN"/>
                    </w:rPr>
                    <w:t>环境要素</w:t>
                  </w:r>
                </w:p>
              </w:tc>
              <w:tc>
                <w:tcPr>
                  <w:tcW w:w="1507" w:type="dxa"/>
                  <w:vAlign w:val="center"/>
                </w:tcPr>
                <w:p w14:paraId="04BF4E9D">
                  <w:pPr>
                    <w:pStyle w:val="40"/>
                    <w:bidi w:val="0"/>
                    <w:rPr>
                      <w:rFonts w:hint="eastAsia"/>
                      <w:lang w:val="en-US" w:eastAsia="zh-CN"/>
                    </w:rPr>
                  </w:pPr>
                  <w:r>
                    <w:rPr>
                      <w:rFonts w:hint="eastAsia"/>
                      <w:lang w:val="en-US" w:eastAsia="zh-CN"/>
                    </w:rPr>
                    <w:t>保护目标名称</w:t>
                  </w:r>
                </w:p>
              </w:tc>
              <w:tc>
                <w:tcPr>
                  <w:tcW w:w="693" w:type="dxa"/>
                  <w:vAlign w:val="center"/>
                </w:tcPr>
                <w:p w14:paraId="1B24A487">
                  <w:pPr>
                    <w:pStyle w:val="40"/>
                    <w:bidi w:val="0"/>
                    <w:rPr>
                      <w:rFonts w:hint="eastAsia"/>
                      <w:lang w:val="en-US" w:eastAsia="zh-CN"/>
                    </w:rPr>
                  </w:pPr>
                  <w:r>
                    <w:rPr>
                      <w:rFonts w:hint="eastAsia"/>
                      <w:lang w:val="en-US" w:eastAsia="zh-CN"/>
                    </w:rPr>
                    <w:t>方位</w:t>
                  </w:r>
                </w:p>
              </w:tc>
              <w:tc>
                <w:tcPr>
                  <w:tcW w:w="1250" w:type="dxa"/>
                  <w:vAlign w:val="center"/>
                </w:tcPr>
                <w:p w14:paraId="7504AC97">
                  <w:pPr>
                    <w:pStyle w:val="40"/>
                    <w:bidi w:val="0"/>
                    <w:rPr>
                      <w:rFonts w:hint="eastAsia"/>
                      <w:lang w:val="en-US" w:eastAsia="zh-CN"/>
                    </w:rPr>
                  </w:pPr>
                  <w:r>
                    <w:rPr>
                      <w:rFonts w:hint="eastAsia"/>
                      <w:lang w:val="en-US" w:eastAsia="zh-CN"/>
                    </w:rPr>
                    <w:t>距离项目边界（m）</w:t>
                  </w:r>
                </w:p>
              </w:tc>
              <w:tc>
                <w:tcPr>
                  <w:tcW w:w="1287" w:type="dxa"/>
                  <w:vAlign w:val="center"/>
                </w:tcPr>
                <w:p w14:paraId="4DD2A5FD">
                  <w:pPr>
                    <w:pStyle w:val="40"/>
                    <w:bidi w:val="0"/>
                    <w:rPr>
                      <w:rFonts w:hint="eastAsia"/>
                      <w:lang w:val="en-US" w:eastAsia="zh-CN"/>
                    </w:rPr>
                  </w:pPr>
                  <w:r>
                    <w:rPr>
                      <w:rFonts w:hint="eastAsia"/>
                      <w:lang w:val="en-US" w:eastAsia="zh-CN"/>
                    </w:rPr>
                    <w:t>受影响人口</w:t>
                  </w:r>
                </w:p>
              </w:tc>
              <w:tc>
                <w:tcPr>
                  <w:tcW w:w="2080" w:type="dxa"/>
                  <w:vAlign w:val="center"/>
                </w:tcPr>
                <w:p w14:paraId="6294AB61">
                  <w:pPr>
                    <w:pStyle w:val="40"/>
                    <w:bidi w:val="0"/>
                    <w:rPr>
                      <w:rFonts w:hint="eastAsia"/>
                      <w:lang w:val="en-US" w:eastAsia="zh-CN"/>
                    </w:rPr>
                  </w:pPr>
                  <w:r>
                    <w:rPr>
                      <w:rFonts w:hint="eastAsia"/>
                      <w:lang w:val="en-US" w:eastAsia="zh-CN"/>
                    </w:rPr>
                    <w:t>执行标准</w:t>
                  </w:r>
                </w:p>
              </w:tc>
            </w:tr>
            <w:tr w14:paraId="6190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147" w:type="dxa"/>
                  <w:vAlign w:val="center"/>
                </w:tcPr>
                <w:p w14:paraId="398CD689">
                  <w:pPr>
                    <w:pStyle w:val="40"/>
                    <w:bidi w:val="0"/>
                    <w:rPr>
                      <w:rFonts w:hint="eastAsia"/>
                      <w:lang w:val="en-US" w:eastAsia="zh-CN"/>
                    </w:rPr>
                  </w:pPr>
                  <w:r>
                    <w:rPr>
                      <w:rFonts w:hint="eastAsia"/>
                      <w:lang w:val="en-US" w:eastAsia="zh-CN"/>
                    </w:rPr>
                    <w:t>大气环境</w:t>
                  </w:r>
                </w:p>
              </w:tc>
              <w:tc>
                <w:tcPr>
                  <w:tcW w:w="1507" w:type="dxa"/>
                  <w:vAlign w:val="center"/>
                </w:tcPr>
                <w:p w14:paraId="6805E052">
                  <w:pPr>
                    <w:pStyle w:val="40"/>
                    <w:bidi w:val="0"/>
                    <w:rPr>
                      <w:rFonts w:hint="default"/>
                      <w:lang w:val="en-US" w:eastAsia="zh-CN"/>
                    </w:rPr>
                  </w:pPr>
                  <w:r>
                    <w:rPr>
                      <w:rFonts w:hint="eastAsia"/>
                      <w:lang w:val="en-US" w:eastAsia="zh-CN"/>
                    </w:rPr>
                    <w:t>若羌县中学高中部</w:t>
                  </w:r>
                </w:p>
              </w:tc>
              <w:tc>
                <w:tcPr>
                  <w:tcW w:w="693" w:type="dxa"/>
                  <w:vAlign w:val="center"/>
                </w:tcPr>
                <w:p w14:paraId="5909322A">
                  <w:pPr>
                    <w:pStyle w:val="40"/>
                    <w:bidi w:val="0"/>
                    <w:rPr>
                      <w:rFonts w:hint="eastAsia"/>
                      <w:lang w:val="en-US" w:eastAsia="zh-CN"/>
                    </w:rPr>
                  </w:pPr>
                  <w:r>
                    <w:rPr>
                      <w:rFonts w:hint="eastAsia"/>
                      <w:lang w:val="en-US" w:eastAsia="zh-CN"/>
                    </w:rPr>
                    <w:t>东南侧</w:t>
                  </w:r>
                </w:p>
              </w:tc>
              <w:tc>
                <w:tcPr>
                  <w:tcW w:w="1250" w:type="dxa"/>
                  <w:vAlign w:val="center"/>
                </w:tcPr>
                <w:p w14:paraId="6428C1F1">
                  <w:pPr>
                    <w:pStyle w:val="40"/>
                    <w:bidi w:val="0"/>
                    <w:rPr>
                      <w:rFonts w:hint="default"/>
                      <w:lang w:val="en-US" w:eastAsia="zh-CN"/>
                    </w:rPr>
                  </w:pPr>
                  <w:r>
                    <w:rPr>
                      <w:rFonts w:hint="eastAsia"/>
                      <w:lang w:val="en-US" w:eastAsia="zh-CN"/>
                    </w:rPr>
                    <w:t>300</w:t>
                  </w:r>
                </w:p>
              </w:tc>
              <w:tc>
                <w:tcPr>
                  <w:tcW w:w="1287" w:type="dxa"/>
                  <w:vAlign w:val="center"/>
                </w:tcPr>
                <w:p w14:paraId="147C1E7B">
                  <w:pPr>
                    <w:pStyle w:val="40"/>
                    <w:bidi w:val="0"/>
                    <w:rPr>
                      <w:rFonts w:hint="eastAsia"/>
                      <w:lang w:val="en-US" w:eastAsia="zh-CN"/>
                    </w:rPr>
                  </w:pPr>
                  <w:r>
                    <w:rPr>
                      <w:rFonts w:hint="eastAsia"/>
                      <w:lang w:val="en-US" w:eastAsia="zh-CN"/>
                    </w:rPr>
                    <w:t>约1000人</w:t>
                  </w:r>
                </w:p>
              </w:tc>
              <w:tc>
                <w:tcPr>
                  <w:tcW w:w="2080" w:type="dxa"/>
                  <w:vAlign w:val="center"/>
                </w:tcPr>
                <w:p w14:paraId="7C19BCC3">
                  <w:pPr>
                    <w:pStyle w:val="40"/>
                    <w:bidi w:val="0"/>
                    <w:rPr>
                      <w:rFonts w:hint="eastAsia"/>
                      <w:lang w:val="en-US" w:eastAsia="zh-CN"/>
                    </w:rPr>
                  </w:pPr>
                  <w:r>
                    <w:rPr>
                      <w:rFonts w:hint="eastAsia"/>
                      <w:lang w:val="en-US" w:eastAsia="zh-CN"/>
                    </w:rPr>
                    <w:t>《环境空气质量标准》（GB3095-2026）过渡阶段的二级标准</w:t>
                  </w:r>
                </w:p>
              </w:tc>
            </w:tr>
          </w:tbl>
          <w:p w14:paraId="214E5A1A">
            <w:pPr>
              <w:pStyle w:val="2"/>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2.声环境保护目标</w:t>
            </w:r>
          </w:p>
          <w:p w14:paraId="01DE34EF">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项目厂界外50m范围内无声环境保护目标。</w:t>
            </w:r>
          </w:p>
          <w:p w14:paraId="413EB8F9">
            <w:pPr>
              <w:pStyle w:val="2"/>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3.地下水环境保护目标</w:t>
            </w:r>
          </w:p>
          <w:p w14:paraId="1C30A971">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项目厂界外500m范围内无地下水集中式饮用水水源和热水、矿泉水、温泉等特殊地下水资源。</w:t>
            </w:r>
          </w:p>
          <w:p w14:paraId="01E2C68B">
            <w:pPr>
              <w:pStyle w:val="2"/>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4.生态环境保护目标</w:t>
            </w:r>
          </w:p>
          <w:p w14:paraId="1B3EFAA4">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项目用地范围内无生态环境保护目标。</w:t>
            </w:r>
          </w:p>
        </w:tc>
      </w:tr>
      <w:tr w14:paraId="68D8CD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8" w:hRule="atLeast"/>
          <w:jc w:val="center"/>
        </w:trPr>
        <w:tc>
          <w:tcPr>
            <w:tcW w:w="800" w:type="dxa"/>
            <w:noWrap w:val="0"/>
            <w:tcMar>
              <w:left w:w="28" w:type="dxa"/>
              <w:right w:w="28" w:type="dxa"/>
            </w:tcMar>
            <w:vAlign w:val="center"/>
          </w:tcPr>
          <w:p w14:paraId="71BAEAEF">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污染</w:t>
            </w:r>
          </w:p>
          <w:p w14:paraId="11E81905">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物排</w:t>
            </w:r>
          </w:p>
          <w:p w14:paraId="032A6B98">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放控</w:t>
            </w:r>
          </w:p>
          <w:p w14:paraId="67068556">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制标</w:t>
            </w:r>
          </w:p>
          <w:p w14:paraId="78D4124E">
            <w:pPr>
              <w:keepLines w:val="0"/>
              <w:pageBreakBefore w:val="0"/>
              <w:kinsoku/>
              <w:wordWrap/>
              <w:topLinePunct w:val="0"/>
              <w:autoSpaceDE/>
              <w:autoSpaceDN/>
              <w:bidi w:val="0"/>
              <w:adjustRightInd w:val="0"/>
              <w:snapToGrid w:val="0"/>
              <w:spacing w:beforeAutospacing="0" w:afterAutospacing="0"/>
              <w:jc w:val="center"/>
              <w:textAlignment w:val="auto"/>
              <w:rPr>
                <w:rFonts w:ascii="宋体" w:hAnsi="宋体" w:cs="宋体"/>
                <w:kern w:val="0"/>
                <w:szCs w:val="21"/>
              </w:rPr>
            </w:pPr>
            <w:r>
              <w:rPr>
                <w:rFonts w:hint="eastAsia" w:ascii="宋体" w:hAnsi="宋体" w:cs="宋体"/>
                <w:kern w:val="0"/>
                <w:szCs w:val="21"/>
              </w:rPr>
              <w:t>准</w:t>
            </w:r>
          </w:p>
        </w:tc>
        <w:tc>
          <w:tcPr>
            <w:tcW w:w="8190" w:type="dxa"/>
            <w:noWrap w:val="0"/>
            <w:vAlign w:val="top"/>
          </w:tcPr>
          <w:p w14:paraId="5D4C3847">
            <w:pPr>
              <w:pStyle w:val="2"/>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1.废气</w:t>
            </w:r>
          </w:p>
          <w:p w14:paraId="298A8C74">
            <w:pPr>
              <w:pStyle w:val="8"/>
              <w:keepLines w:val="0"/>
              <w:pageBreakBefore w:val="0"/>
              <w:kinsoku/>
              <w:wordWrap/>
              <w:topLinePunct w:val="0"/>
              <w:autoSpaceDE/>
              <w:autoSpaceDN/>
              <w:bidi w:val="0"/>
              <w:spacing w:beforeAutospacing="0" w:afterAutospacing="0"/>
              <w:textAlignment w:val="auto"/>
            </w:pPr>
            <w:r>
              <w:rPr>
                <w:rFonts w:hint="eastAsia"/>
                <w:lang w:val="en-US" w:eastAsia="zh-CN"/>
              </w:rPr>
              <w:t>施工期扬尘执行《大气污染物综合排放标准》（GB16297-1996）颗粒物厂区周边浓度限值；运营期</w:t>
            </w:r>
            <w:r>
              <w:rPr>
                <w:rFonts w:hint="eastAsia"/>
                <w:lang w:eastAsia="zh-CN"/>
              </w:rPr>
              <w:t>颗粒物有组织</w:t>
            </w:r>
            <w:r>
              <w:rPr>
                <w:rFonts w:hint="eastAsia"/>
                <w:lang w:val="en-US" w:eastAsia="zh-CN"/>
              </w:rPr>
              <w:t>排放</w:t>
            </w:r>
            <w:r>
              <w:rPr>
                <w:rFonts w:hint="eastAsia"/>
              </w:rPr>
              <w:t>执行《水泥工业大气污染物排放标准》（含2025年修改单）（GB4915-2013）表</w:t>
            </w:r>
            <w:r>
              <w:rPr>
                <w:rFonts w:hint="eastAsia"/>
                <w:lang w:val="en-US" w:eastAsia="zh-CN"/>
              </w:rPr>
              <w:t>1</w:t>
            </w:r>
            <w:r>
              <w:rPr>
                <w:rFonts w:hint="eastAsia"/>
              </w:rPr>
              <w:t>水泥制品中大气污染物排放限值；颗粒物无组织排放执行《水泥工业大气污染物排放标准》（含2025年修改单）（GB4915-2013）表3标准</w:t>
            </w:r>
            <w:r>
              <w:rPr>
                <w:rFonts w:hint="eastAsia"/>
                <w:lang w:val="en-US" w:eastAsia="zh-CN"/>
              </w:rPr>
              <w:t>；食堂油烟废气执行《饮食业油烟排放标准（试行）》（GB18483-2001）浓度限值</w:t>
            </w:r>
            <w:r>
              <w:rPr>
                <w:rFonts w:hint="eastAsia"/>
              </w:rPr>
              <w:t>。</w:t>
            </w:r>
          </w:p>
          <w:p w14:paraId="0BEA178E">
            <w:pPr>
              <w:pStyle w:val="42"/>
              <w:keepLines w:val="0"/>
              <w:pageBreakBefore w:val="0"/>
              <w:kinsoku/>
              <w:wordWrap/>
              <w:topLinePunct w:val="0"/>
              <w:autoSpaceDE/>
              <w:autoSpaceDN/>
              <w:bidi w:val="0"/>
              <w:spacing w:beforeAutospacing="0" w:afterAutospacing="0"/>
              <w:textAlignment w:val="auto"/>
            </w:pPr>
            <w:r>
              <w:t>表</w:t>
            </w:r>
            <w:r>
              <w:rPr>
                <w:rFonts w:hint="eastAsia"/>
              </w:rPr>
              <w:t>3-</w:t>
            </w:r>
            <w:r>
              <w:rPr>
                <w:rFonts w:hint="eastAsia"/>
                <w:lang w:val="en-US" w:eastAsia="zh-CN"/>
              </w:rPr>
              <w:t>4</w:t>
            </w:r>
            <w:r>
              <w:rPr>
                <w:rFonts w:hint="eastAsia"/>
              </w:rPr>
              <w:t xml:space="preserve">    大气污染物最高允许</w:t>
            </w:r>
            <w:r>
              <w:rPr>
                <w:rFonts w:hint="eastAsia"/>
                <w:lang w:eastAsia="zh-CN"/>
              </w:rPr>
              <w:t>排放</w:t>
            </w:r>
            <w:r>
              <w:rPr>
                <w:rFonts w:hint="eastAsia"/>
              </w:rPr>
              <w:t>浓度</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860"/>
              <w:gridCol w:w="912"/>
              <w:gridCol w:w="850"/>
              <w:gridCol w:w="2323"/>
              <w:gridCol w:w="2855"/>
            </w:tblGrid>
            <w:tr w14:paraId="3124FD9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0" w:type="dxa"/>
                  <w:tcBorders>
                    <w:tl2br w:val="nil"/>
                    <w:tr2bl w:val="nil"/>
                  </w:tcBorders>
                  <w:noWrap w:val="0"/>
                  <w:vAlign w:val="center"/>
                </w:tcPr>
                <w:p w14:paraId="2E379BBA">
                  <w:pPr>
                    <w:pStyle w:val="40"/>
                    <w:keepLines w:val="0"/>
                    <w:pageBreakBefore w:val="0"/>
                    <w:kinsoku/>
                    <w:wordWrap/>
                    <w:topLinePunct w:val="0"/>
                    <w:autoSpaceDE/>
                    <w:autoSpaceDN/>
                    <w:bidi w:val="0"/>
                    <w:spacing w:beforeAutospacing="0" w:afterAutospacing="0"/>
                    <w:textAlignment w:val="auto"/>
                    <w:rPr>
                      <w:rFonts w:hint="eastAsia"/>
                    </w:rPr>
                  </w:pPr>
                  <w:r>
                    <w:rPr>
                      <w:rFonts w:hint="eastAsia"/>
                      <w:lang w:val="en-US" w:eastAsia="zh-CN"/>
                    </w:rPr>
                    <w:t>污染物</w:t>
                  </w:r>
                </w:p>
              </w:tc>
              <w:tc>
                <w:tcPr>
                  <w:tcW w:w="912" w:type="dxa"/>
                  <w:tcBorders>
                    <w:tl2br w:val="nil"/>
                    <w:tr2bl w:val="nil"/>
                  </w:tcBorders>
                  <w:noWrap w:val="0"/>
                  <w:vAlign w:val="center"/>
                </w:tcPr>
                <w:p w14:paraId="3954431F">
                  <w:pPr>
                    <w:pStyle w:val="40"/>
                    <w:keepLines w:val="0"/>
                    <w:pageBreakBefore w:val="0"/>
                    <w:kinsoku/>
                    <w:wordWrap/>
                    <w:topLinePunct w:val="0"/>
                    <w:autoSpaceDE/>
                    <w:autoSpaceDN/>
                    <w:bidi w:val="0"/>
                    <w:spacing w:beforeAutospacing="0" w:afterAutospacing="0"/>
                    <w:textAlignment w:val="auto"/>
                    <w:rPr>
                      <w:rFonts w:hint="eastAsia"/>
                    </w:rPr>
                  </w:pPr>
                  <w:r>
                    <w:rPr>
                      <w:rFonts w:hint="eastAsia"/>
                    </w:rPr>
                    <w:t>排放方式</w:t>
                  </w:r>
                </w:p>
              </w:tc>
              <w:tc>
                <w:tcPr>
                  <w:tcW w:w="3173" w:type="dxa"/>
                  <w:gridSpan w:val="2"/>
                  <w:tcBorders>
                    <w:tl2br w:val="nil"/>
                    <w:tr2bl w:val="nil"/>
                  </w:tcBorders>
                  <w:noWrap w:val="0"/>
                  <w:vAlign w:val="center"/>
                </w:tcPr>
                <w:p w14:paraId="0F46BBF2">
                  <w:pPr>
                    <w:pStyle w:val="40"/>
                    <w:keepLines w:val="0"/>
                    <w:pageBreakBefore w:val="0"/>
                    <w:kinsoku/>
                    <w:wordWrap/>
                    <w:topLinePunct w:val="0"/>
                    <w:autoSpaceDE/>
                    <w:autoSpaceDN/>
                    <w:bidi w:val="0"/>
                    <w:spacing w:beforeAutospacing="0" w:afterAutospacing="0"/>
                    <w:textAlignment w:val="auto"/>
                    <w:rPr>
                      <w:rFonts w:hint="eastAsia"/>
                    </w:rPr>
                  </w:pPr>
                  <w:r>
                    <w:rPr>
                      <w:rFonts w:hint="eastAsia"/>
                      <w:lang w:val="en-US" w:eastAsia="zh-CN"/>
                    </w:rPr>
                    <w:t>最高允许排放浓度</w:t>
                  </w:r>
                  <w:r>
                    <w:rPr>
                      <w:rFonts w:hint="eastAsia"/>
                      <w:lang w:eastAsia="zh-CN"/>
                    </w:rPr>
                    <w:t>（</w:t>
                  </w:r>
                  <w:r>
                    <w:t>mg/m</w:t>
                  </w:r>
                  <w:r>
                    <w:rPr>
                      <w:vertAlign w:val="superscript"/>
                    </w:rPr>
                    <w:t>3</w:t>
                  </w:r>
                  <w:r>
                    <w:rPr>
                      <w:rFonts w:hint="eastAsia"/>
                      <w:lang w:eastAsia="zh-CN"/>
                    </w:rPr>
                    <w:t>）</w:t>
                  </w:r>
                </w:p>
              </w:tc>
              <w:tc>
                <w:tcPr>
                  <w:tcW w:w="2855" w:type="dxa"/>
                  <w:tcBorders>
                    <w:tl2br w:val="nil"/>
                    <w:tr2bl w:val="nil"/>
                  </w:tcBorders>
                  <w:noWrap w:val="0"/>
                  <w:vAlign w:val="center"/>
                </w:tcPr>
                <w:p w14:paraId="4F3FBC9C">
                  <w:pPr>
                    <w:pStyle w:val="40"/>
                    <w:keepLines w:val="0"/>
                    <w:pageBreakBefore w:val="0"/>
                    <w:kinsoku/>
                    <w:wordWrap/>
                    <w:topLinePunct w:val="0"/>
                    <w:autoSpaceDE/>
                    <w:autoSpaceDN/>
                    <w:bidi w:val="0"/>
                    <w:spacing w:beforeAutospacing="0" w:afterAutospacing="0"/>
                    <w:textAlignment w:val="auto"/>
                    <w:rPr>
                      <w:rFonts w:hint="eastAsia"/>
                    </w:rPr>
                  </w:pPr>
                  <w:r>
                    <w:rPr>
                      <w:rFonts w:hint="eastAsia"/>
                    </w:rPr>
                    <w:t>执行标准</w:t>
                  </w:r>
                </w:p>
              </w:tc>
            </w:tr>
            <w:tr w14:paraId="6FC726C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0" w:type="dxa"/>
                  <w:tcBorders>
                    <w:tl2br w:val="nil"/>
                    <w:tr2bl w:val="nil"/>
                  </w:tcBorders>
                  <w:noWrap w:val="0"/>
                  <w:vAlign w:val="center"/>
                </w:tcPr>
                <w:p w14:paraId="5D77204B">
                  <w:pPr>
                    <w:pStyle w:val="40"/>
                    <w:keepLines w:val="0"/>
                    <w:pageBreakBefore w:val="0"/>
                    <w:kinsoku/>
                    <w:wordWrap/>
                    <w:topLinePunct w:val="0"/>
                    <w:autoSpaceDE/>
                    <w:autoSpaceDN/>
                    <w:bidi w:val="0"/>
                    <w:spacing w:beforeAutospacing="0" w:afterAutospacing="0"/>
                    <w:textAlignment w:val="auto"/>
                    <w:rPr>
                      <w:rFonts w:hint="eastAsia"/>
                    </w:rPr>
                  </w:pPr>
                  <w:r>
                    <w:rPr>
                      <w:rFonts w:hint="eastAsia"/>
                      <w:lang w:val="en-US" w:eastAsia="zh-CN"/>
                    </w:rPr>
                    <w:t>颗粒物</w:t>
                  </w:r>
                </w:p>
              </w:tc>
              <w:tc>
                <w:tcPr>
                  <w:tcW w:w="912" w:type="dxa"/>
                  <w:tcBorders>
                    <w:tl2br w:val="nil"/>
                    <w:tr2bl w:val="nil"/>
                  </w:tcBorders>
                  <w:noWrap w:val="0"/>
                  <w:vAlign w:val="center"/>
                </w:tcPr>
                <w:p w14:paraId="71247F1F">
                  <w:pPr>
                    <w:pStyle w:val="40"/>
                    <w:keepLines w:val="0"/>
                    <w:pageBreakBefore w:val="0"/>
                    <w:kinsoku/>
                    <w:wordWrap/>
                    <w:topLinePunct w:val="0"/>
                    <w:autoSpaceDE/>
                    <w:autoSpaceDN/>
                    <w:bidi w:val="0"/>
                    <w:spacing w:beforeAutospacing="0" w:afterAutospacing="0"/>
                    <w:textAlignment w:val="auto"/>
                    <w:rPr>
                      <w:rFonts w:hint="eastAsia"/>
                    </w:rPr>
                  </w:pPr>
                  <w:r>
                    <w:rPr>
                      <w:rFonts w:hint="eastAsia"/>
                      <w:lang w:val="en-US" w:eastAsia="zh-CN"/>
                    </w:rPr>
                    <w:t>施工扬尘</w:t>
                  </w:r>
                </w:p>
              </w:tc>
              <w:tc>
                <w:tcPr>
                  <w:tcW w:w="3173" w:type="dxa"/>
                  <w:gridSpan w:val="2"/>
                  <w:tcBorders>
                    <w:tl2br w:val="nil"/>
                    <w:tr2bl w:val="nil"/>
                  </w:tcBorders>
                  <w:noWrap w:val="0"/>
                  <w:vAlign w:val="center"/>
                </w:tcPr>
                <w:p w14:paraId="7B8D659D">
                  <w:pPr>
                    <w:pStyle w:val="40"/>
                    <w:keepLines w:val="0"/>
                    <w:pageBreakBefore w:val="0"/>
                    <w:kinsoku/>
                    <w:wordWrap/>
                    <w:topLinePunct w:val="0"/>
                    <w:autoSpaceDE/>
                    <w:autoSpaceDN/>
                    <w:bidi w:val="0"/>
                    <w:spacing w:beforeAutospacing="0" w:afterAutospacing="0"/>
                    <w:textAlignment w:val="auto"/>
                    <w:rPr>
                      <w:rFonts w:hint="eastAsia"/>
                    </w:rPr>
                  </w:pPr>
                  <w:r>
                    <w:rPr>
                      <w:rFonts w:hint="eastAsia"/>
                      <w:lang w:val="en-US" w:eastAsia="zh-CN"/>
                    </w:rPr>
                    <w:t>1</w:t>
                  </w:r>
                </w:p>
              </w:tc>
              <w:tc>
                <w:tcPr>
                  <w:tcW w:w="2855" w:type="dxa"/>
                  <w:tcBorders>
                    <w:tl2br w:val="nil"/>
                    <w:tr2bl w:val="nil"/>
                  </w:tcBorders>
                  <w:noWrap w:val="0"/>
                  <w:vAlign w:val="center"/>
                </w:tcPr>
                <w:p w14:paraId="23EA426C">
                  <w:pPr>
                    <w:pStyle w:val="40"/>
                    <w:keepLines w:val="0"/>
                    <w:pageBreakBefore w:val="0"/>
                    <w:kinsoku/>
                    <w:wordWrap/>
                    <w:topLinePunct w:val="0"/>
                    <w:autoSpaceDE/>
                    <w:autoSpaceDN/>
                    <w:bidi w:val="0"/>
                    <w:spacing w:beforeAutospacing="0" w:afterAutospacing="0"/>
                    <w:textAlignment w:val="auto"/>
                    <w:rPr>
                      <w:rFonts w:hint="eastAsia"/>
                    </w:rPr>
                  </w:pPr>
                  <w:r>
                    <w:rPr>
                      <w:rFonts w:hint="eastAsia"/>
                      <w:lang w:val="en-US" w:eastAsia="zh-CN"/>
                    </w:rPr>
                    <w:t>《大气污染物综合排放标准》（GB 16297-1996）</w:t>
                  </w:r>
                </w:p>
              </w:tc>
            </w:tr>
            <w:tr w14:paraId="15C8019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0" w:type="dxa"/>
                  <w:vMerge w:val="restart"/>
                  <w:tcBorders>
                    <w:tl2br w:val="nil"/>
                    <w:tr2bl w:val="nil"/>
                  </w:tcBorders>
                  <w:noWrap w:val="0"/>
                  <w:vAlign w:val="center"/>
                </w:tcPr>
                <w:p w14:paraId="65736614">
                  <w:pPr>
                    <w:pStyle w:val="40"/>
                    <w:keepLines w:val="0"/>
                    <w:pageBreakBefore w:val="0"/>
                    <w:kinsoku/>
                    <w:wordWrap/>
                    <w:topLinePunct w:val="0"/>
                    <w:autoSpaceDE/>
                    <w:autoSpaceDN/>
                    <w:bidi w:val="0"/>
                    <w:spacing w:beforeAutospacing="0" w:afterAutospacing="0"/>
                    <w:textAlignment w:val="auto"/>
                    <w:rPr>
                      <w:rFonts w:hint="eastAsia"/>
                    </w:rPr>
                  </w:pPr>
                  <w:r>
                    <w:rPr>
                      <w:rFonts w:hint="eastAsia"/>
                    </w:rPr>
                    <w:t>颗粒物</w:t>
                  </w:r>
                </w:p>
              </w:tc>
              <w:tc>
                <w:tcPr>
                  <w:tcW w:w="912" w:type="dxa"/>
                  <w:tcBorders>
                    <w:tl2br w:val="nil"/>
                    <w:tr2bl w:val="nil"/>
                  </w:tcBorders>
                  <w:noWrap w:val="0"/>
                  <w:vAlign w:val="center"/>
                </w:tcPr>
                <w:p w14:paraId="666915E2">
                  <w:pPr>
                    <w:pStyle w:val="40"/>
                    <w:keepLines w:val="0"/>
                    <w:pageBreakBefore w:val="0"/>
                    <w:kinsoku/>
                    <w:wordWrap/>
                    <w:topLinePunct w:val="0"/>
                    <w:autoSpaceDE/>
                    <w:autoSpaceDN/>
                    <w:bidi w:val="0"/>
                    <w:spacing w:beforeAutospacing="0" w:afterAutospacing="0"/>
                    <w:textAlignment w:val="auto"/>
                    <w:rPr>
                      <w:rFonts w:hint="eastAsia"/>
                    </w:rPr>
                  </w:pPr>
                  <w:r>
                    <w:rPr>
                      <w:rFonts w:hint="eastAsia"/>
                    </w:rPr>
                    <w:t>有组织</w:t>
                  </w:r>
                </w:p>
              </w:tc>
              <w:tc>
                <w:tcPr>
                  <w:tcW w:w="3173" w:type="dxa"/>
                  <w:gridSpan w:val="2"/>
                  <w:tcBorders>
                    <w:tl2br w:val="nil"/>
                    <w:tr2bl w:val="nil"/>
                  </w:tcBorders>
                  <w:noWrap w:val="0"/>
                  <w:vAlign w:val="center"/>
                </w:tcPr>
                <w:p w14:paraId="2A8CDB1D">
                  <w:pPr>
                    <w:pStyle w:val="40"/>
                    <w:keepLines w:val="0"/>
                    <w:pageBreakBefore w:val="0"/>
                    <w:kinsoku/>
                    <w:wordWrap/>
                    <w:topLinePunct w:val="0"/>
                    <w:autoSpaceDE/>
                    <w:autoSpaceDN/>
                    <w:bidi w:val="0"/>
                    <w:spacing w:beforeAutospacing="0" w:afterAutospacing="0"/>
                    <w:textAlignment w:val="auto"/>
                    <w:rPr>
                      <w:rFonts w:hint="default"/>
                      <w:lang w:val="en-US"/>
                    </w:rPr>
                  </w:pPr>
                  <w:r>
                    <w:rPr>
                      <w:rFonts w:hint="eastAsia"/>
                      <w:lang w:val="en-US" w:eastAsia="zh-CN"/>
                    </w:rPr>
                    <w:t>20</w:t>
                  </w:r>
                </w:p>
              </w:tc>
              <w:tc>
                <w:tcPr>
                  <w:tcW w:w="2855" w:type="dxa"/>
                  <w:tcBorders>
                    <w:tl2br w:val="nil"/>
                    <w:tr2bl w:val="nil"/>
                  </w:tcBorders>
                  <w:noWrap w:val="0"/>
                  <w:vAlign w:val="center"/>
                </w:tcPr>
                <w:p w14:paraId="66ADDF6D">
                  <w:pPr>
                    <w:pStyle w:val="40"/>
                    <w:keepLines w:val="0"/>
                    <w:pageBreakBefore w:val="0"/>
                    <w:kinsoku/>
                    <w:wordWrap/>
                    <w:topLinePunct w:val="0"/>
                    <w:autoSpaceDE/>
                    <w:autoSpaceDN/>
                    <w:bidi w:val="0"/>
                    <w:spacing w:beforeAutospacing="0" w:afterAutospacing="0"/>
                    <w:textAlignment w:val="auto"/>
                    <w:rPr>
                      <w:rFonts w:hint="eastAsia" w:eastAsia="宋体"/>
                      <w:lang w:eastAsia="zh-CN"/>
                    </w:rPr>
                  </w:pPr>
                  <w:r>
                    <w:rPr>
                      <w:rFonts w:hint="eastAsia"/>
                    </w:rPr>
                    <w:t>《水泥工业大气污染物排放标准》（含2025年修改单）（GB</w:t>
                  </w:r>
                  <w:r>
                    <w:rPr>
                      <w:rFonts w:hint="eastAsia"/>
                      <w:lang w:val="en-US" w:eastAsia="zh-CN"/>
                    </w:rPr>
                    <w:t xml:space="preserve"> </w:t>
                  </w:r>
                  <w:r>
                    <w:rPr>
                      <w:rFonts w:hint="eastAsia"/>
                    </w:rPr>
                    <w:t>4915-2013）表</w:t>
                  </w:r>
                  <w:r>
                    <w:rPr>
                      <w:rFonts w:hint="eastAsia"/>
                      <w:lang w:val="en-US" w:eastAsia="zh-CN"/>
                    </w:rPr>
                    <w:t>1</w:t>
                  </w:r>
                </w:p>
              </w:tc>
            </w:tr>
            <w:tr w14:paraId="227A0F5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8" w:hRule="atLeast"/>
                <w:jc w:val="center"/>
              </w:trPr>
              <w:tc>
                <w:tcPr>
                  <w:tcW w:w="860" w:type="dxa"/>
                  <w:vMerge w:val="continue"/>
                  <w:tcBorders>
                    <w:tl2br w:val="nil"/>
                    <w:tr2bl w:val="nil"/>
                  </w:tcBorders>
                  <w:noWrap w:val="0"/>
                  <w:vAlign w:val="center"/>
                </w:tcPr>
                <w:p w14:paraId="29650829">
                  <w:pPr>
                    <w:pStyle w:val="40"/>
                    <w:keepLines w:val="0"/>
                    <w:pageBreakBefore w:val="0"/>
                    <w:kinsoku/>
                    <w:wordWrap/>
                    <w:topLinePunct w:val="0"/>
                    <w:autoSpaceDE/>
                    <w:autoSpaceDN/>
                    <w:bidi w:val="0"/>
                    <w:spacing w:beforeAutospacing="0" w:afterAutospacing="0"/>
                    <w:textAlignment w:val="auto"/>
                    <w:rPr>
                      <w:rFonts w:hint="eastAsia"/>
                    </w:rPr>
                  </w:pPr>
                </w:p>
              </w:tc>
              <w:tc>
                <w:tcPr>
                  <w:tcW w:w="912" w:type="dxa"/>
                  <w:tcBorders>
                    <w:tl2br w:val="nil"/>
                    <w:tr2bl w:val="nil"/>
                  </w:tcBorders>
                  <w:noWrap w:val="0"/>
                  <w:vAlign w:val="center"/>
                </w:tcPr>
                <w:p w14:paraId="532A0CC7">
                  <w:pPr>
                    <w:pStyle w:val="40"/>
                    <w:keepLines w:val="0"/>
                    <w:pageBreakBefore w:val="0"/>
                    <w:kinsoku/>
                    <w:wordWrap/>
                    <w:topLinePunct w:val="0"/>
                    <w:autoSpaceDE/>
                    <w:autoSpaceDN/>
                    <w:bidi w:val="0"/>
                    <w:spacing w:beforeAutospacing="0" w:afterAutospacing="0"/>
                    <w:textAlignment w:val="auto"/>
                    <w:rPr>
                      <w:rFonts w:hint="eastAsia"/>
                    </w:rPr>
                  </w:pPr>
                  <w:r>
                    <w:rPr>
                      <w:rFonts w:hint="eastAsia"/>
                    </w:rPr>
                    <w:t>无组织</w:t>
                  </w:r>
                </w:p>
              </w:tc>
              <w:tc>
                <w:tcPr>
                  <w:tcW w:w="850" w:type="dxa"/>
                  <w:tcBorders>
                    <w:bottom w:val="single" w:color="auto" w:sz="4" w:space="0"/>
                    <w:right w:val="single" w:color="auto" w:sz="4" w:space="0"/>
                    <w:tl2br w:val="nil"/>
                    <w:tr2bl w:val="nil"/>
                  </w:tcBorders>
                  <w:noWrap w:val="0"/>
                  <w:vAlign w:val="center"/>
                </w:tcPr>
                <w:p w14:paraId="29AFE842">
                  <w:pPr>
                    <w:pStyle w:val="40"/>
                    <w:keepLines w:val="0"/>
                    <w:pageBreakBefore w:val="0"/>
                    <w:kinsoku/>
                    <w:wordWrap/>
                    <w:topLinePunct w:val="0"/>
                    <w:autoSpaceDE/>
                    <w:autoSpaceDN/>
                    <w:bidi w:val="0"/>
                    <w:spacing w:beforeAutospacing="0" w:afterAutospacing="0"/>
                    <w:textAlignment w:val="auto"/>
                    <w:rPr>
                      <w:rFonts w:hint="default" w:eastAsia="宋体"/>
                      <w:lang w:val="en-US" w:eastAsia="zh-CN"/>
                    </w:rPr>
                  </w:pPr>
                  <w:r>
                    <w:rPr>
                      <w:rFonts w:hint="eastAsia"/>
                      <w:lang w:val="en-US" w:eastAsia="zh-CN"/>
                    </w:rPr>
                    <w:t>营运期</w:t>
                  </w:r>
                </w:p>
              </w:tc>
              <w:tc>
                <w:tcPr>
                  <w:tcW w:w="2323" w:type="dxa"/>
                  <w:tcBorders>
                    <w:left w:val="single" w:color="auto" w:sz="4" w:space="0"/>
                    <w:bottom w:val="single" w:color="auto" w:sz="4" w:space="0"/>
                    <w:tl2br w:val="nil"/>
                    <w:tr2bl w:val="nil"/>
                  </w:tcBorders>
                  <w:noWrap w:val="0"/>
                  <w:vAlign w:val="center"/>
                </w:tcPr>
                <w:p w14:paraId="429F2126">
                  <w:pPr>
                    <w:pStyle w:val="40"/>
                    <w:keepLines w:val="0"/>
                    <w:pageBreakBefore w:val="0"/>
                    <w:kinsoku/>
                    <w:wordWrap/>
                    <w:topLinePunct w:val="0"/>
                    <w:autoSpaceDE/>
                    <w:autoSpaceDN/>
                    <w:bidi w:val="0"/>
                    <w:spacing w:beforeAutospacing="0" w:afterAutospacing="0"/>
                    <w:textAlignment w:val="auto"/>
                  </w:pPr>
                  <w:r>
                    <w:t>0.5</w:t>
                  </w:r>
                  <w:r>
                    <w:rPr>
                      <w:rFonts w:hint="eastAsia"/>
                      <w:lang w:eastAsia="zh-CN"/>
                    </w:rPr>
                    <w:t>（</w:t>
                  </w:r>
                  <w:r>
                    <w:rPr>
                      <w:rFonts w:hint="eastAsia"/>
                      <w:lang w:val="en-US" w:eastAsia="zh-CN"/>
                    </w:rPr>
                    <w:t>监测点与参照点总悬浮颗粒物（TSP）1小时浓度值的差值</w:t>
                  </w:r>
                  <w:r>
                    <w:rPr>
                      <w:rFonts w:hint="eastAsia"/>
                      <w:lang w:eastAsia="zh-CN"/>
                    </w:rPr>
                    <w:t>）</w:t>
                  </w:r>
                </w:p>
              </w:tc>
              <w:tc>
                <w:tcPr>
                  <w:tcW w:w="2855" w:type="dxa"/>
                  <w:tcBorders>
                    <w:bottom w:val="single" w:color="auto" w:sz="4" w:space="0"/>
                    <w:tl2br w:val="nil"/>
                    <w:tr2bl w:val="nil"/>
                  </w:tcBorders>
                  <w:noWrap w:val="0"/>
                  <w:vAlign w:val="center"/>
                </w:tcPr>
                <w:p w14:paraId="0B72A46C">
                  <w:pPr>
                    <w:pStyle w:val="40"/>
                    <w:keepLines w:val="0"/>
                    <w:pageBreakBefore w:val="0"/>
                    <w:kinsoku/>
                    <w:wordWrap/>
                    <w:topLinePunct w:val="0"/>
                    <w:autoSpaceDE/>
                    <w:autoSpaceDN/>
                    <w:bidi w:val="0"/>
                    <w:spacing w:beforeAutospacing="0" w:afterAutospacing="0"/>
                    <w:textAlignment w:val="auto"/>
                    <w:rPr>
                      <w:rFonts w:hint="eastAsia"/>
                    </w:rPr>
                  </w:pPr>
                  <w:r>
                    <w:rPr>
                      <w:rFonts w:hint="eastAsia"/>
                    </w:rPr>
                    <w:t>《水泥工业大气污染物排放标准》（含2025年修改单）（GB</w:t>
                  </w:r>
                  <w:r>
                    <w:rPr>
                      <w:rFonts w:hint="eastAsia"/>
                      <w:lang w:val="en-US" w:eastAsia="zh-CN"/>
                    </w:rPr>
                    <w:t xml:space="preserve"> </w:t>
                  </w:r>
                  <w:r>
                    <w:rPr>
                      <w:rFonts w:hint="eastAsia"/>
                    </w:rPr>
                    <w:t>4915-2013）表3</w:t>
                  </w:r>
                </w:p>
              </w:tc>
            </w:tr>
            <w:tr w14:paraId="00E0AE0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0" w:type="dxa"/>
                  <w:tcBorders>
                    <w:tl2br w:val="nil"/>
                    <w:tr2bl w:val="nil"/>
                  </w:tcBorders>
                  <w:noWrap w:val="0"/>
                  <w:vAlign w:val="center"/>
                </w:tcPr>
                <w:p w14:paraId="78345082">
                  <w:pPr>
                    <w:pStyle w:val="40"/>
                    <w:keepLines w:val="0"/>
                    <w:pageBreakBefore w:val="0"/>
                    <w:kinsoku/>
                    <w:wordWrap/>
                    <w:topLinePunct w:val="0"/>
                    <w:autoSpaceDE/>
                    <w:autoSpaceDN/>
                    <w:bidi w:val="0"/>
                    <w:spacing w:beforeAutospacing="0" w:afterAutospacing="0"/>
                    <w:textAlignment w:val="auto"/>
                    <w:rPr>
                      <w:rFonts w:hint="eastAsia"/>
                    </w:rPr>
                  </w:pPr>
                  <w:r>
                    <w:rPr>
                      <w:rFonts w:hint="eastAsia"/>
                      <w:lang w:val="en-US" w:eastAsia="zh-CN"/>
                    </w:rPr>
                    <w:t>食堂油烟废气</w:t>
                  </w:r>
                </w:p>
              </w:tc>
              <w:tc>
                <w:tcPr>
                  <w:tcW w:w="912" w:type="dxa"/>
                  <w:tcBorders>
                    <w:tl2br w:val="nil"/>
                    <w:tr2bl w:val="nil"/>
                  </w:tcBorders>
                  <w:noWrap w:val="0"/>
                  <w:vAlign w:val="center"/>
                </w:tcPr>
                <w:p w14:paraId="7EE6D525">
                  <w:pPr>
                    <w:pStyle w:val="40"/>
                    <w:keepLines w:val="0"/>
                    <w:pageBreakBefore w:val="0"/>
                    <w:kinsoku/>
                    <w:wordWrap/>
                    <w:topLinePunct w:val="0"/>
                    <w:autoSpaceDE/>
                    <w:autoSpaceDN/>
                    <w:bidi w:val="0"/>
                    <w:spacing w:beforeAutospacing="0" w:afterAutospacing="0"/>
                    <w:textAlignment w:val="auto"/>
                    <w:rPr>
                      <w:rFonts w:hint="eastAsia"/>
                    </w:rPr>
                  </w:pPr>
                  <w:r>
                    <w:rPr>
                      <w:rFonts w:hint="eastAsia"/>
                    </w:rPr>
                    <w:t>有组织</w:t>
                  </w:r>
                </w:p>
              </w:tc>
              <w:tc>
                <w:tcPr>
                  <w:tcW w:w="3173" w:type="dxa"/>
                  <w:gridSpan w:val="2"/>
                  <w:tcBorders>
                    <w:tl2br w:val="nil"/>
                    <w:tr2bl w:val="nil"/>
                  </w:tcBorders>
                  <w:noWrap w:val="0"/>
                  <w:vAlign w:val="center"/>
                </w:tcPr>
                <w:p w14:paraId="16DC3FA7">
                  <w:pPr>
                    <w:pStyle w:val="40"/>
                    <w:keepLines w:val="0"/>
                    <w:pageBreakBefore w:val="0"/>
                    <w:kinsoku/>
                    <w:wordWrap/>
                    <w:topLinePunct w:val="0"/>
                    <w:autoSpaceDE/>
                    <w:autoSpaceDN/>
                    <w:bidi w:val="0"/>
                    <w:spacing w:beforeAutospacing="0" w:afterAutospacing="0"/>
                    <w:textAlignment w:val="auto"/>
                    <w:rPr>
                      <w:rFonts w:hint="eastAsia" w:eastAsia="宋体"/>
                      <w:lang w:val="en-US" w:eastAsia="zh-CN"/>
                    </w:rPr>
                  </w:pPr>
                  <w:r>
                    <w:rPr>
                      <w:rFonts w:hint="eastAsia"/>
                      <w:lang w:val="en-US" w:eastAsia="zh-CN"/>
                    </w:rPr>
                    <w:t>2</w:t>
                  </w:r>
                  <w:r>
                    <w:rPr>
                      <w:rFonts w:hint="eastAsia"/>
                      <w:lang w:eastAsia="zh-CN"/>
                    </w:rPr>
                    <w:t>（</w:t>
                  </w:r>
                  <w:r>
                    <w:rPr>
                      <w:rFonts w:hint="eastAsia"/>
                      <w:lang w:val="en-US" w:eastAsia="zh-CN"/>
                    </w:rPr>
                    <w:t>最低去除效率60%</w:t>
                  </w:r>
                  <w:r>
                    <w:rPr>
                      <w:rFonts w:hint="eastAsia"/>
                      <w:lang w:eastAsia="zh-CN"/>
                    </w:rPr>
                    <w:t>）</w:t>
                  </w:r>
                </w:p>
              </w:tc>
              <w:tc>
                <w:tcPr>
                  <w:tcW w:w="2855" w:type="dxa"/>
                  <w:tcBorders>
                    <w:tl2br w:val="nil"/>
                    <w:tr2bl w:val="nil"/>
                  </w:tcBorders>
                  <w:noWrap w:val="0"/>
                  <w:vAlign w:val="center"/>
                </w:tcPr>
                <w:p w14:paraId="09AB5EE7">
                  <w:pPr>
                    <w:pStyle w:val="40"/>
                    <w:keepLines w:val="0"/>
                    <w:pageBreakBefore w:val="0"/>
                    <w:kinsoku/>
                    <w:wordWrap/>
                    <w:topLinePunct w:val="0"/>
                    <w:autoSpaceDE/>
                    <w:autoSpaceDN/>
                    <w:bidi w:val="0"/>
                    <w:spacing w:beforeAutospacing="0" w:afterAutospacing="0"/>
                    <w:textAlignment w:val="auto"/>
                    <w:rPr>
                      <w:rFonts w:hint="eastAsia"/>
                    </w:rPr>
                  </w:pPr>
                  <w:r>
                    <w:rPr>
                      <w:rFonts w:hint="eastAsia"/>
                      <w:lang w:val="en-US" w:eastAsia="zh-CN"/>
                    </w:rPr>
                    <w:t>《饮食业油烟排放标准（试行）》（GB 18483-2001）</w:t>
                  </w:r>
                </w:p>
              </w:tc>
            </w:tr>
          </w:tbl>
          <w:p w14:paraId="01434A31">
            <w:pPr>
              <w:pStyle w:val="2"/>
              <w:keepLines w:val="0"/>
              <w:pageBreakBefore w:val="0"/>
              <w:numPr>
                <w:ilvl w:val="0"/>
                <w:numId w:val="0"/>
              </w:numPr>
              <w:kinsoku/>
              <w:wordWrap/>
              <w:topLinePunct w:val="0"/>
              <w:autoSpaceDE/>
              <w:autoSpaceDN/>
              <w:bidi w:val="0"/>
              <w:spacing w:beforeAutospacing="0" w:afterAutospacing="0"/>
              <w:ind w:leftChars="0"/>
              <w:textAlignment w:val="auto"/>
              <w:rPr>
                <w:rFonts w:hint="eastAsia"/>
                <w:lang w:val="en-US" w:eastAsia="zh-CN"/>
              </w:rPr>
            </w:pPr>
            <w:r>
              <w:rPr>
                <w:rFonts w:hint="eastAsia"/>
                <w:lang w:val="en-US" w:eastAsia="zh-CN"/>
              </w:rPr>
              <w:t>2.废水</w:t>
            </w:r>
          </w:p>
          <w:p w14:paraId="3CF20141">
            <w:pPr>
              <w:keepNext w:val="0"/>
              <w:keepLines w:val="0"/>
              <w:pageBreakBefore w:val="0"/>
              <w:kinsoku/>
              <w:wordWrap/>
              <w:overflowPunct/>
              <w:topLinePunct w:val="0"/>
              <w:autoSpaceDE/>
              <w:autoSpaceDN/>
              <w:bidi w:val="0"/>
              <w:spacing w:line="520" w:lineRule="exact"/>
              <w:ind w:firstLine="480" w:firstLineChars="200"/>
              <w:contextualSpacing/>
              <w:textAlignment w:val="auto"/>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本项目</w:t>
            </w:r>
            <w:r>
              <w:rPr>
                <w:rFonts w:hint="eastAsia" w:cs="Times New Roman"/>
                <w:color w:val="000000"/>
                <w:kern w:val="0"/>
                <w:sz w:val="24"/>
                <w:szCs w:val="24"/>
                <w:lang w:val="en-US" w:eastAsia="zh-CN"/>
              </w:rPr>
              <w:t>生活污水先经化粪池预处理后拉运至若羌县城镇污水处理厂进行集中处理，生活污水排放标准执行《污水综合排放标准》（GB8978-1996）三级标准。</w:t>
            </w:r>
          </w:p>
          <w:p w14:paraId="615D8D03">
            <w:pPr>
              <w:pStyle w:val="42"/>
              <w:bidi w:val="0"/>
              <w:rPr>
                <w:rFonts w:hint="eastAsia" w:ascii="Times New Roman" w:hAnsi="Times New Roman" w:cs="Times New Roman"/>
                <w:vertAlign w:val="superscript"/>
                <w:lang w:val="en-US" w:eastAsia="zh-CN"/>
              </w:rPr>
            </w:pPr>
            <w:r>
              <w:rPr>
                <w:rFonts w:hint="default" w:ascii="Times New Roman" w:hAnsi="Times New Roman" w:cs="Times New Roman"/>
                <w:lang w:val="en-US" w:eastAsia="zh-CN"/>
              </w:rPr>
              <w:t>表3-</w:t>
            </w:r>
            <w:r>
              <w:rPr>
                <w:rFonts w:hint="eastAsia" w:cs="Times New Roman"/>
                <w:lang w:val="en-US" w:eastAsia="zh-CN"/>
              </w:rPr>
              <w:t>5</w:t>
            </w:r>
            <w:r>
              <w:rPr>
                <w:rFonts w:hint="eastAsia" w:ascii="Times New Roman" w:hAnsi="Times New Roman" w:cs="Times New Roman"/>
                <w:lang w:val="en-US" w:eastAsia="zh-CN"/>
              </w:rPr>
              <w:t xml:space="preserve">   运营期污水</w:t>
            </w:r>
            <w:r>
              <w:rPr>
                <w:rFonts w:hint="default" w:ascii="Times New Roman" w:hAnsi="Times New Roman" w:cs="Times New Roman"/>
                <w:lang w:val="en-US" w:eastAsia="zh-CN"/>
              </w:rPr>
              <w:t>排放标准</w:t>
            </w:r>
            <w:r>
              <w:rPr>
                <w:rFonts w:hint="eastAsia" w:ascii="Times New Roman" w:hAnsi="Times New Roman" w:cs="Times New Roman"/>
                <w:lang w:val="en-US" w:eastAsia="zh-CN"/>
              </w:rPr>
              <w:t xml:space="preserve">   单位：mg/m</w:t>
            </w:r>
            <w:r>
              <w:rPr>
                <w:rFonts w:hint="eastAsia" w:ascii="Times New Roman" w:hAnsi="Times New Roman" w:cs="Times New Roman"/>
                <w:vertAlign w:val="superscript"/>
                <w:lang w:val="en-US" w:eastAsia="zh-CN"/>
              </w:rPr>
              <w:t>3</w:t>
            </w:r>
          </w:p>
          <w:tbl>
            <w:tblPr>
              <w:tblStyle w:val="23"/>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8"/>
              <w:gridCol w:w="2657"/>
              <w:gridCol w:w="2659"/>
            </w:tblGrid>
            <w:tr w14:paraId="03D7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58" w:type="dxa"/>
                  <w:vAlign w:val="center"/>
                </w:tcPr>
                <w:p w14:paraId="7FFA7D25">
                  <w:pPr>
                    <w:pStyle w:val="40"/>
                    <w:bidi w:val="0"/>
                    <w:jc w:val="center"/>
                    <w:rPr>
                      <w:rFonts w:hint="eastAsia"/>
                      <w:lang w:val="en-US" w:eastAsia="zh-CN"/>
                    </w:rPr>
                  </w:pPr>
                  <w:r>
                    <w:rPr>
                      <w:rFonts w:hint="eastAsia"/>
                      <w:lang w:val="en-US" w:eastAsia="zh-CN"/>
                    </w:rPr>
                    <w:t>污染物</w:t>
                  </w:r>
                </w:p>
              </w:tc>
              <w:tc>
                <w:tcPr>
                  <w:tcW w:w="2657" w:type="dxa"/>
                  <w:vAlign w:val="center"/>
                </w:tcPr>
                <w:p w14:paraId="26F3014F">
                  <w:pPr>
                    <w:pStyle w:val="40"/>
                    <w:bidi w:val="0"/>
                    <w:jc w:val="center"/>
                    <w:rPr>
                      <w:rFonts w:hint="eastAsia"/>
                      <w:lang w:val="en-US" w:eastAsia="zh-CN"/>
                    </w:rPr>
                  </w:pPr>
                  <w:r>
                    <w:rPr>
                      <w:rFonts w:hint="eastAsia"/>
                      <w:lang w:val="en-US" w:eastAsia="zh-CN"/>
                    </w:rPr>
                    <w:t>限值</w:t>
                  </w:r>
                </w:p>
              </w:tc>
              <w:tc>
                <w:tcPr>
                  <w:tcW w:w="2659" w:type="dxa"/>
                  <w:vAlign w:val="center"/>
                </w:tcPr>
                <w:p w14:paraId="14950FA5">
                  <w:pPr>
                    <w:pStyle w:val="40"/>
                    <w:bidi w:val="0"/>
                    <w:jc w:val="center"/>
                    <w:rPr>
                      <w:rFonts w:hint="eastAsia"/>
                      <w:lang w:val="en-US" w:eastAsia="zh-CN"/>
                    </w:rPr>
                  </w:pPr>
                  <w:r>
                    <w:rPr>
                      <w:rFonts w:hint="eastAsia"/>
                      <w:lang w:val="en-US" w:eastAsia="zh-CN"/>
                    </w:rPr>
                    <w:t>备注</w:t>
                  </w:r>
                </w:p>
              </w:tc>
            </w:tr>
            <w:tr w14:paraId="6C88D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658" w:type="dxa"/>
                  <w:shd w:val="clear" w:color="auto" w:fill="auto"/>
                  <w:vAlign w:val="center"/>
                </w:tcPr>
                <w:p w14:paraId="75BDC100">
                  <w:pPr>
                    <w:pStyle w:val="40"/>
                    <w:bidi w:val="0"/>
                    <w:jc w:val="center"/>
                    <w:rPr>
                      <w:rFonts w:hint="eastAsia"/>
                      <w:lang w:val="en-US" w:eastAsia="zh-CN"/>
                    </w:rPr>
                  </w:pPr>
                  <w:r>
                    <w:rPr>
                      <w:rFonts w:hint="eastAsia"/>
                      <w:lang w:val="en-US" w:eastAsia="zh-CN"/>
                    </w:rPr>
                    <w:t>COD</w:t>
                  </w:r>
                </w:p>
              </w:tc>
              <w:tc>
                <w:tcPr>
                  <w:tcW w:w="2657" w:type="dxa"/>
                  <w:vAlign w:val="center"/>
                </w:tcPr>
                <w:p w14:paraId="2759DC3A">
                  <w:pPr>
                    <w:pStyle w:val="40"/>
                    <w:bidi w:val="0"/>
                    <w:jc w:val="center"/>
                    <w:rPr>
                      <w:rFonts w:hint="default"/>
                      <w:lang w:val="en-US" w:eastAsia="zh-CN"/>
                    </w:rPr>
                  </w:pPr>
                  <w:r>
                    <w:rPr>
                      <w:rFonts w:hint="eastAsia"/>
                      <w:lang w:val="en-US" w:eastAsia="zh-CN"/>
                    </w:rPr>
                    <w:t>500</w:t>
                  </w:r>
                </w:p>
              </w:tc>
              <w:tc>
                <w:tcPr>
                  <w:tcW w:w="2659" w:type="dxa"/>
                  <w:vMerge w:val="restart"/>
                  <w:vAlign w:val="center"/>
                </w:tcPr>
                <w:p w14:paraId="56CDE36C">
                  <w:pPr>
                    <w:pStyle w:val="40"/>
                    <w:bidi w:val="0"/>
                    <w:jc w:val="center"/>
                    <w:rPr>
                      <w:rFonts w:hint="eastAsia"/>
                      <w:lang w:val="en-US" w:eastAsia="zh-CN"/>
                    </w:rPr>
                  </w:pPr>
                  <w:r>
                    <w:rPr>
                      <w:rFonts w:hint="default"/>
                      <w:lang w:val="en-US" w:eastAsia="zh-CN"/>
                    </w:rPr>
                    <w:t>《污水综合排放标准》（GB8978-1996）</w:t>
                  </w:r>
                  <w:r>
                    <w:rPr>
                      <w:rFonts w:hint="eastAsia"/>
                      <w:lang w:val="en-US" w:eastAsia="zh-CN"/>
                    </w:rPr>
                    <w:t>三</w:t>
                  </w:r>
                  <w:r>
                    <w:rPr>
                      <w:rFonts w:hint="default"/>
                      <w:lang w:val="en-US" w:eastAsia="zh-CN"/>
                    </w:rPr>
                    <w:t>级标准</w:t>
                  </w:r>
                </w:p>
              </w:tc>
            </w:tr>
            <w:tr w14:paraId="5A338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58" w:type="dxa"/>
                  <w:shd w:val="clear" w:color="auto" w:fill="auto"/>
                  <w:vAlign w:val="center"/>
                </w:tcPr>
                <w:p w14:paraId="0CEB5528">
                  <w:pPr>
                    <w:pStyle w:val="40"/>
                    <w:bidi w:val="0"/>
                    <w:jc w:val="center"/>
                    <w:rPr>
                      <w:rFonts w:hint="eastAsia"/>
                      <w:lang w:val="en-US" w:eastAsia="zh-CN"/>
                    </w:rPr>
                  </w:pPr>
                  <w:r>
                    <w:rPr>
                      <w:rFonts w:hint="eastAsia"/>
                      <w:lang w:val="en-US" w:eastAsia="zh-CN"/>
                    </w:rPr>
                    <w:t>BOD</w:t>
                  </w:r>
                  <w:r>
                    <w:rPr>
                      <w:rFonts w:hint="eastAsia"/>
                      <w:vertAlign w:val="subscript"/>
                      <w:lang w:val="en-US" w:eastAsia="zh-CN"/>
                    </w:rPr>
                    <w:t>5</w:t>
                  </w:r>
                </w:p>
              </w:tc>
              <w:tc>
                <w:tcPr>
                  <w:tcW w:w="2657" w:type="dxa"/>
                  <w:vAlign w:val="center"/>
                </w:tcPr>
                <w:p w14:paraId="0FEB2A78">
                  <w:pPr>
                    <w:pStyle w:val="40"/>
                    <w:bidi w:val="0"/>
                    <w:jc w:val="center"/>
                    <w:rPr>
                      <w:rFonts w:hint="default"/>
                      <w:lang w:val="en-US" w:eastAsia="zh-CN"/>
                    </w:rPr>
                  </w:pPr>
                  <w:r>
                    <w:rPr>
                      <w:rFonts w:hint="eastAsia"/>
                      <w:lang w:val="en-US" w:eastAsia="zh-CN"/>
                    </w:rPr>
                    <w:t>300</w:t>
                  </w:r>
                </w:p>
              </w:tc>
              <w:tc>
                <w:tcPr>
                  <w:tcW w:w="2659" w:type="dxa"/>
                  <w:vMerge w:val="continue"/>
                  <w:vAlign w:val="center"/>
                </w:tcPr>
                <w:p w14:paraId="4661D685">
                  <w:pPr>
                    <w:pStyle w:val="40"/>
                    <w:bidi w:val="0"/>
                    <w:jc w:val="center"/>
                    <w:rPr>
                      <w:rFonts w:hint="eastAsia"/>
                      <w:lang w:val="en-US" w:eastAsia="zh-CN"/>
                    </w:rPr>
                  </w:pPr>
                </w:p>
              </w:tc>
            </w:tr>
            <w:tr w14:paraId="004E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658" w:type="dxa"/>
                  <w:shd w:val="clear" w:color="auto" w:fill="auto"/>
                  <w:vAlign w:val="center"/>
                </w:tcPr>
                <w:p w14:paraId="6B84AD3F">
                  <w:pPr>
                    <w:pStyle w:val="40"/>
                    <w:bidi w:val="0"/>
                    <w:jc w:val="center"/>
                    <w:rPr>
                      <w:rFonts w:hint="eastAsia"/>
                      <w:lang w:val="en-US" w:eastAsia="zh-CN"/>
                    </w:rPr>
                  </w:pPr>
                  <w:r>
                    <w:rPr>
                      <w:rFonts w:hint="eastAsia"/>
                      <w:lang w:val="en-US" w:eastAsia="zh-CN"/>
                    </w:rPr>
                    <w:t>SS</w:t>
                  </w:r>
                </w:p>
              </w:tc>
              <w:tc>
                <w:tcPr>
                  <w:tcW w:w="2657" w:type="dxa"/>
                  <w:vAlign w:val="center"/>
                </w:tcPr>
                <w:p w14:paraId="1C092736">
                  <w:pPr>
                    <w:pStyle w:val="40"/>
                    <w:bidi w:val="0"/>
                    <w:jc w:val="center"/>
                    <w:rPr>
                      <w:rFonts w:hint="default"/>
                      <w:lang w:val="en-US" w:eastAsia="zh-CN"/>
                    </w:rPr>
                  </w:pPr>
                  <w:r>
                    <w:rPr>
                      <w:rFonts w:hint="eastAsia"/>
                      <w:lang w:val="en-US" w:eastAsia="zh-CN"/>
                    </w:rPr>
                    <w:t>400</w:t>
                  </w:r>
                </w:p>
              </w:tc>
              <w:tc>
                <w:tcPr>
                  <w:tcW w:w="2659" w:type="dxa"/>
                  <w:vMerge w:val="continue"/>
                  <w:vAlign w:val="center"/>
                </w:tcPr>
                <w:p w14:paraId="311B811D">
                  <w:pPr>
                    <w:pStyle w:val="40"/>
                    <w:bidi w:val="0"/>
                    <w:jc w:val="center"/>
                    <w:rPr>
                      <w:rFonts w:hint="eastAsia"/>
                      <w:lang w:val="en-US" w:eastAsia="zh-CN"/>
                    </w:rPr>
                  </w:pPr>
                </w:p>
              </w:tc>
            </w:tr>
            <w:tr w14:paraId="1290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58" w:type="dxa"/>
                  <w:shd w:val="clear" w:color="auto" w:fill="auto"/>
                  <w:vAlign w:val="center"/>
                </w:tcPr>
                <w:p w14:paraId="41B99E77">
                  <w:pPr>
                    <w:pStyle w:val="40"/>
                    <w:bidi w:val="0"/>
                    <w:jc w:val="center"/>
                    <w:rPr>
                      <w:rFonts w:hint="eastAsia"/>
                      <w:lang w:val="en-US" w:eastAsia="zh-CN"/>
                    </w:rPr>
                  </w:pPr>
                  <w:r>
                    <w:rPr>
                      <w:rFonts w:hint="eastAsia"/>
                      <w:lang w:val="en-US" w:eastAsia="zh-CN"/>
                    </w:rPr>
                    <w:t>氨氮</w:t>
                  </w:r>
                </w:p>
              </w:tc>
              <w:tc>
                <w:tcPr>
                  <w:tcW w:w="2657" w:type="dxa"/>
                  <w:vAlign w:val="center"/>
                </w:tcPr>
                <w:p w14:paraId="790C010C">
                  <w:pPr>
                    <w:pStyle w:val="40"/>
                    <w:bidi w:val="0"/>
                    <w:jc w:val="center"/>
                    <w:rPr>
                      <w:rFonts w:hint="default"/>
                      <w:lang w:val="en-US" w:eastAsia="zh-CN"/>
                    </w:rPr>
                  </w:pPr>
                  <w:r>
                    <w:rPr>
                      <w:rFonts w:hint="eastAsia"/>
                      <w:lang w:val="en-US" w:eastAsia="zh-CN"/>
                    </w:rPr>
                    <w:t>/</w:t>
                  </w:r>
                </w:p>
              </w:tc>
              <w:tc>
                <w:tcPr>
                  <w:tcW w:w="2659" w:type="dxa"/>
                  <w:vMerge w:val="continue"/>
                  <w:vAlign w:val="center"/>
                </w:tcPr>
                <w:p w14:paraId="71A654BA">
                  <w:pPr>
                    <w:pStyle w:val="40"/>
                    <w:bidi w:val="0"/>
                    <w:jc w:val="center"/>
                    <w:rPr>
                      <w:rFonts w:hint="eastAsia"/>
                      <w:lang w:val="en-US" w:eastAsia="zh-CN"/>
                    </w:rPr>
                  </w:pPr>
                </w:p>
              </w:tc>
            </w:tr>
            <w:tr w14:paraId="1724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658" w:type="dxa"/>
                  <w:vAlign w:val="center"/>
                </w:tcPr>
                <w:p w14:paraId="1DAD33B0">
                  <w:pPr>
                    <w:pStyle w:val="40"/>
                    <w:bidi w:val="0"/>
                    <w:jc w:val="center"/>
                    <w:rPr>
                      <w:rFonts w:hint="eastAsia"/>
                      <w:lang w:val="en-US" w:eastAsia="zh-CN"/>
                    </w:rPr>
                  </w:pPr>
                  <w:r>
                    <w:rPr>
                      <w:rFonts w:hint="eastAsia"/>
                      <w:lang w:val="en-US" w:eastAsia="zh-CN"/>
                    </w:rPr>
                    <w:t>动植物油</w:t>
                  </w:r>
                </w:p>
              </w:tc>
              <w:tc>
                <w:tcPr>
                  <w:tcW w:w="2657" w:type="dxa"/>
                  <w:vAlign w:val="center"/>
                </w:tcPr>
                <w:p w14:paraId="6C0C5037">
                  <w:pPr>
                    <w:pStyle w:val="40"/>
                    <w:bidi w:val="0"/>
                    <w:jc w:val="center"/>
                    <w:rPr>
                      <w:rFonts w:hint="default"/>
                      <w:lang w:val="en-US" w:eastAsia="zh-CN"/>
                    </w:rPr>
                  </w:pPr>
                  <w:r>
                    <w:rPr>
                      <w:rFonts w:hint="eastAsia"/>
                      <w:lang w:val="en-US" w:eastAsia="zh-CN"/>
                    </w:rPr>
                    <w:t>100</w:t>
                  </w:r>
                </w:p>
              </w:tc>
              <w:tc>
                <w:tcPr>
                  <w:tcW w:w="2659" w:type="dxa"/>
                  <w:vMerge w:val="continue"/>
                  <w:vAlign w:val="center"/>
                </w:tcPr>
                <w:p w14:paraId="216A56EE">
                  <w:pPr>
                    <w:pStyle w:val="40"/>
                    <w:bidi w:val="0"/>
                    <w:jc w:val="center"/>
                    <w:rPr>
                      <w:rFonts w:hint="eastAsia"/>
                      <w:lang w:val="en-US" w:eastAsia="zh-CN"/>
                    </w:rPr>
                  </w:pPr>
                </w:p>
              </w:tc>
            </w:tr>
          </w:tbl>
          <w:p w14:paraId="75D378B2">
            <w:pPr>
              <w:pStyle w:val="2"/>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3.</w:t>
            </w:r>
            <w:r>
              <w:rPr>
                <w:rFonts w:hint="default"/>
                <w:lang w:val="en-US" w:eastAsia="zh-CN"/>
              </w:rPr>
              <w:t>噪声</w:t>
            </w:r>
          </w:p>
          <w:p w14:paraId="389EA8F5">
            <w:pPr>
              <w:pStyle w:val="8"/>
              <w:keepNext w:val="0"/>
              <w:keepLines w:val="0"/>
              <w:pageBreakBefore w:val="0"/>
              <w:widowControl/>
              <w:numPr>
                <w:ilvl w:val="0"/>
                <w:numId w:val="1"/>
              </w:numPr>
              <w:kinsoku/>
              <w:wordWrap w:val="0"/>
              <w:overflowPunct/>
              <w:topLinePunct w:val="0"/>
              <w:autoSpaceDE/>
              <w:autoSpaceDN/>
              <w:bidi w:val="0"/>
              <w:adjustRightInd/>
              <w:snapToGrid w:val="0"/>
              <w:spacing w:beforeAutospacing="0" w:afterAutospacing="0"/>
              <w:textAlignment w:val="auto"/>
              <w:rPr>
                <w:rFonts w:hint="default"/>
                <w:lang w:val="en-US" w:eastAsia="zh-CN"/>
              </w:rPr>
            </w:pPr>
            <w:r>
              <w:rPr>
                <w:rFonts w:hint="default"/>
                <w:lang w:val="en-US" w:eastAsia="zh-CN"/>
              </w:rPr>
              <w:t>施工噪声执行《建筑施工噪声排放标准》（GB12523-2025）</w:t>
            </w:r>
            <w:r>
              <w:rPr>
                <w:rFonts w:hint="eastAsia"/>
                <w:lang w:val="en-US" w:eastAsia="zh-CN"/>
              </w:rPr>
              <w:t>，</w:t>
            </w:r>
            <w:r>
              <w:rPr>
                <w:rFonts w:hint="default"/>
                <w:lang w:val="en-US" w:eastAsia="zh-CN"/>
              </w:rPr>
              <w:t>运营期厂界噪声执行满足《工业企业厂界环境噪声排放标准》（GB12348-2008）中</w:t>
            </w:r>
            <w:r>
              <w:rPr>
                <w:rFonts w:hint="eastAsia"/>
                <w:lang w:val="en-US" w:eastAsia="zh-CN"/>
              </w:rPr>
              <w:t>3</w:t>
            </w:r>
            <w:r>
              <w:rPr>
                <w:rFonts w:hint="default"/>
                <w:lang w:val="en-US" w:eastAsia="zh-CN"/>
              </w:rPr>
              <w:t>类标准，具体限值见下表。</w:t>
            </w:r>
          </w:p>
          <w:p w14:paraId="39C24B9D">
            <w:pPr>
              <w:pStyle w:val="42"/>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表3-</w:t>
            </w:r>
            <w:r>
              <w:rPr>
                <w:rFonts w:hint="eastAsia"/>
                <w:lang w:val="en-US" w:eastAsia="zh-CN"/>
              </w:rPr>
              <w:t>6</w:t>
            </w:r>
            <w:r>
              <w:rPr>
                <w:rFonts w:hint="default"/>
                <w:lang w:val="en-US" w:eastAsia="zh-CN"/>
              </w:rPr>
              <w:t xml:space="preserve">    噪声执行标准</w:t>
            </w:r>
          </w:p>
          <w:tbl>
            <w:tblPr>
              <w:tblStyle w:val="23"/>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1270"/>
              <w:gridCol w:w="1015"/>
              <w:gridCol w:w="3984"/>
            </w:tblGrid>
            <w:tr w14:paraId="77FA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restart"/>
                  <w:noWrap w:val="0"/>
                  <w:vAlign w:val="center"/>
                </w:tcPr>
                <w:p w14:paraId="09AA9458">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污染源</w:t>
                  </w:r>
                </w:p>
              </w:tc>
              <w:tc>
                <w:tcPr>
                  <w:tcW w:w="2285" w:type="dxa"/>
                  <w:gridSpan w:val="2"/>
                  <w:noWrap w:val="0"/>
                  <w:vAlign w:val="center"/>
                </w:tcPr>
                <w:p w14:paraId="4703E91B">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项目</w:t>
                  </w:r>
                </w:p>
              </w:tc>
              <w:tc>
                <w:tcPr>
                  <w:tcW w:w="3984" w:type="dxa"/>
                  <w:vMerge w:val="restart"/>
                  <w:noWrap w:val="0"/>
                  <w:vAlign w:val="center"/>
                </w:tcPr>
                <w:p w14:paraId="7B4EDE1E">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执行标准</w:t>
                  </w:r>
                </w:p>
              </w:tc>
            </w:tr>
            <w:tr w14:paraId="7E6B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noWrap w:val="0"/>
                  <w:vAlign w:val="center"/>
                </w:tcPr>
                <w:p w14:paraId="7B14C0DF">
                  <w:pPr>
                    <w:pStyle w:val="40"/>
                    <w:keepLines w:val="0"/>
                    <w:pageBreakBefore w:val="0"/>
                    <w:kinsoku/>
                    <w:wordWrap/>
                    <w:topLinePunct w:val="0"/>
                    <w:autoSpaceDE/>
                    <w:autoSpaceDN/>
                    <w:bidi w:val="0"/>
                    <w:spacing w:beforeAutospacing="0" w:afterAutospacing="0"/>
                    <w:textAlignment w:val="auto"/>
                    <w:rPr>
                      <w:rFonts w:hint="default"/>
                      <w:lang w:val="en-US" w:eastAsia="zh-CN"/>
                    </w:rPr>
                  </w:pPr>
                </w:p>
              </w:tc>
              <w:tc>
                <w:tcPr>
                  <w:tcW w:w="1270" w:type="dxa"/>
                  <w:noWrap w:val="0"/>
                  <w:vAlign w:val="center"/>
                </w:tcPr>
                <w:p w14:paraId="2326B85C">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时段</w:t>
                  </w:r>
                </w:p>
              </w:tc>
              <w:tc>
                <w:tcPr>
                  <w:tcW w:w="1015" w:type="dxa"/>
                  <w:noWrap w:val="0"/>
                  <w:vAlign w:val="center"/>
                </w:tcPr>
                <w:p w14:paraId="4D147D2E">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标准值</w:t>
                  </w:r>
                </w:p>
              </w:tc>
              <w:tc>
                <w:tcPr>
                  <w:tcW w:w="3984" w:type="dxa"/>
                  <w:vMerge w:val="continue"/>
                  <w:noWrap w:val="0"/>
                  <w:vAlign w:val="center"/>
                </w:tcPr>
                <w:p w14:paraId="06CF04FC">
                  <w:pPr>
                    <w:pStyle w:val="40"/>
                    <w:keepLines w:val="0"/>
                    <w:pageBreakBefore w:val="0"/>
                    <w:kinsoku/>
                    <w:wordWrap/>
                    <w:topLinePunct w:val="0"/>
                    <w:autoSpaceDE/>
                    <w:autoSpaceDN/>
                    <w:bidi w:val="0"/>
                    <w:spacing w:beforeAutospacing="0" w:afterAutospacing="0"/>
                    <w:textAlignment w:val="auto"/>
                    <w:rPr>
                      <w:rFonts w:hint="default"/>
                      <w:lang w:val="en-US" w:eastAsia="zh-CN"/>
                    </w:rPr>
                  </w:pPr>
                </w:p>
              </w:tc>
            </w:tr>
            <w:tr w14:paraId="1B6A0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restart"/>
                  <w:noWrap w:val="0"/>
                  <w:vAlign w:val="center"/>
                </w:tcPr>
                <w:p w14:paraId="0B9C33D6">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施工噪声</w:t>
                  </w:r>
                </w:p>
              </w:tc>
              <w:tc>
                <w:tcPr>
                  <w:tcW w:w="1270" w:type="dxa"/>
                  <w:noWrap w:val="0"/>
                  <w:vAlign w:val="center"/>
                </w:tcPr>
                <w:p w14:paraId="511E6DFF">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昼间</w:t>
                  </w:r>
                </w:p>
              </w:tc>
              <w:tc>
                <w:tcPr>
                  <w:tcW w:w="1015" w:type="dxa"/>
                  <w:noWrap w:val="0"/>
                  <w:vAlign w:val="center"/>
                </w:tcPr>
                <w:p w14:paraId="5CC6D510">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70dB(A)</w:t>
                  </w:r>
                </w:p>
              </w:tc>
              <w:tc>
                <w:tcPr>
                  <w:tcW w:w="3984" w:type="dxa"/>
                  <w:vMerge w:val="restart"/>
                  <w:noWrap w:val="0"/>
                  <w:vAlign w:val="center"/>
                </w:tcPr>
                <w:p w14:paraId="05BAFBA4">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《建筑施工噪声排放标准》（GB12523-2025）</w:t>
                  </w:r>
                </w:p>
              </w:tc>
            </w:tr>
            <w:tr w14:paraId="5EF9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noWrap w:val="0"/>
                  <w:vAlign w:val="center"/>
                </w:tcPr>
                <w:p w14:paraId="1CDADF8C">
                  <w:pPr>
                    <w:pStyle w:val="40"/>
                    <w:keepLines w:val="0"/>
                    <w:pageBreakBefore w:val="0"/>
                    <w:kinsoku/>
                    <w:wordWrap/>
                    <w:topLinePunct w:val="0"/>
                    <w:autoSpaceDE/>
                    <w:autoSpaceDN/>
                    <w:bidi w:val="0"/>
                    <w:spacing w:beforeAutospacing="0" w:afterAutospacing="0"/>
                    <w:textAlignment w:val="auto"/>
                    <w:rPr>
                      <w:rFonts w:hint="eastAsia"/>
                      <w:lang w:val="en-US" w:eastAsia="zh-CN"/>
                    </w:rPr>
                  </w:pPr>
                </w:p>
              </w:tc>
              <w:tc>
                <w:tcPr>
                  <w:tcW w:w="1270" w:type="dxa"/>
                  <w:noWrap w:val="0"/>
                  <w:vAlign w:val="center"/>
                </w:tcPr>
                <w:p w14:paraId="3AD4AB8B">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夜间</w:t>
                  </w:r>
                </w:p>
              </w:tc>
              <w:tc>
                <w:tcPr>
                  <w:tcW w:w="1015" w:type="dxa"/>
                  <w:noWrap w:val="0"/>
                  <w:vAlign w:val="center"/>
                </w:tcPr>
                <w:p w14:paraId="19C25301">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55dB(A)</w:t>
                  </w:r>
                </w:p>
              </w:tc>
              <w:tc>
                <w:tcPr>
                  <w:tcW w:w="3984" w:type="dxa"/>
                  <w:vMerge w:val="continue"/>
                  <w:noWrap w:val="0"/>
                  <w:vAlign w:val="center"/>
                </w:tcPr>
                <w:p w14:paraId="13EF8287">
                  <w:pPr>
                    <w:pStyle w:val="40"/>
                    <w:keepLines w:val="0"/>
                    <w:pageBreakBefore w:val="0"/>
                    <w:kinsoku/>
                    <w:wordWrap/>
                    <w:topLinePunct w:val="0"/>
                    <w:autoSpaceDE/>
                    <w:autoSpaceDN/>
                    <w:bidi w:val="0"/>
                    <w:spacing w:beforeAutospacing="0" w:afterAutospacing="0"/>
                    <w:textAlignment w:val="auto"/>
                    <w:rPr>
                      <w:rFonts w:hint="default"/>
                      <w:lang w:val="en-US" w:eastAsia="zh-CN"/>
                    </w:rPr>
                  </w:pPr>
                </w:p>
              </w:tc>
            </w:tr>
            <w:tr w14:paraId="01AD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restart"/>
                  <w:noWrap w:val="0"/>
                  <w:vAlign w:val="center"/>
                </w:tcPr>
                <w:p w14:paraId="10073939">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厂界噪声</w:t>
                  </w:r>
                </w:p>
              </w:tc>
              <w:tc>
                <w:tcPr>
                  <w:tcW w:w="1270" w:type="dxa"/>
                  <w:noWrap w:val="0"/>
                  <w:vAlign w:val="center"/>
                </w:tcPr>
                <w:p w14:paraId="3CD6DACC">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昼间</w:t>
                  </w:r>
                </w:p>
              </w:tc>
              <w:tc>
                <w:tcPr>
                  <w:tcW w:w="1015" w:type="dxa"/>
                  <w:noWrap w:val="0"/>
                  <w:vAlign w:val="center"/>
                </w:tcPr>
                <w:p w14:paraId="57E218ED">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6</w:t>
                  </w:r>
                  <w:r>
                    <w:rPr>
                      <w:rFonts w:hint="eastAsia"/>
                      <w:lang w:val="en-US" w:eastAsia="zh-CN"/>
                    </w:rPr>
                    <w:t>5</w:t>
                  </w:r>
                  <w:r>
                    <w:rPr>
                      <w:rFonts w:hint="default"/>
                      <w:lang w:val="en-US" w:eastAsia="zh-CN"/>
                    </w:rPr>
                    <w:t>dB</w:t>
                  </w:r>
                  <w:r>
                    <w:rPr>
                      <w:rFonts w:hint="eastAsia"/>
                      <w:lang w:val="en-US" w:eastAsia="zh-CN"/>
                    </w:rPr>
                    <w:t>(</w:t>
                  </w:r>
                  <w:r>
                    <w:rPr>
                      <w:rFonts w:hint="default"/>
                      <w:lang w:val="en-US" w:eastAsia="zh-CN"/>
                    </w:rPr>
                    <w:t>A</w:t>
                  </w:r>
                  <w:r>
                    <w:rPr>
                      <w:rFonts w:hint="eastAsia"/>
                      <w:lang w:val="en-US" w:eastAsia="zh-CN"/>
                    </w:rPr>
                    <w:t>)</w:t>
                  </w:r>
                </w:p>
              </w:tc>
              <w:tc>
                <w:tcPr>
                  <w:tcW w:w="3984" w:type="dxa"/>
                  <w:vMerge w:val="restart"/>
                  <w:noWrap w:val="0"/>
                  <w:vAlign w:val="center"/>
                </w:tcPr>
                <w:p w14:paraId="04E5CBBD">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《工业企业厂界环境噪声排放标准》（GB12348-2008）</w:t>
                  </w:r>
                  <w:r>
                    <w:rPr>
                      <w:rFonts w:hint="eastAsia"/>
                      <w:lang w:val="en-US" w:eastAsia="zh-CN"/>
                    </w:rPr>
                    <w:t>3</w:t>
                  </w:r>
                  <w:r>
                    <w:rPr>
                      <w:rFonts w:hint="default"/>
                      <w:lang w:val="en-US" w:eastAsia="zh-CN"/>
                    </w:rPr>
                    <w:t>类标准</w:t>
                  </w:r>
                </w:p>
              </w:tc>
            </w:tr>
            <w:tr w14:paraId="3FA92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noWrap w:val="0"/>
                  <w:vAlign w:val="center"/>
                </w:tcPr>
                <w:p w14:paraId="32710901">
                  <w:pPr>
                    <w:pStyle w:val="40"/>
                    <w:keepLines w:val="0"/>
                    <w:pageBreakBefore w:val="0"/>
                    <w:kinsoku/>
                    <w:wordWrap/>
                    <w:topLinePunct w:val="0"/>
                    <w:autoSpaceDE/>
                    <w:autoSpaceDN/>
                    <w:bidi w:val="0"/>
                    <w:spacing w:beforeAutospacing="0" w:afterAutospacing="0"/>
                    <w:textAlignment w:val="auto"/>
                    <w:rPr>
                      <w:rFonts w:hint="eastAsia"/>
                      <w:lang w:val="en-US" w:eastAsia="zh-CN"/>
                    </w:rPr>
                  </w:pPr>
                </w:p>
              </w:tc>
              <w:tc>
                <w:tcPr>
                  <w:tcW w:w="1270" w:type="dxa"/>
                  <w:noWrap w:val="0"/>
                  <w:vAlign w:val="center"/>
                </w:tcPr>
                <w:p w14:paraId="7203CD63">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夜间</w:t>
                  </w:r>
                </w:p>
              </w:tc>
              <w:tc>
                <w:tcPr>
                  <w:tcW w:w="1015" w:type="dxa"/>
                  <w:noWrap w:val="0"/>
                  <w:vAlign w:val="center"/>
                </w:tcPr>
                <w:p w14:paraId="65CEB37F">
                  <w:pPr>
                    <w:pStyle w:val="40"/>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5</w:t>
                  </w:r>
                  <w:r>
                    <w:rPr>
                      <w:rFonts w:hint="eastAsia"/>
                      <w:lang w:val="en-US" w:eastAsia="zh-CN"/>
                    </w:rPr>
                    <w:t>5</w:t>
                  </w:r>
                  <w:r>
                    <w:rPr>
                      <w:rFonts w:hint="default"/>
                      <w:lang w:val="en-US" w:eastAsia="zh-CN"/>
                    </w:rPr>
                    <w:t>dB</w:t>
                  </w:r>
                  <w:r>
                    <w:rPr>
                      <w:rFonts w:hint="eastAsia"/>
                      <w:lang w:val="en-US" w:eastAsia="zh-CN"/>
                    </w:rPr>
                    <w:t>(</w:t>
                  </w:r>
                  <w:r>
                    <w:rPr>
                      <w:rFonts w:hint="default"/>
                      <w:lang w:val="en-US" w:eastAsia="zh-CN"/>
                    </w:rPr>
                    <w:t>A</w:t>
                  </w:r>
                  <w:r>
                    <w:rPr>
                      <w:rFonts w:hint="eastAsia"/>
                      <w:lang w:val="en-US" w:eastAsia="zh-CN"/>
                    </w:rPr>
                    <w:t>)</w:t>
                  </w:r>
                </w:p>
              </w:tc>
              <w:tc>
                <w:tcPr>
                  <w:tcW w:w="3984" w:type="dxa"/>
                  <w:vMerge w:val="continue"/>
                  <w:noWrap w:val="0"/>
                  <w:vAlign w:val="center"/>
                </w:tcPr>
                <w:p w14:paraId="3D04757C">
                  <w:pPr>
                    <w:pStyle w:val="40"/>
                    <w:keepLines w:val="0"/>
                    <w:pageBreakBefore w:val="0"/>
                    <w:kinsoku/>
                    <w:wordWrap/>
                    <w:topLinePunct w:val="0"/>
                    <w:autoSpaceDE/>
                    <w:autoSpaceDN/>
                    <w:bidi w:val="0"/>
                    <w:spacing w:beforeAutospacing="0" w:afterAutospacing="0"/>
                    <w:textAlignment w:val="auto"/>
                    <w:rPr>
                      <w:rFonts w:hint="default"/>
                      <w:lang w:val="en-US" w:eastAsia="zh-CN"/>
                    </w:rPr>
                  </w:pPr>
                </w:p>
              </w:tc>
            </w:tr>
          </w:tbl>
          <w:p w14:paraId="1197B3BA">
            <w:pPr>
              <w:pStyle w:val="2"/>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4.固废</w:t>
            </w:r>
          </w:p>
          <w:p w14:paraId="2EE5BF06">
            <w:pPr>
              <w:pStyle w:val="53"/>
              <w:bidi w:val="0"/>
              <w:rPr>
                <w:rFonts w:hint="default"/>
                <w:lang w:val="en-US" w:eastAsia="zh-CN"/>
              </w:rPr>
            </w:pPr>
            <w:r>
              <w:rPr>
                <w:rFonts w:hint="default"/>
                <w:lang w:val="en-US" w:eastAsia="zh-CN"/>
              </w:rPr>
              <w:t>本项目产生的一般固废执行《中华人民共和国固体废物污染环境防治法》（2020年9月1日起施行）、《一般工业固体废物贮存和填埋污染控制标准》（GB18599-2020）中相关标准</w:t>
            </w:r>
            <w:r>
              <w:rPr>
                <w:rFonts w:hint="eastAsia"/>
                <w:lang w:val="en-US" w:eastAsia="zh-CN"/>
              </w:rPr>
              <w:t>，</w:t>
            </w:r>
            <w:r>
              <w:rPr>
                <w:rFonts w:hint="default"/>
                <w:lang w:val="en-US" w:eastAsia="zh-CN"/>
              </w:rPr>
              <w:t>危险废物贮存执行《危险废物贮存污染控制标准》（GB18597-2023）。</w:t>
            </w:r>
          </w:p>
        </w:tc>
      </w:tr>
      <w:tr w14:paraId="2670F4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800" w:type="dxa"/>
            <w:noWrap w:val="0"/>
            <w:vAlign w:val="center"/>
          </w:tcPr>
          <w:p w14:paraId="320B4D82">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总量</w:t>
            </w:r>
          </w:p>
          <w:p w14:paraId="5586C716">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控制</w:t>
            </w:r>
          </w:p>
          <w:p w14:paraId="26FF34DC">
            <w:pPr>
              <w:keepLines w:val="0"/>
              <w:pageBreakBefore w:val="0"/>
              <w:kinsoku/>
              <w:wordWrap/>
              <w:topLinePunct w:val="0"/>
              <w:autoSpaceDE/>
              <w:autoSpaceDN/>
              <w:bidi w:val="0"/>
              <w:adjustRightInd w:val="0"/>
              <w:snapToGrid w:val="0"/>
              <w:spacing w:beforeAutospacing="0" w:afterAutospacing="0"/>
              <w:jc w:val="center"/>
              <w:textAlignment w:val="auto"/>
              <w:rPr>
                <w:rFonts w:ascii="宋体" w:hAnsi="宋体" w:cs="宋体"/>
                <w:kern w:val="0"/>
                <w:szCs w:val="21"/>
              </w:rPr>
            </w:pPr>
            <w:r>
              <w:rPr>
                <w:rFonts w:hint="eastAsia" w:ascii="宋体" w:hAnsi="宋体" w:cs="宋体"/>
                <w:kern w:val="0"/>
                <w:szCs w:val="21"/>
              </w:rPr>
              <w:t>指标</w:t>
            </w:r>
          </w:p>
        </w:tc>
        <w:tc>
          <w:tcPr>
            <w:tcW w:w="8190" w:type="dxa"/>
            <w:noWrap w:val="0"/>
            <w:vAlign w:val="center"/>
          </w:tcPr>
          <w:p w14:paraId="4C27CC65">
            <w:pPr>
              <w:pStyle w:val="8"/>
              <w:keepLines w:val="0"/>
              <w:pageBreakBefore w:val="0"/>
              <w:kinsoku/>
              <w:wordWrap/>
              <w:topLinePunct w:val="0"/>
              <w:autoSpaceDE/>
              <w:autoSpaceDN/>
              <w:bidi w:val="0"/>
              <w:spacing w:beforeAutospacing="0" w:afterAutospacing="0"/>
              <w:jc w:val="center"/>
              <w:textAlignment w:val="auto"/>
              <w:rPr>
                <w:rFonts w:hint="eastAsia" w:ascii="宋体" w:hAnsi="宋体" w:eastAsia="宋体" w:cs="宋体"/>
                <w:kern w:val="0"/>
                <w:szCs w:val="21"/>
                <w:lang w:val="en-US" w:eastAsia="zh-CN"/>
              </w:rPr>
            </w:pPr>
            <w:r>
              <w:rPr>
                <w:rFonts w:hint="eastAsia"/>
                <w:lang w:val="en-US" w:eastAsia="zh-CN"/>
              </w:rPr>
              <w:t>无</w:t>
            </w:r>
          </w:p>
        </w:tc>
      </w:tr>
    </w:tbl>
    <w:p w14:paraId="2519AD40">
      <w:pPr>
        <w:pStyle w:val="18"/>
        <w:keepLines w:val="0"/>
        <w:pageBreakBefore w:val="0"/>
        <w:kinsoku/>
        <w:wordWrap/>
        <w:topLinePunct w:val="0"/>
        <w:autoSpaceDE/>
        <w:autoSpaceDN/>
        <w:bidi w:val="0"/>
        <w:spacing w:beforeAutospacing="0" w:afterAutospacing="0"/>
        <w:jc w:val="center"/>
        <w:textAlignment w:val="auto"/>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4DEC00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7" w:hRule="atLeast"/>
          <w:jc w:val="center"/>
        </w:trPr>
        <w:tc>
          <w:tcPr>
            <w:tcW w:w="746" w:type="dxa"/>
            <w:noWrap w:val="0"/>
            <w:tcMar>
              <w:left w:w="28" w:type="dxa"/>
              <w:right w:w="28" w:type="dxa"/>
            </w:tcMar>
            <w:vAlign w:val="center"/>
          </w:tcPr>
          <w:p w14:paraId="01E98C76">
            <w:pPr>
              <w:pStyle w:val="18"/>
              <w:keepLines w:val="0"/>
              <w:pageBreakBefore w:val="0"/>
              <w:kinsoku/>
              <w:wordWrap/>
              <w:topLinePunct w:val="0"/>
              <w:autoSpaceDE/>
              <w:autoSpaceDN/>
              <w:bidi w:val="0"/>
              <w:adjustRightInd w:val="0"/>
              <w:snapToGrid w:val="0"/>
              <w:spacing w:before="0" w:beforeAutospacing="0" w:after="0" w:afterAutospacing="0"/>
              <w:jc w:val="center"/>
              <w:textAlignment w:val="auto"/>
              <w:rPr>
                <w:rFonts w:hint="eastAsia" w:cs="宋体"/>
                <w:kern w:val="2"/>
                <w:sz w:val="21"/>
                <w:szCs w:val="21"/>
              </w:rPr>
            </w:pPr>
            <w:r>
              <w:rPr>
                <w:rFonts w:hint="eastAsia" w:cs="宋体"/>
                <w:kern w:val="2"/>
                <w:sz w:val="21"/>
                <w:szCs w:val="21"/>
              </w:rPr>
              <w:t>施工</w:t>
            </w:r>
          </w:p>
          <w:p w14:paraId="72C75CDC">
            <w:pPr>
              <w:pStyle w:val="18"/>
              <w:keepLines w:val="0"/>
              <w:pageBreakBefore w:val="0"/>
              <w:kinsoku/>
              <w:wordWrap/>
              <w:topLinePunct w:val="0"/>
              <w:autoSpaceDE/>
              <w:autoSpaceDN/>
              <w:bidi w:val="0"/>
              <w:adjustRightInd w:val="0"/>
              <w:snapToGrid w:val="0"/>
              <w:spacing w:before="0" w:beforeAutospacing="0" w:after="0" w:afterAutospacing="0"/>
              <w:jc w:val="center"/>
              <w:textAlignment w:val="auto"/>
              <w:rPr>
                <w:rFonts w:hint="eastAsia" w:cs="宋体"/>
                <w:kern w:val="2"/>
                <w:sz w:val="21"/>
                <w:szCs w:val="21"/>
              </w:rPr>
            </w:pPr>
            <w:r>
              <w:rPr>
                <w:rFonts w:hint="eastAsia" w:cs="宋体"/>
                <w:kern w:val="2"/>
                <w:sz w:val="21"/>
                <w:szCs w:val="21"/>
              </w:rPr>
              <w:t>期环</w:t>
            </w:r>
          </w:p>
          <w:p w14:paraId="05AF6378">
            <w:pPr>
              <w:pStyle w:val="18"/>
              <w:keepLines w:val="0"/>
              <w:pageBreakBefore w:val="0"/>
              <w:kinsoku/>
              <w:wordWrap/>
              <w:topLinePunct w:val="0"/>
              <w:autoSpaceDE/>
              <w:autoSpaceDN/>
              <w:bidi w:val="0"/>
              <w:adjustRightInd w:val="0"/>
              <w:snapToGrid w:val="0"/>
              <w:spacing w:before="0" w:beforeAutospacing="0" w:after="0" w:afterAutospacing="0"/>
              <w:jc w:val="center"/>
              <w:textAlignment w:val="auto"/>
              <w:rPr>
                <w:rFonts w:hint="eastAsia" w:cs="宋体"/>
                <w:kern w:val="2"/>
                <w:sz w:val="21"/>
                <w:szCs w:val="21"/>
              </w:rPr>
            </w:pPr>
            <w:r>
              <w:rPr>
                <w:rFonts w:hint="eastAsia" w:cs="宋体"/>
                <w:kern w:val="2"/>
                <w:sz w:val="21"/>
                <w:szCs w:val="21"/>
              </w:rPr>
              <w:t>境保</w:t>
            </w:r>
          </w:p>
          <w:p w14:paraId="61612663">
            <w:pPr>
              <w:pStyle w:val="18"/>
              <w:keepLines w:val="0"/>
              <w:pageBreakBefore w:val="0"/>
              <w:kinsoku/>
              <w:wordWrap/>
              <w:topLinePunct w:val="0"/>
              <w:autoSpaceDE/>
              <w:autoSpaceDN/>
              <w:bidi w:val="0"/>
              <w:adjustRightInd w:val="0"/>
              <w:snapToGrid w:val="0"/>
              <w:spacing w:before="0" w:beforeAutospacing="0" w:after="0" w:afterAutospacing="0"/>
              <w:jc w:val="center"/>
              <w:textAlignment w:val="auto"/>
              <w:rPr>
                <w:rFonts w:hint="eastAsia" w:cs="宋体"/>
                <w:kern w:val="2"/>
                <w:sz w:val="21"/>
                <w:szCs w:val="21"/>
              </w:rPr>
            </w:pPr>
            <w:r>
              <w:rPr>
                <w:rFonts w:hint="eastAsia" w:cs="宋体"/>
                <w:kern w:val="2"/>
                <w:sz w:val="21"/>
                <w:szCs w:val="21"/>
              </w:rPr>
              <w:t>护措</w:t>
            </w:r>
          </w:p>
          <w:p w14:paraId="753F3302">
            <w:pPr>
              <w:pStyle w:val="18"/>
              <w:keepLines w:val="0"/>
              <w:pageBreakBefore w:val="0"/>
              <w:kinsoku/>
              <w:wordWrap/>
              <w:topLinePunct w:val="0"/>
              <w:autoSpaceDE/>
              <w:autoSpaceDN/>
              <w:bidi w:val="0"/>
              <w:adjustRightInd w:val="0"/>
              <w:snapToGrid w:val="0"/>
              <w:spacing w:before="0" w:beforeAutospacing="0" w:after="0" w:afterAutospacing="0"/>
              <w:jc w:val="center"/>
              <w:textAlignment w:val="auto"/>
              <w:rPr>
                <w:rFonts w:hint="eastAsia" w:cs="宋体"/>
                <w:bCs/>
                <w:kern w:val="2"/>
                <w:sz w:val="21"/>
                <w:szCs w:val="21"/>
              </w:rPr>
            </w:pPr>
            <w:r>
              <w:rPr>
                <w:rFonts w:hint="eastAsia" w:cs="宋体"/>
                <w:kern w:val="2"/>
                <w:sz w:val="21"/>
                <w:szCs w:val="21"/>
              </w:rPr>
              <w:t>施</w:t>
            </w:r>
          </w:p>
        </w:tc>
        <w:tc>
          <w:tcPr>
            <w:tcW w:w="8162" w:type="dxa"/>
            <w:noWrap w:val="0"/>
            <w:vAlign w:val="center"/>
          </w:tcPr>
          <w:p w14:paraId="0E19FB66">
            <w:pPr>
              <w:pStyle w:val="8"/>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default"/>
                <w:lang w:val="en-US" w:eastAsia="zh-CN"/>
              </w:rPr>
              <w:t>本项目</w:t>
            </w:r>
            <w:r>
              <w:rPr>
                <w:rFonts w:hint="eastAsia"/>
                <w:highlight w:val="none"/>
                <w:lang w:val="en-US" w:eastAsia="zh-CN"/>
              </w:rPr>
              <w:t>施工过程中将不可避免地产生噪声、扬尘、废水、固废等对周围环境造成影响。施工期对环境的影响是暂时的，本工程施工场地开阔，影响范围有限，这种影响在施工结束后便可消失。现对这些影响提出相应防治和管理措施。</w:t>
            </w:r>
          </w:p>
          <w:p w14:paraId="4E8F1D28">
            <w:pPr>
              <w:pStyle w:val="62"/>
              <w:bidi w:val="0"/>
              <w:rPr>
                <w:rFonts w:hint="default"/>
              </w:rPr>
            </w:pPr>
            <w:r>
              <w:rPr>
                <w:rFonts w:hint="eastAsia"/>
                <w:lang w:val="en-US" w:eastAsia="zh-CN"/>
              </w:rPr>
              <w:t>1.</w:t>
            </w:r>
            <w:r>
              <w:rPr>
                <w:rFonts w:hint="default"/>
              </w:rPr>
              <w:t>施工期大气污染控制措施</w:t>
            </w:r>
          </w:p>
          <w:p w14:paraId="6A9BEEF7">
            <w:pPr>
              <w:pStyle w:val="44"/>
              <w:bidi w:val="0"/>
              <w:rPr>
                <w:rFonts w:hint="default"/>
              </w:rPr>
            </w:pPr>
            <w:r>
              <w:rPr>
                <w:rFonts w:hint="eastAsia"/>
                <w:lang w:eastAsia="zh-CN"/>
              </w:rPr>
              <w:t>（</w:t>
            </w:r>
            <w:r>
              <w:rPr>
                <w:rFonts w:hint="eastAsia"/>
                <w:lang w:val="en-US" w:eastAsia="zh-CN"/>
              </w:rPr>
              <w:t>1</w:t>
            </w:r>
            <w:r>
              <w:rPr>
                <w:rFonts w:hint="eastAsia"/>
                <w:lang w:eastAsia="zh-CN"/>
              </w:rPr>
              <w:t>）</w:t>
            </w:r>
            <w:r>
              <w:rPr>
                <w:rFonts w:hint="default"/>
              </w:rPr>
              <w:t>施工方严格按照《防治城市扬尘污染技术规范》（HJ/T393-2007）中的要求，晴朗天气每周等时间间隔洒水二至七次，扬尘严重时加大洒水频次。一般原则每天早、中、晚各洒水一次，当风速大于3级、夏季晴好的天气应每隔3个小时洒水一次；当风速大于4级，停止施工。</w:t>
            </w:r>
          </w:p>
          <w:p w14:paraId="1BB4A177">
            <w:pPr>
              <w:pStyle w:val="44"/>
              <w:bidi w:val="0"/>
              <w:rPr>
                <w:rFonts w:hint="default"/>
              </w:rPr>
            </w:pPr>
            <w:r>
              <w:rPr>
                <w:rFonts w:hint="eastAsia"/>
                <w:lang w:eastAsia="zh-CN"/>
              </w:rPr>
              <w:t>（</w:t>
            </w:r>
            <w:r>
              <w:rPr>
                <w:rFonts w:hint="eastAsia"/>
                <w:lang w:val="en-US" w:eastAsia="zh-CN"/>
              </w:rPr>
              <w:t>2</w:t>
            </w:r>
            <w:r>
              <w:rPr>
                <w:rFonts w:hint="eastAsia"/>
                <w:lang w:eastAsia="zh-CN"/>
              </w:rPr>
              <w:t>）</w:t>
            </w:r>
            <w:r>
              <w:rPr>
                <w:rFonts w:hint="default"/>
              </w:rPr>
              <w:t>采取设置围栏、洒水压尘、加强物料防尘管理</w:t>
            </w:r>
            <w:r>
              <w:rPr>
                <w:rFonts w:hint="eastAsia"/>
                <w:lang w:eastAsia="zh-CN"/>
              </w:rPr>
              <w:t>，</w:t>
            </w:r>
            <w:r>
              <w:rPr>
                <w:rFonts w:hint="default"/>
              </w:rPr>
              <w:t>及时清运施工垃圾等措施。运载设备材料的车辆为货车，车辆驶出装、卸场地前用水将</w:t>
            </w:r>
            <w:r>
              <w:rPr>
                <w:rFonts w:hint="eastAsia"/>
                <w:lang w:eastAsia="zh-CN"/>
              </w:rPr>
              <w:t>车厢</w:t>
            </w:r>
            <w:r>
              <w:rPr>
                <w:rFonts w:hint="default"/>
              </w:rPr>
              <w:t>和轮胎冲洗干净，运输车辆行驶路线要尽量避开居民点和环境敏感点。</w:t>
            </w:r>
            <w:bookmarkStart w:id="11" w:name="_Toc168121573"/>
            <w:bookmarkStart w:id="12" w:name="_Toc168312906"/>
            <w:bookmarkStart w:id="13" w:name="_Toc168121381"/>
            <w:bookmarkStart w:id="14" w:name="_Toc156819106"/>
            <w:bookmarkStart w:id="15" w:name="_Toc167859202"/>
          </w:p>
          <w:bookmarkEnd w:id="11"/>
          <w:bookmarkEnd w:id="12"/>
          <w:bookmarkEnd w:id="13"/>
          <w:bookmarkEnd w:id="14"/>
          <w:bookmarkEnd w:id="15"/>
          <w:p w14:paraId="01BD0B37">
            <w:pPr>
              <w:pStyle w:val="2"/>
              <w:bidi w:val="0"/>
              <w:rPr>
                <w:rFonts w:hint="default"/>
              </w:rPr>
            </w:pPr>
            <w:r>
              <w:rPr>
                <w:rFonts w:hint="eastAsia"/>
                <w:lang w:val="en-US" w:eastAsia="zh-CN"/>
              </w:rPr>
              <w:t>2.</w:t>
            </w:r>
            <w:r>
              <w:rPr>
                <w:rFonts w:hint="default"/>
              </w:rPr>
              <w:t>施工期水污染控制措施</w:t>
            </w:r>
          </w:p>
          <w:p w14:paraId="06E26B1B">
            <w:pPr>
              <w:pStyle w:val="44"/>
              <w:bidi w:val="0"/>
              <w:rPr>
                <w:rFonts w:hint="default"/>
              </w:rPr>
            </w:pPr>
            <w:r>
              <w:rPr>
                <w:rFonts w:hint="default"/>
              </w:rPr>
              <w:t>本项目施工期生产废水包括工程养护水及进出施工场地车辆清洗废水等。生产废水经沉淀池处理后全部用于施工现场喷洒道路</w:t>
            </w:r>
            <w:r>
              <w:rPr>
                <w:rFonts w:hint="default"/>
                <w:lang w:val="en-US" w:eastAsia="zh-CN"/>
              </w:rPr>
              <w:t>及自然蒸发</w:t>
            </w:r>
            <w:r>
              <w:rPr>
                <w:rFonts w:hint="default"/>
              </w:rPr>
              <w:t>，不外排，不会对周围环境造成不利影响。</w:t>
            </w:r>
          </w:p>
          <w:p w14:paraId="21B9EDCE">
            <w:pPr>
              <w:pStyle w:val="44"/>
              <w:bidi w:val="0"/>
              <w:rPr>
                <w:rFonts w:hint="default"/>
              </w:rPr>
            </w:pPr>
            <w:r>
              <w:rPr>
                <w:rFonts w:hint="eastAsia"/>
                <w:lang w:eastAsia="zh-CN"/>
              </w:rPr>
              <w:t>（</w:t>
            </w:r>
            <w:r>
              <w:rPr>
                <w:rFonts w:hint="eastAsia"/>
                <w:lang w:val="en-US" w:eastAsia="zh-CN"/>
              </w:rPr>
              <w:t>1</w:t>
            </w:r>
            <w:r>
              <w:rPr>
                <w:rFonts w:hint="eastAsia"/>
                <w:lang w:eastAsia="zh-CN"/>
              </w:rPr>
              <w:t>）</w:t>
            </w:r>
            <w:r>
              <w:rPr>
                <w:rFonts w:hint="default"/>
              </w:rPr>
              <w:t>施工现场设一座废水沉淀池用于集中收集施工</w:t>
            </w:r>
            <w:r>
              <w:rPr>
                <w:rFonts w:hint="eastAsia"/>
                <w:lang w:val="en-US" w:eastAsia="zh-CN"/>
              </w:rPr>
              <w:t>废水</w:t>
            </w:r>
            <w:r>
              <w:rPr>
                <w:rFonts w:hint="default"/>
              </w:rPr>
              <w:t>，经沉淀处理后用于浇洒路面、场地降尘</w:t>
            </w:r>
            <w:r>
              <w:rPr>
                <w:rFonts w:hint="eastAsia"/>
                <w:lang w:eastAsia="zh-CN"/>
              </w:rPr>
              <w:t>、</w:t>
            </w:r>
            <w:r>
              <w:rPr>
                <w:rFonts w:hint="default"/>
              </w:rPr>
              <w:t>不外排。</w:t>
            </w:r>
          </w:p>
          <w:p w14:paraId="30EF2CE9">
            <w:pPr>
              <w:pStyle w:val="44"/>
              <w:bidi w:val="0"/>
              <w:rPr>
                <w:rFonts w:hint="default" w:ascii="Times New Roman" w:hAnsi="Times New Roman" w:eastAsia="宋体" w:cs="Times New Roman"/>
                <w:kern w:val="2"/>
                <w:szCs w:val="24"/>
                <w:lang w:val="en-US" w:eastAsia="zh-CN" w:bidi="ar-SA"/>
              </w:rPr>
            </w:pPr>
            <w:r>
              <w:rPr>
                <w:rFonts w:hint="eastAsia"/>
                <w:lang w:val="en-US" w:eastAsia="zh-CN"/>
              </w:rPr>
              <w:t>（2）</w:t>
            </w:r>
            <w:r>
              <w:rPr>
                <w:rFonts w:hint="default"/>
                <w:lang w:val="en-US" w:eastAsia="zh-CN"/>
              </w:rPr>
              <w:t>加强施工人员管理及教育，做到施工废水不随意泼溅，进入废水沉淀池</w:t>
            </w:r>
            <w:r>
              <w:rPr>
                <w:rFonts w:hint="default" w:ascii="Times New Roman" w:hAnsi="Times New Roman" w:eastAsia="宋体" w:cs="Times New Roman"/>
                <w:kern w:val="2"/>
                <w:szCs w:val="24"/>
                <w:lang w:val="en-US" w:eastAsia="zh-CN" w:bidi="ar-SA"/>
              </w:rPr>
              <w:t>。</w:t>
            </w:r>
          </w:p>
          <w:p w14:paraId="178FC6A1">
            <w:pPr>
              <w:pStyle w:val="2"/>
              <w:bidi w:val="0"/>
              <w:rPr>
                <w:rFonts w:hint="default"/>
              </w:rPr>
            </w:pPr>
            <w:r>
              <w:rPr>
                <w:rFonts w:hint="eastAsia"/>
                <w:lang w:val="en-US" w:eastAsia="zh-CN"/>
              </w:rPr>
              <w:t>3.</w:t>
            </w:r>
            <w:r>
              <w:rPr>
                <w:rFonts w:hint="default"/>
              </w:rPr>
              <w:t>施工期噪声控制措施</w:t>
            </w:r>
          </w:p>
          <w:p w14:paraId="7B71004E">
            <w:pPr>
              <w:pStyle w:val="44"/>
              <w:bidi w:val="0"/>
              <w:rPr>
                <w:rFonts w:hint="default"/>
              </w:rPr>
            </w:pPr>
            <w:r>
              <w:rPr>
                <w:rFonts w:hint="eastAsia"/>
                <w:lang w:eastAsia="zh-CN"/>
              </w:rPr>
              <w:t>（</w:t>
            </w:r>
            <w:r>
              <w:rPr>
                <w:rFonts w:hint="eastAsia"/>
                <w:lang w:val="en-US" w:eastAsia="zh-CN"/>
              </w:rPr>
              <w:t>1</w:t>
            </w:r>
            <w:r>
              <w:rPr>
                <w:rFonts w:hint="eastAsia"/>
                <w:lang w:eastAsia="zh-CN"/>
              </w:rPr>
              <w:t>）</w:t>
            </w:r>
            <w:r>
              <w:rPr>
                <w:rFonts w:hint="default"/>
              </w:rPr>
              <w:t>从声源上控制：建设单位与施工单位签订合同时，应要求其使用的主要机械设备为低噪声机械设备。同时在施工过程中施工单位应设专人对设备进行定期保养和维护，并负责对现场工作人员进行培训，严格按操作规范使用各类机械。</w:t>
            </w:r>
          </w:p>
          <w:p w14:paraId="6A4E99F5">
            <w:pPr>
              <w:pStyle w:val="44"/>
              <w:bidi w:val="0"/>
              <w:rPr>
                <w:rFonts w:hint="default"/>
                <w:lang w:val="zh-CN"/>
              </w:rPr>
            </w:pPr>
            <w:r>
              <w:rPr>
                <w:rFonts w:hint="eastAsia"/>
                <w:lang w:eastAsia="zh-CN"/>
              </w:rPr>
              <w:t>（</w:t>
            </w:r>
            <w:r>
              <w:rPr>
                <w:rFonts w:hint="eastAsia"/>
                <w:lang w:val="en-US" w:eastAsia="zh-CN"/>
              </w:rPr>
              <w:t>2</w:t>
            </w:r>
            <w:r>
              <w:rPr>
                <w:rFonts w:hint="eastAsia"/>
                <w:lang w:eastAsia="zh-CN"/>
              </w:rPr>
              <w:t>）</w:t>
            </w:r>
            <w:r>
              <w:rPr>
                <w:rFonts w:hint="default"/>
              </w:rPr>
              <w:t>合理安排施工时间：</w:t>
            </w:r>
            <w:r>
              <w:rPr>
                <w:rFonts w:hint="default"/>
                <w:lang w:val="zh-CN"/>
              </w:rPr>
              <w:t>首先制订施工计划时，应尽可能避免大量高噪声设备同时施工。除此之外，高噪声施工时间尽量安排在日间，减少夜间施工量。</w:t>
            </w:r>
          </w:p>
          <w:p w14:paraId="658274AA">
            <w:pPr>
              <w:pStyle w:val="44"/>
              <w:bidi w:val="0"/>
              <w:rPr>
                <w:rFonts w:hint="default"/>
              </w:rPr>
            </w:pPr>
            <w:r>
              <w:rPr>
                <w:rFonts w:hint="eastAsia"/>
                <w:lang w:eastAsia="zh-CN"/>
              </w:rPr>
              <w:t>（</w:t>
            </w:r>
            <w:r>
              <w:rPr>
                <w:rFonts w:hint="eastAsia"/>
                <w:lang w:val="en-US" w:eastAsia="zh-CN"/>
              </w:rPr>
              <w:t>3</w:t>
            </w:r>
            <w:r>
              <w:rPr>
                <w:rFonts w:hint="eastAsia"/>
                <w:lang w:eastAsia="zh-CN"/>
              </w:rPr>
              <w:t>）</w:t>
            </w:r>
            <w:r>
              <w:rPr>
                <w:rFonts w:hint="default"/>
              </w:rPr>
              <w:t>合理布置施工现场。施工现场应合理布局，将施工中的固定噪声源相对集中摆放，闲置不用的设备立即关闭，降低施工噪声对周边声环境的影响。</w:t>
            </w:r>
          </w:p>
          <w:p w14:paraId="7BBFDA62">
            <w:pPr>
              <w:pStyle w:val="44"/>
              <w:bidi w:val="0"/>
              <w:rPr>
                <w:rFonts w:hint="default"/>
              </w:rPr>
            </w:pPr>
            <w:r>
              <w:rPr>
                <w:rFonts w:hint="eastAsia"/>
                <w:lang w:eastAsia="zh-CN"/>
              </w:rPr>
              <w:t>（</w:t>
            </w:r>
            <w:r>
              <w:rPr>
                <w:rFonts w:hint="eastAsia"/>
                <w:lang w:val="en-US" w:eastAsia="zh-CN"/>
              </w:rPr>
              <w:t>4</w:t>
            </w:r>
            <w:r>
              <w:rPr>
                <w:rFonts w:hint="eastAsia"/>
                <w:lang w:eastAsia="zh-CN"/>
              </w:rPr>
              <w:t>）</w:t>
            </w:r>
            <w:r>
              <w:rPr>
                <w:rFonts w:hint="default"/>
              </w:rPr>
              <w:t>车辆出入施工现场时应低速、禁鸣。</w:t>
            </w:r>
          </w:p>
          <w:p w14:paraId="68CD914B">
            <w:pPr>
              <w:pStyle w:val="2"/>
              <w:bidi w:val="0"/>
              <w:rPr>
                <w:rFonts w:hint="default"/>
              </w:rPr>
            </w:pPr>
            <w:bookmarkStart w:id="16" w:name="_Toc519840850"/>
            <w:bookmarkStart w:id="17" w:name="_Toc13105922"/>
            <w:bookmarkStart w:id="18" w:name="_Toc41270224"/>
            <w:bookmarkStart w:id="19" w:name="_Toc508028298"/>
            <w:bookmarkStart w:id="20" w:name="_Toc527339557"/>
            <w:bookmarkStart w:id="21" w:name="_Toc527339390"/>
            <w:bookmarkStart w:id="22" w:name="_Toc520705159"/>
            <w:r>
              <w:rPr>
                <w:rFonts w:hint="eastAsia"/>
                <w:lang w:val="en-US" w:eastAsia="zh-CN"/>
              </w:rPr>
              <w:t>4.</w:t>
            </w:r>
            <w:r>
              <w:rPr>
                <w:rFonts w:hint="default"/>
              </w:rPr>
              <w:t>施工期</w:t>
            </w:r>
            <w:bookmarkEnd w:id="16"/>
            <w:bookmarkEnd w:id="17"/>
            <w:bookmarkEnd w:id="18"/>
            <w:bookmarkEnd w:id="19"/>
            <w:bookmarkEnd w:id="20"/>
            <w:bookmarkEnd w:id="21"/>
            <w:bookmarkEnd w:id="22"/>
            <w:r>
              <w:rPr>
                <w:rFonts w:hint="eastAsia"/>
                <w:lang w:val="en-US" w:eastAsia="zh-CN"/>
              </w:rPr>
              <w:t>固体废物</w:t>
            </w:r>
            <w:r>
              <w:rPr>
                <w:rFonts w:hint="default"/>
              </w:rPr>
              <w:t>控制措施</w:t>
            </w:r>
          </w:p>
          <w:p w14:paraId="72944F25">
            <w:pPr>
              <w:pStyle w:val="44"/>
              <w:bidi w:val="0"/>
              <w:rPr>
                <w:rFonts w:hint="default"/>
              </w:rPr>
            </w:pPr>
            <w:r>
              <w:rPr>
                <w:rFonts w:hint="default"/>
              </w:rPr>
              <w:t>本项目施工期间，产生的固体废弃物主要有：基础工程产生的工程渣土，主体工程施工和装饰工程施工产生的废料等建筑垃圾。施工单位应按照国家和当地有关建筑垃圾和工程渣土处置管理的规定，认真执行《</w:t>
            </w:r>
            <w:r>
              <w:rPr>
                <w:rFonts w:hint="eastAsia"/>
                <w:lang w:eastAsia="zh-CN"/>
              </w:rPr>
              <w:t>中华人民共和国固体废物污染环境防治法</w:t>
            </w:r>
            <w:r>
              <w:rPr>
                <w:rFonts w:hint="default"/>
              </w:rPr>
              <w:t>》，在施工期固体废弃物的处置过程中，采取如下管理措施：</w:t>
            </w:r>
          </w:p>
          <w:p w14:paraId="18811E55">
            <w:pPr>
              <w:pStyle w:val="44"/>
              <w:bidi w:val="0"/>
              <w:rPr>
                <w:rFonts w:hint="default"/>
              </w:rPr>
            </w:pPr>
            <w:r>
              <w:rPr>
                <w:rFonts w:hint="eastAsia"/>
                <w:lang w:val="en-US" w:eastAsia="zh-CN"/>
              </w:rPr>
              <w:t>（1）</w:t>
            </w:r>
            <w:r>
              <w:rPr>
                <w:rFonts w:hint="default"/>
              </w:rPr>
              <w:t>渣土尽量在场内周转，就地用于绿化、道路生态景观建设等，必须外运的弃土以及建筑垃圾应运至专门的建筑垃圾堆放场。</w:t>
            </w:r>
          </w:p>
          <w:p w14:paraId="0085A87B">
            <w:pPr>
              <w:pStyle w:val="44"/>
              <w:bidi w:val="0"/>
              <w:rPr>
                <w:rFonts w:hint="default"/>
                <w:lang w:val="en-US" w:eastAsia="zh-CN"/>
              </w:rPr>
            </w:pPr>
            <w:r>
              <w:rPr>
                <w:rFonts w:hint="eastAsia"/>
                <w:lang w:val="en-US" w:eastAsia="zh-CN"/>
              </w:rPr>
              <w:t>（2）</w:t>
            </w:r>
            <w:r>
              <w:rPr>
                <w:rFonts w:hint="default"/>
              </w:rPr>
              <w:t>在工程竣工后，施工单位应拆除各种临时施工设施，并负责将工地的剩余建筑垃圾、工程渣土处理干净，做到</w:t>
            </w:r>
            <w:r>
              <w:rPr>
                <w:rFonts w:hint="eastAsia"/>
                <w:lang w:eastAsia="zh-CN"/>
              </w:rPr>
              <w:t>“</w:t>
            </w:r>
            <w:r>
              <w:rPr>
                <w:rFonts w:hint="default"/>
              </w:rPr>
              <w:t>工完、料尽、场地清</w:t>
            </w:r>
            <w:r>
              <w:rPr>
                <w:rFonts w:hint="eastAsia"/>
                <w:lang w:eastAsia="zh-CN"/>
              </w:rPr>
              <w:t>”</w:t>
            </w:r>
            <w:r>
              <w:rPr>
                <w:rFonts w:hint="default"/>
              </w:rPr>
              <w:t>，建设单</w:t>
            </w:r>
            <w:r>
              <w:rPr>
                <w:rFonts w:hint="default"/>
                <w:lang w:val="en-US" w:eastAsia="zh-CN"/>
              </w:rPr>
              <w:t>位应负责督促施工单位的固体废弃物处置清理工作。项目区属于非沙化土地，在</w:t>
            </w:r>
            <w:r>
              <w:rPr>
                <w:rFonts w:hint="eastAsia"/>
                <w:lang w:val="en-US" w:eastAsia="zh-CN"/>
              </w:rPr>
              <w:t>施工</w:t>
            </w:r>
            <w:r>
              <w:rPr>
                <w:rFonts w:hint="default"/>
                <w:lang w:val="en-US" w:eastAsia="zh-CN"/>
              </w:rPr>
              <w:t>过程中加强防沙治沙工作，防止从非沙化土地转变为沙化土地</w:t>
            </w:r>
            <w:r>
              <w:rPr>
                <w:rFonts w:hint="eastAsia"/>
                <w:lang w:val="en-US" w:eastAsia="zh-CN"/>
              </w:rPr>
              <w:t>。</w:t>
            </w:r>
          </w:p>
          <w:p w14:paraId="5E6B1536">
            <w:pPr>
              <w:pStyle w:val="49"/>
              <w:bidi w:val="0"/>
              <w:rPr>
                <w:rFonts w:hint="eastAsia"/>
                <w:lang w:val="en-US" w:eastAsia="zh-CN"/>
              </w:rPr>
            </w:pPr>
            <w:r>
              <w:rPr>
                <w:rFonts w:hint="eastAsia"/>
                <w:lang w:val="en-US" w:eastAsia="zh-CN"/>
              </w:rPr>
              <w:t>5.施工期土地沙化防治措施</w:t>
            </w:r>
          </w:p>
          <w:p w14:paraId="21EB1341">
            <w:pPr>
              <w:pStyle w:val="44"/>
              <w:bidi w:val="0"/>
              <w:rPr>
                <w:rFonts w:hint="default"/>
                <w:lang w:val="en-US" w:eastAsia="zh-CN"/>
              </w:rPr>
            </w:pPr>
            <w:r>
              <w:rPr>
                <w:rFonts w:hint="eastAsia"/>
                <w:lang w:val="en-US" w:eastAsia="zh-CN"/>
              </w:rPr>
              <w:t>（1）</w:t>
            </w:r>
            <w:r>
              <w:rPr>
                <w:rFonts w:hint="default"/>
                <w:lang w:val="en-US" w:eastAsia="zh-CN"/>
              </w:rPr>
              <w:t>合理划定施工范围，严禁</w:t>
            </w:r>
            <w:r>
              <w:rPr>
                <w:rFonts w:hint="eastAsia"/>
                <w:lang w:val="en-US" w:eastAsia="zh-CN"/>
              </w:rPr>
              <w:t>超范围施工，严禁</w:t>
            </w:r>
            <w:r>
              <w:rPr>
                <w:rFonts w:hint="default"/>
                <w:lang w:val="en-US" w:eastAsia="zh-CN"/>
              </w:rPr>
              <w:t>随意占压、扰动周边地表植被，减少土壤裸露面积与扰动时间。</w:t>
            </w:r>
          </w:p>
          <w:p w14:paraId="4C779169">
            <w:pPr>
              <w:pStyle w:val="44"/>
              <w:bidi w:val="0"/>
              <w:rPr>
                <w:rFonts w:hint="default"/>
                <w:lang w:val="en-US" w:eastAsia="zh-CN"/>
              </w:rPr>
            </w:pPr>
            <w:r>
              <w:rPr>
                <w:rFonts w:hint="eastAsia"/>
                <w:lang w:val="en-US" w:eastAsia="zh-CN"/>
              </w:rPr>
              <w:t>（2）</w:t>
            </w:r>
            <w:r>
              <w:rPr>
                <w:rFonts w:hint="default"/>
                <w:lang w:val="en-US" w:eastAsia="zh-CN"/>
              </w:rPr>
              <w:t>对临时堆土、建筑材料采取覆盖、围挡等防风措施，避免起沙扬尘。</w:t>
            </w:r>
          </w:p>
          <w:p w14:paraId="5D321C0C">
            <w:pPr>
              <w:pStyle w:val="44"/>
              <w:bidi w:val="0"/>
              <w:rPr>
                <w:rFonts w:hint="default"/>
                <w:lang w:val="en-US" w:eastAsia="zh-CN"/>
              </w:rPr>
            </w:pPr>
            <w:r>
              <w:rPr>
                <w:rFonts w:hint="eastAsia"/>
                <w:lang w:val="en-US" w:eastAsia="zh-CN"/>
              </w:rPr>
              <w:t>（3）</w:t>
            </w:r>
            <w:r>
              <w:rPr>
                <w:rFonts w:hint="default"/>
                <w:lang w:val="en-US" w:eastAsia="zh-CN"/>
              </w:rPr>
              <w:t>优化施工时序，大风天气减少露天作业，必要时暂停土方开挖、回填等易起沙工序。作业区定期洒水抑尘，降低风蚀风险，切实防止土地沙化。</w:t>
            </w:r>
          </w:p>
        </w:tc>
      </w:tr>
      <w:tr w14:paraId="3EDEBD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noWrap w:val="0"/>
            <w:tcMar>
              <w:left w:w="28" w:type="dxa"/>
              <w:right w:w="28" w:type="dxa"/>
            </w:tcMar>
            <w:vAlign w:val="center"/>
          </w:tcPr>
          <w:p w14:paraId="5F9B39C4">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bCs/>
                <w:szCs w:val="21"/>
              </w:rPr>
            </w:pPr>
            <w:r>
              <w:rPr>
                <w:rFonts w:hint="eastAsia" w:ascii="宋体" w:hAnsi="宋体" w:cs="宋体"/>
                <w:bCs/>
                <w:szCs w:val="21"/>
              </w:rPr>
              <w:t>运营</w:t>
            </w:r>
          </w:p>
          <w:p w14:paraId="5C1D3B42">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bCs/>
                <w:szCs w:val="21"/>
              </w:rPr>
            </w:pPr>
            <w:r>
              <w:rPr>
                <w:rFonts w:hint="eastAsia" w:ascii="宋体" w:hAnsi="宋体" w:cs="宋体"/>
                <w:bCs/>
                <w:szCs w:val="21"/>
              </w:rPr>
              <w:t>期环</w:t>
            </w:r>
          </w:p>
          <w:p w14:paraId="1C2D530E">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bCs/>
                <w:szCs w:val="21"/>
              </w:rPr>
            </w:pPr>
            <w:r>
              <w:rPr>
                <w:rFonts w:hint="eastAsia" w:ascii="宋体" w:hAnsi="宋体" w:cs="宋体"/>
                <w:bCs/>
                <w:szCs w:val="21"/>
              </w:rPr>
              <w:t>境影</w:t>
            </w:r>
          </w:p>
          <w:p w14:paraId="1E13692A">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bCs/>
                <w:szCs w:val="21"/>
              </w:rPr>
            </w:pPr>
            <w:r>
              <w:rPr>
                <w:rFonts w:hint="eastAsia" w:ascii="宋体" w:hAnsi="宋体" w:cs="宋体"/>
                <w:bCs/>
                <w:szCs w:val="21"/>
              </w:rPr>
              <w:t>响和</w:t>
            </w:r>
          </w:p>
          <w:p w14:paraId="768312A3">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bCs/>
                <w:szCs w:val="21"/>
              </w:rPr>
            </w:pPr>
            <w:r>
              <w:rPr>
                <w:rFonts w:hint="eastAsia" w:ascii="宋体" w:hAnsi="宋体" w:cs="宋体"/>
                <w:bCs/>
                <w:szCs w:val="21"/>
              </w:rPr>
              <w:t>保护</w:t>
            </w:r>
          </w:p>
          <w:p w14:paraId="0313DA01">
            <w:pPr>
              <w:keepLines w:val="0"/>
              <w:pageBreakBefore w:val="0"/>
              <w:kinsoku/>
              <w:wordWrap/>
              <w:topLinePunct w:val="0"/>
              <w:autoSpaceDE/>
              <w:autoSpaceDN/>
              <w:bidi w:val="0"/>
              <w:adjustRightInd w:val="0"/>
              <w:snapToGrid w:val="0"/>
              <w:spacing w:beforeAutospacing="0" w:afterAutospacing="0"/>
              <w:jc w:val="center"/>
              <w:textAlignment w:val="auto"/>
              <w:rPr>
                <w:rFonts w:ascii="宋体" w:hAnsi="宋体" w:cs="宋体"/>
                <w:bCs/>
                <w:szCs w:val="21"/>
              </w:rPr>
            </w:pPr>
            <w:r>
              <w:rPr>
                <w:rFonts w:hint="eastAsia" w:ascii="宋体" w:hAnsi="宋体" w:cs="宋体"/>
                <w:bCs/>
                <w:szCs w:val="21"/>
              </w:rPr>
              <w:t>措施</w:t>
            </w:r>
          </w:p>
        </w:tc>
        <w:tc>
          <w:tcPr>
            <w:tcW w:w="8162" w:type="dxa"/>
            <w:noWrap w:val="0"/>
            <w:vAlign w:val="top"/>
          </w:tcPr>
          <w:p w14:paraId="464321A4">
            <w:pPr>
              <w:pStyle w:val="2"/>
              <w:keepLines w:val="0"/>
              <w:pageBreakBefore w:val="0"/>
              <w:kinsoku/>
              <w:wordWrap/>
              <w:topLinePunct w:val="0"/>
              <w:autoSpaceDE/>
              <w:autoSpaceDN/>
              <w:bidi w:val="0"/>
              <w:spacing w:beforeAutospacing="0" w:afterAutospacing="0"/>
              <w:jc w:val="both"/>
              <w:textAlignment w:val="auto"/>
              <w:rPr>
                <w:rFonts w:hint="eastAsia"/>
              </w:rPr>
            </w:pPr>
            <w:r>
              <w:rPr>
                <w:rFonts w:hint="eastAsia"/>
                <w:lang w:val="en-US" w:eastAsia="zh-CN"/>
              </w:rPr>
              <w:t>1.</w:t>
            </w:r>
            <w:r>
              <w:rPr>
                <w:rFonts w:hint="eastAsia"/>
              </w:rPr>
              <w:t>大气环境影响和保护措施</w:t>
            </w:r>
          </w:p>
          <w:p w14:paraId="519CB90C">
            <w:pPr>
              <w:pStyle w:val="2"/>
              <w:keepLines w:val="0"/>
              <w:pageBreakBefore w:val="0"/>
              <w:kinsoku/>
              <w:wordWrap/>
              <w:topLinePunct w:val="0"/>
              <w:autoSpaceDE/>
              <w:autoSpaceDN/>
              <w:bidi w:val="0"/>
              <w:spacing w:beforeAutospacing="0" w:afterAutospacing="0"/>
              <w:jc w:val="both"/>
              <w:textAlignment w:val="auto"/>
              <w:rPr>
                <w:rFonts w:hint="eastAsia"/>
                <w:lang w:val="en-US" w:eastAsia="zh-CN"/>
              </w:rPr>
            </w:pPr>
            <w:r>
              <w:rPr>
                <w:rFonts w:hint="eastAsia"/>
                <w:lang w:val="en-US" w:eastAsia="zh-CN"/>
              </w:rPr>
              <w:t>1.1</w:t>
            </w:r>
            <w:r>
              <w:t>废气污染源源强</w:t>
            </w:r>
            <w:r>
              <w:rPr>
                <w:rFonts w:hint="eastAsia"/>
                <w:lang w:val="en-US" w:eastAsia="zh-CN"/>
              </w:rPr>
              <w:t>分析</w:t>
            </w:r>
          </w:p>
          <w:p w14:paraId="295A9346">
            <w:pPr>
              <w:pStyle w:val="2"/>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1.1.1无组织废气</w:t>
            </w:r>
          </w:p>
          <w:p w14:paraId="5C068F65">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highlight w:val="none"/>
              </w:rPr>
              <w:t>本项目</w:t>
            </w:r>
            <w:r>
              <w:rPr>
                <w:rFonts w:hint="eastAsia"/>
                <w:lang w:val="en-US" w:eastAsia="zh-CN"/>
              </w:rPr>
              <w:t>物料输送路径均采用密闭管道输送，现代化加气块切割工序采用湿式切割，以上工序仅产生少量的无组织粉尘，可忽略不计。原料堆存粉尘、水泥和粉煤灰筒仓粉尘及焊接烟尘采取有效措施处理后无组织排放。</w:t>
            </w:r>
          </w:p>
          <w:p w14:paraId="5A54CD93">
            <w:pPr>
              <w:pStyle w:val="49"/>
              <w:bidi w:val="0"/>
              <w:rPr>
                <w:rFonts w:hint="eastAsia"/>
                <w:lang w:val="en-US" w:eastAsia="zh-CN"/>
              </w:rPr>
            </w:pPr>
            <w:r>
              <w:rPr>
                <w:rFonts w:hint="eastAsia"/>
                <w:lang w:val="en-US" w:eastAsia="zh-CN"/>
              </w:rPr>
              <w:t>（1）物料运输扬尘</w:t>
            </w:r>
          </w:p>
          <w:p w14:paraId="7D213D2B">
            <w:pPr>
              <w:pStyle w:val="53"/>
              <w:bidi w:val="0"/>
              <w:rPr>
                <w:rFonts w:hint="eastAsia"/>
                <w:lang w:val="en-US" w:eastAsia="zh-CN"/>
              </w:rPr>
            </w:pPr>
            <w:r>
              <w:rPr>
                <w:rFonts w:hint="eastAsia"/>
                <w:lang w:val="en-US" w:eastAsia="zh-CN"/>
              </w:rPr>
              <w:t>原料（砂子、石子、水泥、粉煤灰）由密闭罐车或加盖篷布的货车运输至厂区，成品（预制水泥砖、加气块、装配式构件等）由加盖篷布的货车运输出厂，运输过程中若篷布覆盖不严密、物料装载过满，会产生少量扬尘，属于无组织排放。本项目要求运输车辆严格加盖篷布、控制装载量，避免物料遗撒和扬尘扩散，可有效控制运输扬尘排放量，排放量可忽略不计。</w:t>
            </w:r>
          </w:p>
          <w:p w14:paraId="56BEE4FB">
            <w:pPr>
              <w:pStyle w:val="2"/>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（2）原料堆存粉尘</w:t>
            </w:r>
          </w:p>
          <w:p w14:paraId="03FE03C5">
            <w:pPr>
              <w:keepNext w:val="0"/>
              <w:keepLines w:val="0"/>
              <w:pageBreakBefore w:val="0"/>
              <w:widowControl w:val="0"/>
              <w:kinsoku/>
              <w:wordWrap/>
              <w:overflowPunct/>
              <w:topLinePunct w:val="0"/>
              <w:autoSpaceDE/>
              <w:autoSpaceDN/>
              <w:bidi w:val="0"/>
              <w:adjustRightInd/>
              <w:snapToGrid/>
              <w:spacing w:line="520" w:lineRule="exact"/>
              <w:ind w:left="0" w:right="0" w:firstLine="480" w:firstLineChars="200"/>
              <w:jc w:val="left"/>
              <w:textAlignment w:val="auto"/>
              <w:rPr>
                <w:rFonts w:hint="eastAsia" w:ascii="Times New Roman" w:hAnsi="Times New Roman" w:eastAsia="宋体" w:cs="宋体"/>
                <w:kern w:val="0"/>
                <w:sz w:val="24"/>
                <w:szCs w:val="24"/>
                <w:highlight w:val="none"/>
                <w:lang w:val="en-US" w:eastAsia="zh-CN"/>
              </w:rPr>
            </w:pPr>
            <w:r>
              <w:rPr>
                <w:rFonts w:hint="eastAsia" w:cs="宋体"/>
                <w:kern w:val="0"/>
                <w:sz w:val="24"/>
                <w:szCs w:val="24"/>
                <w:highlight w:val="none"/>
                <w:lang w:val="en-US" w:eastAsia="zh-CN"/>
              </w:rPr>
              <w:t>项目使用的原辅料中砂子和石子堆存在密闭原料库房内。</w:t>
            </w:r>
            <w:r>
              <w:rPr>
                <w:rFonts w:hint="eastAsia" w:ascii="Times New Roman" w:hAnsi="Times New Roman" w:eastAsia="宋体" w:cs="宋体"/>
                <w:kern w:val="0"/>
                <w:sz w:val="24"/>
                <w:szCs w:val="24"/>
                <w:highlight w:val="none"/>
                <w:lang w:val="en-US" w:eastAsia="zh-CN"/>
              </w:rPr>
              <w:t>根据《排放源统计调查产排污核算方法和系数手册》固体物料堆存颗粒物产排污核算系数手册，工业企业固体物料堆存颗粒物包括装卸扬尘和风蚀扬尘，颗粒物产生量核算公式如下：</w:t>
            </w:r>
          </w:p>
          <w:p w14:paraId="3CFF6DA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cs="Times New Roman" w:eastAsiaTheme="minorEastAsia"/>
                <w:sz w:val="24"/>
                <w:szCs w:val="24"/>
                <w:vertAlign w:val="superscript"/>
                <w:lang w:val="en-US" w:eastAsia="zh-CN"/>
              </w:rPr>
            </w:pPr>
            <w:r>
              <w:rPr>
                <w:rFonts w:hint="default" w:ascii="Times New Roman" w:hAnsi="Times New Roman" w:cs="Times New Roman" w:eastAsiaTheme="minorEastAsia"/>
                <w:sz w:val="24"/>
                <w:szCs w:val="24"/>
                <w:lang w:val="en-US" w:eastAsia="zh-CN"/>
              </w:rPr>
              <w:t>P=ZC</w:t>
            </w:r>
            <w:r>
              <w:rPr>
                <w:rFonts w:hint="default" w:ascii="Times New Roman" w:hAnsi="Times New Roman" w:cs="Times New Roman" w:eastAsiaTheme="minorEastAsia"/>
                <w:sz w:val="24"/>
                <w:szCs w:val="24"/>
                <w:vertAlign w:val="subscript"/>
                <w:lang w:val="en-US" w:eastAsia="zh-CN"/>
              </w:rPr>
              <w:t>y</w:t>
            </w:r>
            <w:r>
              <w:rPr>
                <w:rFonts w:hint="default" w:ascii="Times New Roman" w:hAnsi="Times New Roman" w:cs="Times New Roman" w:eastAsiaTheme="minorEastAsia"/>
                <w:sz w:val="24"/>
                <w:szCs w:val="24"/>
                <w:lang w:val="en-US" w:eastAsia="zh-CN"/>
              </w:rPr>
              <w:t>+FC</w:t>
            </w:r>
            <w:r>
              <w:rPr>
                <w:rFonts w:hint="default" w:ascii="Times New Roman" w:hAnsi="Times New Roman" w:cs="Times New Roman" w:eastAsiaTheme="minorEastAsia"/>
                <w:sz w:val="24"/>
                <w:szCs w:val="24"/>
                <w:vertAlign w:val="subscript"/>
                <w:lang w:val="en-US" w:eastAsia="zh-CN"/>
              </w:rPr>
              <w:t>y</w:t>
            </w:r>
            <w:r>
              <w:rPr>
                <w:rFonts w:hint="default" w:ascii="Times New Roman" w:hAnsi="Times New Roman" w:cs="Times New Roman" w:eastAsiaTheme="minorEastAsia"/>
                <w:sz w:val="24"/>
                <w:szCs w:val="24"/>
                <w:lang w:val="en-US" w:eastAsia="zh-CN"/>
              </w:rPr>
              <w:t>=[N</w:t>
            </w:r>
            <w:r>
              <w:rPr>
                <w:rFonts w:hint="default" w:ascii="Times New Roman" w:hAnsi="Times New Roman" w:cs="Times New Roman" w:eastAsiaTheme="minorEastAsia"/>
                <w:sz w:val="24"/>
                <w:szCs w:val="24"/>
                <w:vertAlign w:val="subscript"/>
                <w:lang w:val="en-US" w:eastAsia="zh-CN"/>
              </w:rPr>
              <w:t>c</w:t>
            </w:r>
            <w:r>
              <w:rPr>
                <w:rFonts w:hint="default" w:ascii="Times New Roman" w:hAnsi="Times New Roman" w:cs="Times New Roman" w:eastAsiaTheme="minorEastAsia"/>
                <w:sz w:val="24"/>
                <w:szCs w:val="24"/>
                <w:lang w:val="en-US" w:eastAsia="zh-CN"/>
              </w:rPr>
              <w:t>×D×（a/b）+2×E</w:t>
            </w:r>
            <w:r>
              <w:rPr>
                <w:rFonts w:hint="default" w:ascii="Times New Roman" w:hAnsi="Times New Roman" w:cs="Times New Roman" w:eastAsiaTheme="minorEastAsia"/>
                <w:sz w:val="24"/>
                <w:szCs w:val="24"/>
                <w:vertAlign w:val="subscript"/>
                <w:lang w:val="en-US" w:eastAsia="zh-CN"/>
              </w:rPr>
              <w:t>f</w:t>
            </w:r>
            <w:r>
              <w:rPr>
                <w:rFonts w:hint="default" w:ascii="Times New Roman" w:hAnsi="Times New Roman" w:cs="Times New Roman" w:eastAsiaTheme="minorEastAsia"/>
                <w:sz w:val="24"/>
                <w:szCs w:val="24"/>
                <w:lang w:val="en-US" w:eastAsia="zh-CN"/>
              </w:rPr>
              <w:t>×S]×10</w:t>
            </w:r>
            <w:r>
              <w:rPr>
                <w:rFonts w:hint="default" w:ascii="Times New Roman" w:hAnsi="Times New Roman" w:cs="Times New Roman" w:eastAsiaTheme="minorEastAsia"/>
                <w:sz w:val="24"/>
                <w:szCs w:val="24"/>
                <w:vertAlign w:val="superscript"/>
                <w:lang w:val="en-US" w:eastAsia="zh-CN"/>
              </w:rPr>
              <w:t>-3</w:t>
            </w:r>
          </w:p>
          <w:p w14:paraId="36CC1749">
            <w:pPr>
              <w:keepNext w:val="0"/>
              <w:keepLines w:val="0"/>
              <w:pageBreakBefore w:val="0"/>
              <w:widowControl w:val="0"/>
              <w:kinsoku/>
              <w:wordWrap/>
              <w:overflowPunct/>
              <w:topLinePunct w:val="0"/>
              <w:autoSpaceDE/>
              <w:autoSpaceDN/>
              <w:bidi w:val="0"/>
              <w:adjustRightInd/>
              <w:snapToGrid/>
              <w:spacing w:line="520" w:lineRule="exact"/>
              <w:ind w:firstLine="960" w:firstLineChars="400"/>
              <w:jc w:val="both"/>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式中：P指颗粒物产生量（单位：吨）；</w:t>
            </w:r>
          </w:p>
          <w:p w14:paraId="5AD17319">
            <w:pPr>
              <w:keepNext w:val="0"/>
              <w:keepLines w:val="0"/>
              <w:pageBreakBefore w:val="0"/>
              <w:widowControl w:val="0"/>
              <w:kinsoku/>
              <w:wordWrap/>
              <w:overflowPunct/>
              <w:topLinePunct w:val="0"/>
              <w:autoSpaceDE/>
              <w:autoSpaceDN/>
              <w:bidi w:val="0"/>
              <w:adjustRightInd/>
              <w:snapToGrid/>
              <w:spacing w:line="520" w:lineRule="exact"/>
              <w:ind w:firstLine="1680" w:firstLineChars="700"/>
              <w:jc w:val="both"/>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lang w:val="en-US" w:eastAsia="zh-CN"/>
              </w:rPr>
              <w:t>ZC</w:t>
            </w:r>
            <w:r>
              <w:rPr>
                <w:rFonts w:hint="default" w:ascii="Times New Roman" w:hAnsi="Times New Roman" w:cs="Times New Roman" w:eastAsiaTheme="minorEastAsia"/>
                <w:sz w:val="24"/>
                <w:szCs w:val="24"/>
                <w:vertAlign w:val="subscript"/>
                <w:lang w:val="en-US" w:eastAsia="zh-CN"/>
              </w:rPr>
              <w:t>y</w:t>
            </w:r>
            <w:r>
              <w:rPr>
                <w:rFonts w:hint="default" w:ascii="Times New Roman" w:hAnsi="Times New Roman" w:cs="Times New Roman" w:eastAsiaTheme="minorEastAsia"/>
                <w:sz w:val="24"/>
                <w:szCs w:val="24"/>
                <w:vertAlign w:val="baseline"/>
                <w:lang w:val="en-US" w:eastAsia="zh-CN"/>
              </w:rPr>
              <w:t>指装卸扬尘产生量（单位：吨）；</w:t>
            </w:r>
          </w:p>
          <w:p w14:paraId="79000604">
            <w:pPr>
              <w:keepNext w:val="0"/>
              <w:keepLines w:val="0"/>
              <w:pageBreakBefore w:val="0"/>
              <w:widowControl w:val="0"/>
              <w:kinsoku/>
              <w:wordWrap/>
              <w:overflowPunct/>
              <w:topLinePunct w:val="0"/>
              <w:autoSpaceDE/>
              <w:autoSpaceDN/>
              <w:bidi w:val="0"/>
              <w:adjustRightInd/>
              <w:snapToGrid/>
              <w:spacing w:line="520" w:lineRule="exact"/>
              <w:ind w:firstLine="1680" w:firstLineChars="700"/>
              <w:jc w:val="both"/>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lang w:val="en-US" w:eastAsia="zh-CN"/>
              </w:rPr>
              <w:t>FC</w:t>
            </w:r>
            <w:r>
              <w:rPr>
                <w:rFonts w:hint="default" w:ascii="Times New Roman" w:hAnsi="Times New Roman" w:cs="Times New Roman" w:eastAsiaTheme="minorEastAsia"/>
                <w:sz w:val="24"/>
                <w:szCs w:val="24"/>
                <w:vertAlign w:val="subscript"/>
                <w:lang w:val="en-US" w:eastAsia="zh-CN"/>
              </w:rPr>
              <w:t>y</w:t>
            </w:r>
            <w:r>
              <w:rPr>
                <w:rFonts w:hint="default" w:ascii="Times New Roman" w:hAnsi="Times New Roman" w:cs="Times New Roman" w:eastAsiaTheme="minorEastAsia"/>
                <w:sz w:val="24"/>
                <w:szCs w:val="24"/>
                <w:vertAlign w:val="baseline"/>
                <w:lang w:val="en-US" w:eastAsia="zh-CN"/>
              </w:rPr>
              <w:t>指风蚀扬尘产生量（单位：吨）；</w:t>
            </w:r>
          </w:p>
          <w:p w14:paraId="37B3FF80">
            <w:pPr>
              <w:keepNext w:val="0"/>
              <w:keepLines w:val="0"/>
              <w:pageBreakBefore w:val="0"/>
              <w:widowControl w:val="0"/>
              <w:kinsoku/>
              <w:wordWrap/>
              <w:overflowPunct/>
              <w:topLinePunct w:val="0"/>
              <w:autoSpaceDE/>
              <w:autoSpaceDN/>
              <w:bidi w:val="0"/>
              <w:adjustRightInd/>
              <w:snapToGrid/>
              <w:spacing w:line="520" w:lineRule="exact"/>
              <w:ind w:firstLine="1680" w:firstLineChars="700"/>
              <w:jc w:val="both"/>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N</w:t>
            </w:r>
            <w:r>
              <w:rPr>
                <w:rFonts w:hint="default" w:ascii="Times New Roman" w:hAnsi="Times New Roman" w:cs="Times New Roman" w:eastAsiaTheme="minorEastAsia"/>
                <w:sz w:val="24"/>
                <w:szCs w:val="24"/>
                <w:vertAlign w:val="subscript"/>
                <w:lang w:val="en-US" w:eastAsia="zh-CN"/>
              </w:rPr>
              <w:t>c</w:t>
            </w:r>
            <w:r>
              <w:rPr>
                <w:rFonts w:hint="default" w:ascii="Times New Roman" w:hAnsi="Times New Roman" w:cs="Times New Roman" w:eastAsiaTheme="minorEastAsia"/>
                <w:sz w:val="24"/>
                <w:szCs w:val="24"/>
                <w:vertAlign w:val="baseline"/>
                <w:lang w:val="en-US" w:eastAsia="zh-CN"/>
              </w:rPr>
              <w:t>指年物料运载车次（单位：吨）；</w:t>
            </w:r>
          </w:p>
          <w:p w14:paraId="13629363">
            <w:pPr>
              <w:keepNext w:val="0"/>
              <w:keepLines w:val="0"/>
              <w:pageBreakBefore w:val="0"/>
              <w:widowControl w:val="0"/>
              <w:kinsoku/>
              <w:wordWrap/>
              <w:overflowPunct/>
              <w:topLinePunct w:val="0"/>
              <w:autoSpaceDE/>
              <w:autoSpaceDN/>
              <w:bidi w:val="0"/>
              <w:adjustRightInd/>
              <w:snapToGrid/>
              <w:spacing w:line="520" w:lineRule="exact"/>
              <w:ind w:firstLine="1680" w:firstLineChars="700"/>
              <w:jc w:val="both"/>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D指单车平均运载量（单位：吨/车）；</w:t>
            </w:r>
          </w:p>
          <w:p w14:paraId="61B7DD4D">
            <w:pPr>
              <w:keepNext w:val="0"/>
              <w:keepLines w:val="0"/>
              <w:pageBreakBefore w:val="0"/>
              <w:widowControl w:val="0"/>
              <w:kinsoku/>
              <w:wordWrap/>
              <w:overflowPunct/>
              <w:topLinePunct w:val="0"/>
              <w:autoSpaceDE/>
              <w:autoSpaceDN/>
              <w:bidi w:val="0"/>
              <w:adjustRightInd/>
              <w:snapToGrid/>
              <w:spacing w:line="520" w:lineRule="exact"/>
              <w:ind w:firstLine="1680" w:firstLineChars="700"/>
              <w:jc w:val="both"/>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（a/b）指装卸扬尘概化系数（单位：千克/吨），</w:t>
            </w:r>
          </w:p>
          <w:p w14:paraId="4F466564">
            <w:pPr>
              <w:keepNext w:val="0"/>
              <w:keepLines w:val="0"/>
              <w:pageBreakBefore w:val="0"/>
              <w:widowControl w:val="0"/>
              <w:kinsoku/>
              <w:wordWrap/>
              <w:overflowPunct/>
              <w:topLinePunct w:val="0"/>
              <w:autoSpaceDE/>
              <w:autoSpaceDN/>
              <w:bidi w:val="0"/>
              <w:adjustRightInd/>
              <w:snapToGrid/>
              <w:spacing w:line="520" w:lineRule="exact"/>
              <w:ind w:firstLine="1680" w:firstLineChars="700"/>
              <w:jc w:val="both"/>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a指各省风速概化系数，b指物料含水率概化系数；</w:t>
            </w:r>
          </w:p>
          <w:p w14:paraId="526A42A4">
            <w:pPr>
              <w:keepNext w:val="0"/>
              <w:keepLines w:val="0"/>
              <w:pageBreakBefore w:val="0"/>
              <w:widowControl w:val="0"/>
              <w:kinsoku/>
              <w:wordWrap/>
              <w:overflowPunct/>
              <w:topLinePunct w:val="0"/>
              <w:autoSpaceDE/>
              <w:autoSpaceDN/>
              <w:bidi w:val="0"/>
              <w:adjustRightInd/>
              <w:snapToGrid/>
              <w:spacing w:line="520" w:lineRule="exact"/>
              <w:ind w:firstLine="1680" w:firstLineChars="700"/>
              <w:jc w:val="both"/>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E</w:t>
            </w:r>
            <w:r>
              <w:rPr>
                <w:rFonts w:hint="default" w:ascii="Times New Roman" w:hAnsi="Times New Roman" w:cs="Times New Roman" w:eastAsiaTheme="minorEastAsia"/>
                <w:sz w:val="24"/>
                <w:szCs w:val="24"/>
                <w:vertAlign w:val="subscript"/>
                <w:lang w:val="en-US" w:eastAsia="zh-CN"/>
              </w:rPr>
              <w:t>f</w:t>
            </w:r>
            <w:r>
              <w:rPr>
                <w:rFonts w:hint="default" w:ascii="Times New Roman" w:hAnsi="Times New Roman" w:cs="Times New Roman" w:eastAsiaTheme="minorEastAsia"/>
                <w:sz w:val="24"/>
                <w:szCs w:val="24"/>
                <w:vertAlign w:val="baseline"/>
                <w:lang w:val="en-US" w:eastAsia="zh-CN"/>
              </w:rPr>
              <w:t>指堆场风蚀扬尘概化系数，（单位：千克/平方米）；</w:t>
            </w:r>
          </w:p>
          <w:p w14:paraId="07C5A01C">
            <w:pPr>
              <w:keepNext w:val="0"/>
              <w:keepLines w:val="0"/>
              <w:pageBreakBefore w:val="0"/>
              <w:widowControl w:val="0"/>
              <w:kinsoku/>
              <w:wordWrap/>
              <w:overflowPunct/>
              <w:topLinePunct w:val="0"/>
              <w:autoSpaceDE/>
              <w:autoSpaceDN/>
              <w:bidi w:val="0"/>
              <w:adjustRightInd/>
              <w:snapToGrid/>
              <w:spacing w:line="520" w:lineRule="exact"/>
              <w:ind w:firstLine="1680" w:firstLineChars="700"/>
              <w:jc w:val="both"/>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vertAlign w:val="baseline"/>
                <w:lang w:val="en-US" w:eastAsia="zh-CN"/>
              </w:rPr>
              <w:t>S指堆场占地面积。</w:t>
            </w:r>
          </w:p>
          <w:p w14:paraId="4EE3C4B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cs="宋体"/>
                <w:kern w:val="0"/>
                <w:sz w:val="24"/>
                <w:szCs w:val="24"/>
                <w:highlight w:val="none"/>
                <w:lang w:val="en-US" w:eastAsia="zh-CN"/>
              </w:rPr>
              <w:t>项目原料</w:t>
            </w:r>
            <w:r>
              <w:rPr>
                <w:rFonts w:hint="eastAsia" w:ascii="Times New Roman" w:hAnsi="Times New Roman" w:eastAsia="宋体" w:cs="Times New Roman"/>
                <w:sz w:val="24"/>
                <w:szCs w:val="24"/>
                <w:lang w:val="en-US" w:eastAsia="zh-CN"/>
              </w:rPr>
              <w:t>堆场物料（砂子、石子）堆存量为</w:t>
            </w:r>
            <w:r>
              <w:rPr>
                <w:rFonts w:hint="eastAsia" w:cs="Times New Roman"/>
                <w:sz w:val="24"/>
                <w:szCs w:val="24"/>
                <w:lang w:val="en-US" w:eastAsia="zh-CN"/>
              </w:rPr>
              <w:t>168700</w:t>
            </w:r>
            <w:r>
              <w:rPr>
                <w:rFonts w:hint="eastAsia" w:ascii="Times New Roman" w:hAnsi="Times New Roman" w:eastAsia="宋体" w:cs="Times New Roman"/>
                <w:sz w:val="24"/>
                <w:szCs w:val="24"/>
                <w:lang w:val="en-US" w:eastAsia="zh-CN"/>
              </w:rPr>
              <w:t>t/a。</w:t>
            </w:r>
            <w:r>
              <w:rPr>
                <w:rFonts w:hint="eastAsia" w:cs="Times New Roman"/>
                <w:sz w:val="24"/>
                <w:szCs w:val="24"/>
                <w:lang w:val="en-US" w:eastAsia="zh-CN"/>
              </w:rPr>
              <w:t>根据</w:t>
            </w:r>
            <w:r>
              <w:rPr>
                <w:rFonts w:hint="eastAsia" w:ascii="Times New Roman" w:hAnsi="Times New Roman" w:eastAsia="宋体" w:cs="宋体"/>
                <w:kern w:val="0"/>
                <w:sz w:val="24"/>
                <w:szCs w:val="24"/>
                <w:highlight w:val="none"/>
                <w:lang w:val="en-US" w:eastAsia="zh-CN"/>
              </w:rPr>
              <w:t>固体物料堆存颗粒物产排污核算系数手册</w:t>
            </w:r>
            <w:r>
              <w:rPr>
                <w:rFonts w:hint="eastAsia" w:cs="宋体"/>
                <w:kern w:val="0"/>
                <w:sz w:val="24"/>
                <w:szCs w:val="24"/>
                <w:highlight w:val="none"/>
                <w:lang w:val="en-US" w:eastAsia="zh-CN"/>
              </w:rPr>
              <w:t>附录1、附录2、附录3，</w:t>
            </w:r>
            <w:r>
              <w:rPr>
                <w:rFonts w:hint="eastAsia" w:ascii="Times New Roman" w:hAnsi="Times New Roman" w:eastAsia="宋体" w:cs="Times New Roman"/>
                <w:sz w:val="24"/>
                <w:szCs w:val="24"/>
                <w:lang w:val="en-US" w:eastAsia="zh-CN"/>
              </w:rPr>
              <w:t>其中Nc为</w:t>
            </w:r>
            <w:r>
              <w:rPr>
                <w:rFonts w:hint="eastAsia" w:cs="Times New Roman"/>
                <w:sz w:val="24"/>
                <w:szCs w:val="24"/>
                <w:lang w:val="en-US" w:eastAsia="zh-CN"/>
              </w:rPr>
              <w:t>8435</w:t>
            </w:r>
            <w:r>
              <w:rPr>
                <w:rFonts w:hint="eastAsia" w:ascii="Times New Roman" w:hAnsi="Times New Roman" w:eastAsia="宋体" w:cs="Times New Roman"/>
                <w:sz w:val="24"/>
                <w:szCs w:val="24"/>
                <w:lang w:val="en-US" w:eastAsia="zh-CN"/>
              </w:rPr>
              <w:t>、D为20、a为0.0011、b为0.0017、Ef为</w:t>
            </w:r>
            <w:r>
              <w:rPr>
                <w:rFonts w:hint="eastAsia" w:cs="Times New Roman"/>
                <w:sz w:val="24"/>
                <w:szCs w:val="24"/>
                <w:lang w:val="en-US" w:eastAsia="zh-CN"/>
              </w:rPr>
              <w:t>3.6062</w:t>
            </w:r>
            <w:r>
              <w:rPr>
                <w:rFonts w:hint="eastAsia" w:ascii="Times New Roman" w:hAnsi="Times New Roman" w:eastAsia="宋体" w:cs="Times New Roman"/>
                <w:sz w:val="24"/>
                <w:szCs w:val="24"/>
                <w:lang w:val="en-US" w:eastAsia="zh-CN"/>
              </w:rPr>
              <w:t>、S为400，颗粒物产生量为</w:t>
            </w:r>
            <w:r>
              <w:rPr>
                <w:rFonts w:hint="eastAsia" w:cs="Times New Roman"/>
                <w:sz w:val="24"/>
                <w:szCs w:val="24"/>
                <w:lang w:val="en-US" w:eastAsia="zh-CN"/>
              </w:rPr>
              <w:t>112</w:t>
            </w:r>
            <w:r>
              <w:rPr>
                <w:rFonts w:hint="eastAsia" w:ascii="Times New Roman" w:hAnsi="Times New Roman" w:eastAsia="宋体" w:cs="Times New Roman"/>
                <w:sz w:val="24"/>
                <w:szCs w:val="24"/>
                <w:lang w:val="en-US" w:eastAsia="zh-CN"/>
              </w:rPr>
              <w:t>t/a，产生速率为</w:t>
            </w:r>
            <w:r>
              <w:rPr>
                <w:rFonts w:hint="eastAsia" w:cs="Times New Roman"/>
                <w:sz w:val="24"/>
                <w:szCs w:val="24"/>
                <w:lang w:val="en-US" w:eastAsia="zh-CN"/>
              </w:rPr>
              <w:t>15.56</w:t>
            </w:r>
            <w:r>
              <w:rPr>
                <w:rFonts w:hint="eastAsia" w:ascii="Times New Roman" w:hAnsi="Times New Roman" w:eastAsia="宋体" w:cs="Times New Roman"/>
                <w:sz w:val="24"/>
                <w:szCs w:val="24"/>
                <w:lang w:val="en-US" w:eastAsia="zh-CN"/>
              </w:rPr>
              <w:t>kg/h（堆存时间为7200h/a）。</w:t>
            </w:r>
          </w:p>
          <w:p w14:paraId="36FBF2A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工业企业固体物料堆场颗粒物排放量核算公式如下：</w:t>
            </w:r>
          </w:p>
          <w:p w14:paraId="382E492A">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U</w:t>
            </w:r>
            <w:r>
              <w:rPr>
                <w:rFonts w:hint="eastAsia" w:ascii="Times New Roman" w:hAnsi="Times New Roman" w:eastAsia="宋体" w:cs="Times New Roman"/>
                <w:sz w:val="24"/>
                <w:szCs w:val="24"/>
                <w:vertAlign w:val="subscript"/>
                <w:lang w:val="en-US" w:eastAsia="zh-CN"/>
              </w:rPr>
              <w:t>c</w:t>
            </w:r>
            <w:r>
              <w:rPr>
                <w:rFonts w:hint="eastAsia" w:ascii="Times New Roman" w:hAnsi="Times New Roman" w:eastAsia="宋体" w:cs="Times New Roman"/>
                <w:sz w:val="24"/>
                <w:szCs w:val="24"/>
                <w:lang w:val="en-US" w:eastAsia="zh-CN"/>
              </w:rPr>
              <w:t>=P×（1-C</w:t>
            </w:r>
            <w:r>
              <w:rPr>
                <w:rFonts w:hint="eastAsia" w:ascii="Times New Roman" w:hAnsi="Times New Roman" w:eastAsia="宋体" w:cs="Times New Roman"/>
                <w:sz w:val="24"/>
                <w:szCs w:val="24"/>
                <w:vertAlign w:val="subscript"/>
                <w:lang w:val="en-US" w:eastAsia="zh-CN"/>
              </w:rPr>
              <w:t>m</w:t>
            </w:r>
            <w:r>
              <w:rPr>
                <w:rFonts w:hint="eastAsia" w:ascii="Times New Roman" w:hAnsi="Times New Roman" w:eastAsia="宋体" w:cs="Times New Roman"/>
                <w:sz w:val="24"/>
                <w:szCs w:val="24"/>
                <w:lang w:val="en-US" w:eastAsia="zh-CN"/>
              </w:rPr>
              <w:t>）×（1-T</w:t>
            </w:r>
            <w:r>
              <w:rPr>
                <w:rFonts w:hint="eastAsia" w:ascii="Times New Roman" w:hAnsi="Times New Roman" w:eastAsia="宋体" w:cs="Times New Roman"/>
                <w:sz w:val="24"/>
                <w:szCs w:val="24"/>
                <w:vertAlign w:val="subscript"/>
                <w:lang w:val="en-US" w:eastAsia="zh-CN"/>
              </w:rPr>
              <w:t>m</w:t>
            </w:r>
            <w:r>
              <w:rPr>
                <w:rFonts w:hint="eastAsia" w:ascii="Times New Roman" w:hAnsi="Times New Roman" w:eastAsia="宋体" w:cs="Times New Roman"/>
                <w:sz w:val="24"/>
                <w:szCs w:val="24"/>
                <w:lang w:val="en-US" w:eastAsia="zh-CN"/>
              </w:rPr>
              <w:t>）</w:t>
            </w:r>
          </w:p>
          <w:p w14:paraId="579514D2">
            <w:pPr>
              <w:keepNext w:val="0"/>
              <w:keepLines w:val="0"/>
              <w:pageBreakBefore w:val="0"/>
              <w:widowControl w:val="0"/>
              <w:kinsoku/>
              <w:wordWrap/>
              <w:overflowPunct/>
              <w:topLinePunct w:val="0"/>
              <w:autoSpaceDE/>
              <w:autoSpaceDN/>
              <w:bidi w:val="0"/>
              <w:adjustRightInd/>
              <w:snapToGrid/>
              <w:spacing w:line="520" w:lineRule="exact"/>
              <w:ind w:firstLine="1200" w:firstLineChars="5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式中：P指颗粒物产生量（单位：吨）；</w:t>
            </w:r>
          </w:p>
          <w:p w14:paraId="5166FAEB">
            <w:pPr>
              <w:keepNext w:val="0"/>
              <w:keepLines w:val="0"/>
              <w:pageBreakBefore w:val="0"/>
              <w:widowControl w:val="0"/>
              <w:kinsoku/>
              <w:wordWrap/>
              <w:overflowPunct/>
              <w:topLinePunct w:val="0"/>
              <w:autoSpaceDE/>
              <w:autoSpaceDN/>
              <w:bidi w:val="0"/>
              <w:adjustRightInd/>
              <w:snapToGrid/>
              <w:spacing w:line="520" w:lineRule="exact"/>
              <w:ind w:firstLine="1920" w:firstLineChars="8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U</w:t>
            </w:r>
            <w:r>
              <w:rPr>
                <w:rFonts w:hint="eastAsia" w:ascii="Times New Roman" w:hAnsi="Times New Roman" w:eastAsia="宋体" w:cs="Times New Roman"/>
                <w:sz w:val="24"/>
                <w:szCs w:val="24"/>
                <w:vertAlign w:val="subscript"/>
                <w:lang w:val="en-US" w:eastAsia="zh-CN"/>
              </w:rPr>
              <w:t>c</w:t>
            </w:r>
            <w:r>
              <w:rPr>
                <w:rFonts w:hint="eastAsia" w:ascii="Times New Roman" w:hAnsi="Times New Roman" w:eastAsia="宋体" w:cs="Times New Roman"/>
                <w:sz w:val="24"/>
                <w:szCs w:val="24"/>
                <w:lang w:val="en-US" w:eastAsia="zh-CN"/>
              </w:rPr>
              <w:t>指颗粒物排放量（单位：吨）；</w:t>
            </w:r>
          </w:p>
          <w:p w14:paraId="1315186F">
            <w:pPr>
              <w:keepNext w:val="0"/>
              <w:keepLines w:val="0"/>
              <w:pageBreakBefore w:val="0"/>
              <w:widowControl w:val="0"/>
              <w:kinsoku/>
              <w:wordWrap/>
              <w:overflowPunct/>
              <w:topLinePunct w:val="0"/>
              <w:autoSpaceDE/>
              <w:autoSpaceDN/>
              <w:bidi w:val="0"/>
              <w:adjustRightInd/>
              <w:snapToGrid/>
              <w:spacing w:line="520" w:lineRule="exact"/>
              <w:ind w:firstLine="1920" w:firstLineChars="8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C</w:t>
            </w:r>
            <w:r>
              <w:rPr>
                <w:rFonts w:hint="eastAsia" w:ascii="Times New Roman" w:hAnsi="Times New Roman" w:eastAsia="宋体" w:cs="Times New Roman"/>
                <w:sz w:val="24"/>
                <w:szCs w:val="24"/>
                <w:vertAlign w:val="subscript"/>
                <w:lang w:val="en-US" w:eastAsia="zh-CN"/>
              </w:rPr>
              <w:t>m</w:t>
            </w:r>
            <w:r>
              <w:rPr>
                <w:rFonts w:hint="eastAsia" w:ascii="Times New Roman" w:hAnsi="Times New Roman" w:eastAsia="宋体" w:cs="Times New Roman"/>
                <w:sz w:val="24"/>
                <w:szCs w:val="24"/>
                <w:lang w:val="en-US" w:eastAsia="zh-CN"/>
              </w:rPr>
              <w:t>指颗粒物控制措施控制效率（单位：%）；</w:t>
            </w:r>
          </w:p>
          <w:p w14:paraId="6F1F590A">
            <w:pPr>
              <w:keepNext w:val="0"/>
              <w:keepLines w:val="0"/>
              <w:pageBreakBefore w:val="0"/>
              <w:widowControl w:val="0"/>
              <w:kinsoku/>
              <w:wordWrap/>
              <w:overflowPunct/>
              <w:topLinePunct w:val="0"/>
              <w:autoSpaceDE/>
              <w:autoSpaceDN/>
              <w:bidi w:val="0"/>
              <w:adjustRightInd/>
              <w:snapToGrid/>
              <w:spacing w:line="520" w:lineRule="exact"/>
              <w:ind w:firstLine="1920" w:firstLineChars="8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T</w:t>
            </w:r>
            <w:r>
              <w:rPr>
                <w:rFonts w:hint="eastAsia" w:ascii="Times New Roman" w:hAnsi="Times New Roman" w:eastAsia="宋体" w:cs="Times New Roman"/>
                <w:sz w:val="24"/>
                <w:szCs w:val="24"/>
                <w:vertAlign w:val="subscript"/>
                <w:lang w:val="en-US" w:eastAsia="zh-CN"/>
              </w:rPr>
              <w:t>m</w:t>
            </w:r>
            <w:r>
              <w:rPr>
                <w:rFonts w:hint="eastAsia" w:ascii="Times New Roman" w:hAnsi="Times New Roman" w:eastAsia="宋体" w:cs="Times New Roman"/>
                <w:sz w:val="24"/>
                <w:szCs w:val="24"/>
                <w:lang w:val="en-US" w:eastAsia="zh-CN"/>
              </w:rPr>
              <w:t>指堆场类型控制效率（单位：%）。</w:t>
            </w:r>
          </w:p>
          <w:p w14:paraId="506CE03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根据固体物料堆存颗粒物产排污核算系数手册附录4、附录5，砂子</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石子堆存</w:t>
            </w:r>
            <w:r>
              <w:rPr>
                <w:rFonts w:hint="eastAsia" w:cs="Times New Roman"/>
                <w:sz w:val="24"/>
                <w:szCs w:val="24"/>
                <w:lang w:val="en-US" w:eastAsia="zh-CN"/>
              </w:rPr>
              <w:t>在密闭堆场内，堆存</w:t>
            </w:r>
            <w:r>
              <w:rPr>
                <w:rFonts w:hint="eastAsia" w:ascii="Times New Roman" w:hAnsi="Times New Roman" w:eastAsia="宋体" w:cs="Times New Roman"/>
                <w:sz w:val="24"/>
                <w:szCs w:val="24"/>
                <w:lang w:val="en-US" w:eastAsia="zh-CN"/>
              </w:rPr>
              <w:t>过程中P为</w:t>
            </w:r>
            <w:r>
              <w:rPr>
                <w:rFonts w:hint="eastAsia" w:cs="Times New Roman"/>
                <w:sz w:val="24"/>
                <w:szCs w:val="24"/>
                <w:lang w:val="en-US" w:eastAsia="zh-CN"/>
              </w:rPr>
              <w:t>112t/a，</w:t>
            </w:r>
            <w:r>
              <w:rPr>
                <w:rFonts w:hint="eastAsia" w:ascii="Times New Roman" w:hAnsi="Times New Roman" w:eastAsia="宋体" w:cs="Times New Roman"/>
                <w:sz w:val="24"/>
                <w:szCs w:val="24"/>
                <w:lang w:val="en-US" w:eastAsia="zh-CN"/>
              </w:rPr>
              <w:t>C</w:t>
            </w:r>
            <w:r>
              <w:rPr>
                <w:rFonts w:hint="eastAsia" w:ascii="Times New Roman" w:hAnsi="Times New Roman" w:eastAsia="宋体" w:cs="Times New Roman"/>
                <w:sz w:val="24"/>
                <w:szCs w:val="24"/>
                <w:vertAlign w:val="subscript"/>
                <w:lang w:val="en-US" w:eastAsia="zh-CN"/>
              </w:rPr>
              <w:t>m</w:t>
            </w:r>
            <w:r>
              <w:rPr>
                <w:rFonts w:hint="eastAsia" w:ascii="Times New Roman" w:hAnsi="Times New Roman" w:eastAsia="宋体" w:cs="Times New Roman"/>
                <w:sz w:val="24"/>
                <w:szCs w:val="24"/>
                <w:lang w:val="en-US" w:eastAsia="zh-CN"/>
              </w:rPr>
              <w:t>为0、T</w:t>
            </w:r>
            <w:r>
              <w:rPr>
                <w:rFonts w:hint="eastAsia" w:ascii="Times New Roman" w:hAnsi="Times New Roman" w:eastAsia="宋体" w:cs="Times New Roman"/>
                <w:sz w:val="24"/>
                <w:szCs w:val="24"/>
                <w:vertAlign w:val="subscript"/>
                <w:lang w:val="en-US" w:eastAsia="zh-CN"/>
              </w:rPr>
              <w:t>m</w:t>
            </w:r>
            <w:r>
              <w:rPr>
                <w:rFonts w:hint="eastAsia" w:ascii="Times New Roman" w:hAnsi="Times New Roman" w:eastAsia="宋体" w:cs="Times New Roman"/>
                <w:sz w:val="24"/>
                <w:szCs w:val="24"/>
                <w:lang w:val="en-US" w:eastAsia="zh-CN"/>
              </w:rPr>
              <w:t>为99%，颗粒物排放量为</w:t>
            </w:r>
            <w:r>
              <w:rPr>
                <w:rFonts w:hint="eastAsia" w:cs="Times New Roman"/>
                <w:sz w:val="24"/>
                <w:szCs w:val="24"/>
                <w:lang w:val="en-US" w:eastAsia="zh-CN"/>
              </w:rPr>
              <w:t>1.12</w:t>
            </w:r>
            <w:r>
              <w:rPr>
                <w:rFonts w:hint="eastAsia" w:ascii="Times New Roman" w:hAnsi="Times New Roman" w:eastAsia="宋体" w:cs="Times New Roman"/>
                <w:sz w:val="24"/>
                <w:szCs w:val="24"/>
                <w:lang w:val="en-US" w:eastAsia="zh-CN"/>
              </w:rPr>
              <w:t>t/a，排放速率为</w:t>
            </w:r>
            <w:r>
              <w:rPr>
                <w:rFonts w:hint="eastAsia" w:cs="Times New Roman"/>
                <w:sz w:val="24"/>
                <w:szCs w:val="24"/>
                <w:lang w:val="en-US" w:eastAsia="zh-CN"/>
              </w:rPr>
              <w:t>0.156</w:t>
            </w:r>
            <w:r>
              <w:rPr>
                <w:rFonts w:hint="eastAsia" w:ascii="Times New Roman" w:hAnsi="Times New Roman" w:eastAsia="宋体" w:cs="Times New Roman"/>
                <w:sz w:val="24"/>
                <w:szCs w:val="24"/>
                <w:lang w:val="en-US" w:eastAsia="zh-CN"/>
              </w:rPr>
              <w:t>kg/h。</w:t>
            </w:r>
          </w:p>
          <w:p w14:paraId="10CCDD37">
            <w:pPr>
              <w:pStyle w:val="2"/>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（3）筒仓粉尘</w:t>
            </w:r>
          </w:p>
          <w:p w14:paraId="10EE408D">
            <w:pPr>
              <w:pStyle w:val="8"/>
              <w:bidi w:val="0"/>
              <w:rPr>
                <w:rFonts w:hint="eastAsia"/>
                <w:lang w:val="en-US" w:eastAsia="zh-CN"/>
              </w:rPr>
            </w:pPr>
            <w:r>
              <w:rPr>
                <w:rFonts w:hint="default"/>
                <w:lang w:val="en-US" w:eastAsia="zh-CN"/>
              </w:rPr>
              <w:t>本项目</w:t>
            </w:r>
            <w:r>
              <w:rPr>
                <w:rFonts w:hint="eastAsia"/>
                <w:lang w:val="en-US" w:eastAsia="zh-CN"/>
              </w:rPr>
              <w:t>共配备3个水泥筒仓，3个粉煤灰筒仓。外购的散装粉料向筒库进料时，由于进料时筒库顶部排气口需要向外界排气，排气过程中会有颗粒物产生，其排污系数参照《排放源统计调查产排污核算方法和系数手册》中《3021水泥制品制造（含3022砼结构构件制造、3029其他水泥类似制品制造）行业》中混凝土制品系数，产污系数为0.12千克/吨-产品。</w:t>
            </w:r>
          </w:p>
          <w:p w14:paraId="203B8271">
            <w:pPr>
              <w:pStyle w:val="53"/>
              <w:bidi w:val="0"/>
              <w:rPr>
                <w:rFonts w:hint="eastAsia"/>
                <w:lang w:val="en-US" w:eastAsia="zh-CN"/>
              </w:rPr>
            </w:pPr>
            <w:r>
              <w:rPr>
                <w:rFonts w:hint="eastAsia"/>
                <w:lang w:val="en-US" w:eastAsia="zh-CN"/>
              </w:rPr>
              <w:t>1）水泥使用量为32400t/a（单个筒仓装载量为10800t/a），单个水泥筒仓进料时间共计为216h（水泥罐车卸料次数为216次，单次卸料时间为1h）。</w:t>
            </w:r>
          </w:p>
          <w:p w14:paraId="5DDE84D1">
            <w:pPr>
              <w:pStyle w:val="53"/>
              <w:bidi w:val="0"/>
              <w:rPr>
                <w:rFonts w:hint="eastAsia"/>
                <w:lang w:val="en-US" w:eastAsia="zh-CN"/>
              </w:rPr>
            </w:pPr>
            <w:r>
              <w:rPr>
                <w:rFonts w:hint="eastAsia"/>
                <w:lang w:val="en-US" w:eastAsia="zh-CN"/>
              </w:rPr>
              <w:t>1#水泥筒仓粉尘的产生量为1.296t/a，产生速率为6kg/h，筒仓粉尘经上方自带的脉冲式布袋除尘器（收集效率100%，治理效率为99.7%）处理后无组织排放，则排放量为3.89×10</w:t>
            </w:r>
            <w:r>
              <w:rPr>
                <w:rFonts w:hint="eastAsia"/>
                <w:vertAlign w:val="superscript"/>
                <w:lang w:val="en-US" w:eastAsia="zh-CN"/>
              </w:rPr>
              <w:t>-3</w:t>
            </w:r>
            <w:r>
              <w:rPr>
                <w:rFonts w:hint="eastAsia"/>
                <w:lang w:val="en-US" w:eastAsia="zh-CN"/>
              </w:rPr>
              <w:t>t/a，排放速率为0.018kg/h。</w:t>
            </w:r>
          </w:p>
          <w:p w14:paraId="6541397B">
            <w:pPr>
              <w:pStyle w:val="53"/>
              <w:bidi w:val="0"/>
              <w:rPr>
                <w:rFonts w:hint="default"/>
                <w:lang w:val="en-US" w:eastAsia="zh-CN"/>
              </w:rPr>
            </w:pPr>
            <w:r>
              <w:rPr>
                <w:rFonts w:hint="eastAsia"/>
                <w:lang w:val="en-US" w:eastAsia="zh-CN"/>
              </w:rPr>
              <w:t>2#、3#水泥筒仓同上。</w:t>
            </w:r>
          </w:p>
          <w:p w14:paraId="14D2B29C">
            <w:pPr>
              <w:pStyle w:val="53"/>
              <w:bidi w:val="0"/>
              <w:rPr>
                <w:rFonts w:hint="default"/>
                <w:lang w:val="en-US" w:eastAsia="zh-CN"/>
              </w:rPr>
            </w:pPr>
            <w:r>
              <w:rPr>
                <w:rFonts w:hint="eastAsia"/>
                <w:lang w:val="en-US" w:eastAsia="zh-CN"/>
              </w:rPr>
              <w:t>2）粉煤灰</w:t>
            </w:r>
            <w:r>
              <w:rPr>
                <w:rFonts w:hint="default"/>
                <w:lang w:val="en-US" w:eastAsia="zh-CN"/>
              </w:rPr>
              <w:t>使用量为</w:t>
            </w:r>
            <w:r>
              <w:rPr>
                <w:rFonts w:hint="eastAsia"/>
                <w:lang w:val="en-US" w:eastAsia="zh-CN"/>
              </w:rPr>
              <w:t>28000</w:t>
            </w:r>
            <w:r>
              <w:rPr>
                <w:rFonts w:hint="default"/>
                <w:lang w:val="en-US" w:eastAsia="zh-CN"/>
              </w:rPr>
              <w:t>t/a（单个筒仓装载量为</w:t>
            </w:r>
            <w:r>
              <w:rPr>
                <w:rFonts w:hint="eastAsia"/>
                <w:lang w:val="en-US" w:eastAsia="zh-CN"/>
              </w:rPr>
              <w:t>9334</w:t>
            </w:r>
            <w:r>
              <w:rPr>
                <w:rFonts w:hint="default"/>
                <w:lang w:val="en-US" w:eastAsia="zh-CN"/>
              </w:rPr>
              <w:t>t/a），单个</w:t>
            </w:r>
            <w:r>
              <w:rPr>
                <w:rFonts w:hint="eastAsia"/>
                <w:lang w:val="en-US" w:eastAsia="zh-CN"/>
              </w:rPr>
              <w:t>粉煤灰</w:t>
            </w:r>
            <w:r>
              <w:rPr>
                <w:rFonts w:hint="default"/>
                <w:lang w:val="en-US" w:eastAsia="zh-CN"/>
              </w:rPr>
              <w:t>筒仓进料时间共计为</w:t>
            </w:r>
            <w:r>
              <w:rPr>
                <w:rFonts w:hint="eastAsia"/>
                <w:lang w:val="en-US" w:eastAsia="zh-CN"/>
              </w:rPr>
              <w:t>187</w:t>
            </w:r>
            <w:r>
              <w:rPr>
                <w:rFonts w:hint="default"/>
                <w:lang w:val="en-US" w:eastAsia="zh-CN"/>
              </w:rPr>
              <w:t>h（</w:t>
            </w:r>
            <w:r>
              <w:rPr>
                <w:rFonts w:hint="eastAsia"/>
                <w:lang w:val="en-US" w:eastAsia="zh-CN"/>
              </w:rPr>
              <w:t>粉煤灰</w:t>
            </w:r>
            <w:r>
              <w:rPr>
                <w:rFonts w:hint="default"/>
                <w:lang w:val="en-US" w:eastAsia="zh-CN"/>
              </w:rPr>
              <w:t>罐车卸料次数为</w:t>
            </w:r>
            <w:r>
              <w:rPr>
                <w:rFonts w:hint="eastAsia"/>
                <w:lang w:val="en-US" w:eastAsia="zh-CN"/>
              </w:rPr>
              <w:t>187</w:t>
            </w:r>
            <w:r>
              <w:rPr>
                <w:rFonts w:hint="default"/>
                <w:lang w:val="en-US" w:eastAsia="zh-CN"/>
              </w:rPr>
              <w:t>次，单次卸料时间为1h）。</w:t>
            </w:r>
          </w:p>
          <w:p w14:paraId="062AA40F">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ascii="Times New Roman" w:hAnsi="Times New Roman" w:cs="Times New Roman"/>
                <w:lang w:val="en-US" w:eastAsia="zh-CN"/>
              </w:rPr>
              <w:t>1#</w:t>
            </w:r>
            <w:r>
              <w:rPr>
                <w:rFonts w:hint="eastAsia" w:ascii="Times New Roman" w:hAnsi="Times New Roman" w:cs="Times New Roman"/>
                <w:lang w:val="en-US" w:eastAsia="zh-CN"/>
              </w:rPr>
              <w:t>粉煤灰</w:t>
            </w:r>
            <w:r>
              <w:rPr>
                <w:rFonts w:hint="default" w:ascii="Times New Roman" w:hAnsi="Times New Roman" w:cs="Times New Roman"/>
                <w:lang w:val="en-US" w:eastAsia="zh-CN"/>
              </w:rPr>
              <w:t>筒仓粉尘的产生量为</w:t>
            </w:r>
            <w:r>
              <w:rPr>
                <w:rFonts w:hint="eastAsia" w:cs="Times New Roman"/>
                <w:lang w:val="en-US" w:eastAsia="zh-CN"/>
              </w:rPr>
              <w:t>1.12</w:t>
            </w:r>
            <w:r>
              <w:rPr>
                <w:rFonts w:hint="default" w:ascii="Times New Roman" w:hAnsi="Times New Roman" w:cs="Times New Roman"/>
                <w:lang w:val="en-US" w:eastAsia="zh-CN"/>
              </w:rPr>
              <w:t>t/a</w:t>
            </w:r>
            <w:r>
              <w:rPr>
                <w:rFonts w:hint="eastAsia" w:ascii="Times New Roman" w:hAnsi="Times New Roman" w:cs="Times New Roman"/>
                <w:lang w:val="en-US" w:eastAsia="zh-CN"/>
              </w:rPr>
              <w:t>，</w:t>
            </w:r>
            <w:r>
              <w:rPr>
                <w:rFonts w:hint="default"/>
                <w:lang w:val="en-US" w:eastAsia="zh-CN"/>
              </w:rPr>
              <w:t>产生速率为</w:t>
            </w:r>
            <w:r>
              <w:rPr>
                <w:rFonts w:hint="eastAsia"/>
                <w:lang w:val="en-US" w:eastAsia="zh-CN"/>
              </w:rPr>
              <w:t>5.99</w:t>
            </w:r>
            <w:r>
              <w:rPr>
                <w:rFonts w:hint="default"/>
                <w:lang w:val="en-US" w:eastAsia="zh-CN"/>
              </w:rPr>
              <w:t>kg/h</w:t>
            </w:r>
            <w:r>
              <w:rPr>
                <w:rFonts w:hint="eastAsia"/>
                <w:lang w:val="en-US" w:eastAsia="zh-CN"/>
              </w:rPr>
              <w:t>，</w:t>
            </w:r>
            <w:r>
              <w:rPr>
                <w:rFonts w:hint="default"/>
                <w:lang w:val="en-US" w:eastAsia="zh-CN"/>
              </w:rPr>
              <w:t>筒仓</w:t>
            </w:r>
            <w:r>
              <w:rPr>
                <w:rFonts w:hint="eastAsia"/>
                <w:lang w:val="en-US" w:eastAsia="zh-CN"/>
              </w:rPr>
              <w:t>粉尘</w:t>
            </w:r>
            <w:r>
              <w:rPr>
                <w:rFonts w:hint="default"/>
                <w:lang w:val="en-US" w:eastAsia="zh-CN"/>
              </w:rPr>
              <w:t>经上方自带的</w:t>
            </w:r>
            <w:r>
              <w:rPr>
                <w:rFonts w:hint="eastAsia"/>
                <w:lang w:val="en-US" w:eastAsia="zh-CN"/>
              </w:rPr>
              <w:t>脉冲式布袋除尘器</w:t>
            </w:r>
            <w:r>
              <w:rPr>
                <w:rFonts w:hint="default"/>
                <w:lang w:val="en-US" w:eastAsia="zh-CN"/>
              </w:rPr>
              <w:t>（收集效率100%，治理效率为99.7%）处理后无组织排放，则排放量为</w:t>
            </w:r>
            <w:r>
              <w:rPr>
                <w:rFonts w:hint="eastAsia"/>
                <w:lang w:val="en-US" w:eastAsia="zh-CN"/>
              </w:rPr>
              <w:t>3.36×10</w:t>
            </w:r>
            <w:r>
              <w:rPr>
                <w:rFonts w:hint="eastAsia"/>
                <w:vertAlign w:val="superscript"/>
                <w:lang w:val="en-US" w:eastAsia="zh-CN"/>
              </w:rPr>
              <w:t>-3</w:t>
            </w:r>
            <w:r>
              <w:rPr>
                <w:rFonts w:hint="default"/>
                <w:lang w:val="en-US" w:eastAsia="zh-CN"/>
              </w:rPr>
              <w:t>t/a，排放速率为</w:t>
            </w:r>
            <w:r>
              <w:rPr>
                <w:rFonts w:hint="eastAsia"/>
                <w:lang w:val="en-US" w:eastAsia="zh-CN"/>
              </w:rPr>
              <w:t>0.018</w:t>
            </w:r>
            <w:r>
              <w:rPr>
                <w:rFonts w:hint="default"/>
                <w:lang w:val="en-US" w:eastAsia="zh-CN"/>
              </w:rPr>
              <w:t>kg/h。</w:t>
            </w:r>
          </w:p>
          <w:p w14:paraId="2F69EC48">
            <w:pPr>
              <w:pStyle w:val="53"/>
              <w:bidi w:val="0"/>
              <w:rPr>
                <w:rFonts w:hint="default"/>
                <w:lang w:val="en-US" w:eastAsia="zh-CN"/>
              </w:rPr>
            </w:pPr>
            <w:r>
              <w:rPr>
                <w:rFonts w:hint="default"/>
                <w:lang w:val="en-US" w:eastAsia="zh-CN"/>
              </w:rPr>
              <w:t>2#、3#</w:t>
            </w:r>
            <w:r>
              <w:rPr>
                <w:rFonts w:hint="eastAsia"/>
                <w:lang w:val="en-US" w:eastAsia="zh-CN"/>
              </w:rPr>
              <w:t>粉煤灰</w:t>
            </w:r>
            <w:r>
              <w:rPr>
                <w:rFonts w:hint="default"/>
                <w:lang w:val="en-US" w:eastAsia="zh-CN"/>
              </w:rPr>
              <w:t>筒仓同上。</w:t>
            </w:r>
          </w:p>
          <w:p w14:paraId="630F78D3">
            <w:pPr>
              <w:pStyle w:val="49"/>
              <w:bidi w:val="0"/>
              <w:rPr>
                <w:rFonts w:hint="eastAsia"/>
                <w:lang w:val="en-US" w:eastAsia="zh-CN"/>
              </w:rPr>
            </w:pPr>
            <w:r>
              <w:rPr>
                <w:rFonts w:hint="eastAsia"/>
                <w:lang w:val="en-US" w:eastAsia="zh-CN"/>
              </w:rPr>
              <w:t>（4）焊接烟尘</w:t>
            </w:r>
          </w:p>
          <w:p w14:paraId="1E6D8235">
            <w:pPr>
              <w:pStyle w:val="53"/>
              <w:bidi w:val="0"/>
              <w:rPr>
                <w:rFonts w:hint="eastAsia"/>
                <w:lang w:val="en-US" w:eastAsia="zh-CN"/>
              </w:rPr>
            </w:pPr>
            <w:r>
              <w:rPr>
                <w:rFonts w:hint="eastAsia"/>
                <w:lang w:val="en-US" w:eastAsia="zh-CN"/>
              </w:rPr>
              <w:t>砼预制房一体浇筑生产线中模具设计与组装工序需要使用焊条焊接，本项目采用气体保护焊，焊条施焊时，会伴随少量焊接烟尘颗粒物的产生。参照《排放源统计调查产排污核算方法和系数手册》中33-37，431-434机械行业系数手册-09焊接-实芯焊丝-二氧化碳保护焊，颗粒物的产污系数为9.19kg/t原料，全厂焊丝消耗量为2.5t/a，则焊接颗粒物产生量为0.023t/a。</w:t>
            </w:r>
          </w:p>
          <w:p w14:paraId="5EF79B58">
            <w:pPr>
              <w:pStyle w:val="53"/>
              <w:bidi w:val="0"/>
              <w:rPr>
                <w:rFonts w:hint="default"/>
                <w:lang w:val="en-US" w:eastAsia="zh-CN"/>
              </w:rPr>
            </w:pPr>
            <w:r>
              <w:rPr>
                <w:rFonts w:hint="eastAsia"/>
                <w:lang w:val="en-US" w:eastAsia="zh-CN"/>
              </w:rPr>
              <w:t>焊接工位配套移动式烟尘净化器，净化器带有集气罩的万向软管延伸至焊接作业面附近，通过顶吸或侧吸的方式收集焊接烟尘(收集效率80%，治理效率95%)，风机风量为1000m</w:t>
            </w:r>
            <w:r>
              <w:rPr>
                <w:rFonts w:hint="eastAsia"/>
                <w:vertAlign w:val="superscript"/>
                <w:lang w:val="en-US" w:eastAsia="zh-CN"/>
              </w:rPr>
              <w:t>3</w:t>
            </w:r>
            <w:r>
              <w:rPr>
                <w:rFonts w:hint="eastAsia"/>
                <w:lang w:val="en-US" w:eastAsia="zh-CN"/>
              </w:rPr>
              <w:t>/h计，年工作2400h，过滤后的尾气（9.19×10</w:t>
            </w:r>
            <w:r>
              <w:rPr>
                <w:rFonts w:hint="eastAsia"/>
                <w:vertAlign w:val="superscript"/>
                <w:lang w:val="en-US" w:eastAsia="zh-CN"/>
              </w:rPr>
              <w:t>-4</w:t>
            </w:r>
            <w:r>
              <w:rPr>
                <w:rFonts w:hint="eastAsia"/>
                <w:lang w:val="en-US" w:eastAsia="zh-CN"/>
              </w:rPr>
              <w:t>）与未收集的烟气（4.595×10</w:t>
            </w:r>
            <w:r>
              <w:rPr>
                <w:rFonts w:hint="eastAsia"/>
                <w:vertAlign w:val="superscript"/>
                <w:lang w:val="en-US" w:eastAsia="zh-CN"/>
              </w:rPr>
              <w:t>-3</w:t>
            </w:r>
            <w:r>
              <w:rPr>
                <w:rFonts w:hint="eastAsia"/>
                <w:lang w:val="en-US" w:eastAsia="zh-CN"/>
              </w:rPr>
              <w:t>）在厂房内无组织排放。则1#车间焊接废气无组织排放量为5.514×10</w:t>
            </w:r>
            <w:r>
              <w:rPr>
                <w:rFonts w:hint="eastAsia"/>
                <w:vertAlign w:val="superscript"/>
                <w:lang w:val="en-US" w:eastAsia="zh-CN"/>
              </w:rPr>
              <w:t>-3</w:t>
            </w:r>
            <w:r>
              <w:rPr>
                <w:rFonts w:hint="eastAsia"/>
                <w:lang w:val="en-US" w:eastAsia="zh-CN"/>
              </w:rPr>
              <w:t>t/a，排放速率为2.298×10</w:t>
            </w:r>
            <w:r>
              <w:rPr>
                <w:rFonts w:hint="eastAsia"/>
                <w:vertAlign w:val="superscript"/>
                <w:lang w:val="en-US" w:eastAsia="zh-CN"/>
              </w:rPr>
              <w:t>-3</w:t>
            </w:r>
            <w:r>
              <w:rPr>
                <w:rFonts w:hint="eastAsia"/>
                <w:lang w:val="en-US" w:eastAsia="zh-CN"/>
              </w:rPr>
              <w:t>kg/h。</w:t>
            </w:r>
          </w:p>
          <w:p w14:paraId="77DAB7A0">
            <w:pPr>
              <w:pStyle w:val="53"/>
              <w:bidi w:val="0"/>
              <w:rPr>
                <w:rFonts w:hint="default"/>
                <w:lang w:val="en-US" w:eastAsia="zh-CN"/>
              </w:rPr>
            </w:pPr>
            <w:r>
              <w:rPr>
                <w:rFonts w:hint="default"/>
                <w:lang w:val="en-US" w:eastAsia="zh-CN"/>
              </w:rPr>
              <w:t>综上，</w:t>
            </w:r>
            <w:r>
              <w:rPr>
                <w:rFonts w:hint="eastAsia"/>
                <w:lang w:val="en-US" w:eastAsia="zh-CN"/>
              </w:rPr>
              <w:t>焊接烟尘</w:t>
            </w:r>
            <w:r>
              <w:rPr>
                <w:rFonts w:hint="default"/>
                <w:lang w:val="en-US" w:eastAsia="zh-CN"/>
              </w:rPr>
              <w:t>经</w:t>
            </w:r>
            <w:r>
              <w:rPr>
                <w:rFonts w:hint="eastAsia"/>
                <w:lang w:val="en-US" w:eastAsia="zh-CN"/>
              </w:rPr>
              <w:t>移动式烟尘净化器处理后无组织</w:t>
            </w:r>
            <w:r>
              <w:rPr>
                <w:rFonts w:hint="default"/>
                <w:lang w:val="en-US" w:eastAsia="zh-CN"/>
              </w:rPr>
              <w:t>排放，能够满足《大气污染物综合排放标准》（GB16297-1996）表2颗粒物</w:t>
            </w:r>
            <w:r>
              <w:rPr>
                <w:rFonts w:hint="eastAsia"/>
                <w:lang w:val="en-US" w:eastAsia="zh-CN"/>
              </w:rPr>
              <w:t>无组织</w:t>
            </w:r>
            <w:r>
              <w:rPr>
                <w:rFonts w:hint="default"/>
                <w:lang w:val="en-US" w:eastAsia="zh-CN"/>
              </w:rPr>
              <w:t>排放</w:t>
            </w:r>
            <w:r>
              <w:rPr>
                <w:rFonts w:hint="eastAsia"/>
                <w:lang w:val="en-US" w:eastAsia="zh-CN"/>
              </w:rPr>
              <w:t>浓度</w:t>
            </w:r>
            <w:r>
              <w:rPr>
                <w:rFonts w:hint="default"/>
                <w:lang w:val="en-US" w:eastAsia="zh-CN"/>
              </w:rPr>
              <w:t>限值要求（排放浓度为</w:t>
            </w:r>
            <w:r>
              <w:rPr>
                <w:rFonts w:hint="eastAsia"/>
                <w:lang w:val="en-US" w:eastAsia="zh-CN"/>
              </w:rPr>
              <w:t>1</w:t>
            </w:r>
            <w:r>
              <w:rPr>
                <w:rFonts w:hint="default"/>
                <w:lang w:val="en-US" w:eastAsia="zh-CN"/>
              </w:rPr>
              <w:t>mg/m</w:t>
            </w:r>
            <w:r>
              <w:rPr>
                <w:rFonts w:hint="default"/>
                <w:vertAlign w:val="superscript"/>
                <w:lang w:val="en-US" w:eastAsia="zh-CN"/>
              </w:rPr>
              <w:t>3</w:t>
            </w:r>
            <w:r>
              <w:rPr>
                <w:rFonts w:hint="default"/>
                <w:lang w:val="en-US" w:eastAsia="zh-CN"/>
              </w:rPr>
              <w:t>）。</w:t>
            </w:r>
          </w:p>
          <w:p w14:paraId="6C5BE1A4">
            <w:pPr>
              <w:pStyle w:val="2"/>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1.1.2有组织废气</w:t>
            </w:r>
          </w:p>
          <w:p w14:paraId="44A37266">
            <w:pPr>
              <w:pStyle w:val="49"/>
              <w:numPr>
                <w:ilvl w:val="0"/>
                <w:numId w:val="2"/>
              </w:numPr>
              <w:bidi w:val="0"/>
              <w:rPr>
                <w:rFonts w:hint="eastAsia"/>
                <w:lang w:val="en-US" w:eastAsia="zh-CN"/>
              </w:rPr>
            </w:pPr>
            <w:r>
              <w:rPr>
                <w:rFonts w:hint="eastAsia"/>
                <w:lang w:val="en-US" w:eastAsia="zh-CN"/>
              </w:rPr>
              <w:t>投料粉尘</w:t>
            </w:r>
          </w:p>
          <w:p w14:paraId="5516509A">
            <w:pPr>
              <w:pStyle w:val="53"/>
              <w:bidi w:val="0"/>
              <w:rPr>
                <w:rFonts w:hint="eastAsia"/>
                <w:lang w:val="en-US" w:eastAsia="zh-CN"/>
              </w:rPr>
            </w:pPr>
            <w:r>
              <w:rPr>
                <w:rFonts w:hint="default"/>
                <w:lang w:val="en-US" w:eastAsia="zh-CN"/>
              </w:rPr>
              <w:t>2条</w:t>
            </w:r>
            <w:r>
              <w:rPr>
                <w:rFonts w:hint="eastAsia"/>
                <w:lang w:val="en-US" w:eastAsia="zh-CN"/>
              </w:rPr>
              <w:t>现代化加气块</w:t>
            </w:r>
            <w:r>
              <w:rPr>
                <w:rFonts w:hint="default"/>
                <w:lang w:val="en-US" w:eastAsia="zh-CN"/>
              </w:rPr>
              <w:t>生产线共用一台干混搅拌机，投放成品EPS颗粒、石灰、石膏、铝粉膏等原料时会产生投料粉尘，</w:t>
            </w:r>
            <w:r>
              <w:rPr>
                <w:rFonts w:hint="eastAsia"/>
                <w:lang w:val="en-US" w:eastAsia="zh-CN"/>
              </w:rPr>
              <w:t>设置</w:t>
            </w:r>
            <w:r>
              <w:rPr>
                <w:rFonts w:hint="default"/>
                <w:lang w:val="en-US" w:eastAsia="zh-CN"/>
              </w:rPr>
              <w:t>一套粉尘治理设施收集治理；砼预制房、检查井、消防池和化粪池一体浇筑生产线所需混凝土由双线混凝土</w:t>
            </w:r>
            <w:r>
              <w:rPr>
                <w:rFonts w:hint="eastAsia"/>
                <w:lang w:val="en-US" w:eastAsia="zh-CN"/>
              </w:rPr>
              <w:t>拌和站</w:t>
            </w:r>
            <w:r>
              <w:rPr>
                <w:rFonts w:hint="default"/>
                <w:lang w:val="en-US" w:eastAsia="zh-CN"/>
              </w:rPr>
              <w:t>供给，配套设置的2条混凝土搅拌线在搅拌工序中投放砂子、石子等原料时会产生投料粉尘，该2条搅拌线共用一套粉尘治理设施进行集中收集治理；2条水泥砖生产线共用一台搅拌机</w:t>
            </w:r>
            <w:r>
              <w:rPr>
                <w:rFonts w:hint="eastAsia"/>
                <w:lang w:val="en-US" w:eastAsia="zh-CN"/>
              </w:rPr>
              <w:t>，</w:t>
            </w:r>
            <w:r>
              <w:rPr>
                <w:rFonts w:hint="default"/>
                <w:lang w:val="en-US" w:eastAsia="zh-CN"/>
              </w:rPr>
              <w:t>在原料混合搅拌工序中投放砂子时会产生投料粉尘，设置一套粉尘治理设施收集治理</w:t>
            </w:r>
            <w:r>
              <w:rPr>
                <w:rFonts w:hint="eastAsia"/>
                <w:lang w:val="en-US" w:eastAsia="zh-CN"/>
              </w:rPr>
              <w:t>。</w:t>
            </w:r>
          </w:p>
          <w:p w14:paraId="67940671">
            <w:pPr>
              <w:pStyle w:val="51"/>
              <w:bidi w:val="0"/>
              <w:rPr>
                <w:rFonts w:hint="eastAsia"/>
                <w:lang w:val="en-US" w:eastAsia="zh-CN"/>
              </w:rPr>
            </w:pPr>
            <w:r>
              <w:rPr>
                <w:rFonts w:hint="default"/>
                <w:lang w:val="en-US" w:eastAsia="zh-CN"/>
              </w:rPr>
              <w:t>粉尘产生量参照《逸散性工业粉尘控制技术》表22-1中的装水泥、砂和粒料入称量斗污染物排放因子，排放因子为0.01kg/t（装料）</w:t>
            </w:r>
            <w:r>
              <w:rPr>
                <w:rFonts w:hint="eastAsia"/>
                <w:lang w:val="en-US" w:eastAsia="zh-CN"/>
              </w:rPr>
              <w:t>。</w:t>
            </w:r>
          </w:p>
          <w:p w14:paraId="741AC203">
            <w:pPr>
              <w:pStyle w:val="51"/>
              <w:bidi w:val="0"/>
              <w:rPr>
                <w:rFonts w:hint="default"/>
                <w:lang w:val="en-US" w:eastAsia="zh-CN"/>
              </w:rPr>
            </w:pPr>
            <w:r>
              <w:rPr>
                <w:rFonts w:hint="eastAsia"/>
                <w:lang w:val="en-US" w:eastAsia="zh-CN"/>
              </w:rPr>
              <w:t>1）现代化加气块生产线</w:t>
            </w:r>
            <w:r>
              <w:rPr>
                <w:rFonts w:hint="default"/>
                <w:lang w:val="en-US" w:eastAsia="zh-CN"/>
              </w:rPr>
              <w:t>投加</w:t>
            </w:r>
            <w:r>
              <w:rPr>
                <w:rFonts w:hint="eastAsia"/>
                <w:lang w:val="en-US" w:eastAsia="zh-CN"/>
              </w:rPr>
              <w:t>原辅料为石灰8500t/a、石膏7590t/a、铝粉膏20t/a、成品EPS发泡颗粒50t/a，投加总量</w:t>
            </w:r>
            <w:r>
              <w:rPr>
                <w:rFonts w:hint="default"/>
                <w:lang w:val="en-US" w:eastAsia="zh-CN"/>
              </w:rPr>
              <w:t>为</w:t>
            </w:r>
            <w:r>
              <w:rPr>
                <w:rFonts w:hint="eastAsia"/>
                <w:lang w:val="en-US" w:eastAsia="zh-CN"/>
              </w:rPr>
              <w:t>8410t/a</w:t>
            </w:r>
            <w:r>
              <w:rPr>
                <w:rFonts w:hint="default"/>
                <w:lang w:val="en-US" w:eastAsia="zh-CN"/>
              </w:rPr>
              <w:t>，则投料粉尘产生量为</w:t>
            </w:r>
            <w:r>
              <w:rPr>
                <w:rFonts w:hint="eastAsia"/>
                <w:lang w:val="en-US" w:eastAsia="zh-CN"/>
              </w:rPr>
              <w:t>0.084</w:t>
            </w:r>
            <w:r>
              <w:rPr>
                <w:rFonts w:hint="default"/>
                <w:lang w:val="en-US" w:eastAsia="zh-CN"/>
              </w:rPr>
              <w:t>t/a。在投料口上方设置集气罩，收集的粉尘</w:t>
            </w:r>
            <w:r>
              <w:rPr>
                <w:rFonts w:hint="eastAsia"/>
                <w:lang w:val="en-US" w:eastAsia="zh-CN"/>
              </w:rPr>
              <w:t>通过管道连接</w:t>
            </w:r>
            <w:r>
              <w:rPr>
                <w:rFonts w:hint="default"/>
                <w:lang w:val="en-US" w:eastAsia="zh-CN"/>
              </w:rPr>
              <w:t>经</w:t>
            </w:r>
            <w:r>
              <w:rPr>
                <w:rFonts w:hint="eastAsia"/>
                <w:lang w:val="en-US" w:eastAsia="zh-CN"/>
              </w:rPr>
              <w:t>一套</w:t>
            </w:r>
            <w:r>
              <w:rPr>
                <w:rFonts w:hint="default"/>
                <w:lang w:val="en-US" w:eastAsia="zh-CN"/>
              </w:rPr>
              <w:t>袋式除尘器处理后</w:t>
            </w:r>
            <w:r>
              <w:rPr>
                <w:rFonts w:hint="eastAsia"/>
                <w:lang w:val="en-US" w:eastAsia="zh-CN"/>
              </w:rPr>
              <w:t>由</w:t>
            </w:r>
            <w:r>
              <w:rPr>
                <w:rFonts w:hint="default"/>
                <w:lang w:val="en-US" w:eastAsia="zh-CN"/>
              </w:rPr>
              <w:t>15m高排气筒</w:t>
            </w:r>
            <w:r>
              <w:rPr>
                <w:rFonts w:hint="eastAsia"/>
                <w:lang w:val="en-US" w:eastAsia="zh-CN"/>
              </w:rPr>
              <w:t>DA001</w:t>
            </w:r>
            <w:r>
              <w:rPr>
                <w:rFonts w:hint="default"/>
                <w:lang w:val="en-US" w:eastAsia="zh-CN"/>
              </w:rPr>
              <w:t>排放。</w:t>
            </w:r>
            <w:r>
              <w:rPr>
                <w:rFonts w:hint="eastAsia"/>
                <w:lang w:val="en-US" w:eastAsia="zh-CN"/>
              </w:rPr>
              <w:t>根据《主要污染物总量减排核算技术指南》半密闭集气罩</w:t>
            </w:r>
            <w:r>
              <w:rPr>
                <w:rFonts w:hint="default"/>
                <w:lang w:val="en-US" w:eastAsia="zh-CN"/>
              </w:rPr>
              <w:t>收集率</w:t>
            </w:r>
            <w:r>
              <w:rPr>
                <w:rFonts w:hint="eastAsia"/>
                <w:lang w:val="en-US" w:eastAsia="zh-CN"/>
              </w:rPr>
              <w:t>为65</w:t>
            </w:r>
            <w:r>
              <w:rPr>
                <w:rFonts w:hint="default"/>
                <w:lang w:val="en-US" w:eastAsia="zh-CN"/>
              </w:rPr>
              <w:t>%，除尘率按</w:t>
            </w:r>
            <w:r>
              <w:rPr>
                <w:rFonts w:hint="eastAsia"/>
                <w:lang w:val="en-US" w:eastAsia="zh-CN"/>
              </w:rPr>
              <w:t>99.7</w:t>
            </w:r>
            <w:r>
              <w:rPr>
                <w:rFonts w:hint="default"/>
                <w:lang w:val="en-US" w:eastAsia="zh-CN"/>
              </w:rPr>
              <w:t>%计</w:t>
            </w:r>
            <w:r>
              <w:rPr>
                <w:rFonts w:hint="eastAsia"/>
                <w:lang w:val="en-US" w:eastAsia="zh-CN"/>
              </w:rPr>
              <w:t>，配套</w:t>
            </w:r>
            <w:r>
              <w:rPr>
                <w:rFonts w:hint="default"/>
                <w:lang w:val="en-US" w:eastAsia="zh-CN"/>
              </w:rPr>
              <w:t>风机风量为</w:t>
            </w:r>
            <w:r>
              <w:rPr>
                <w:rFonts w:hint="eastAsia"/>
                <w:lang w:val="en-US" w:eastAsia="zh-CN"/>
              </w:rPr>
              <w:t>1</w:t>
            </w:r>
            <w:r>
              <w:rPr>
                <w:rFonts w:hint="default"/>
                <w:lang w:val="en-US" w:eastAsia="zh-CN"/>
              </w:rPr>
              <w:t>000m</w:t>
            </w:r>
            <w:r>
              <w:rPr>
                <w:rFonts w:hint="default"/>
                <w:vertAlign w:val="superscript"/>
                <w:lang w:val="en-US" w:eastAsia="zh-CN"/>
              </w:rPr>
              <w:t>3</w:t>
            </w:r>
            <w:r>
              <w:rPr>
                <w:rFonts w:hint="default"/>
                <w:lang w:val="en-US" w:eastAsia="zh-CN"/>
              </w:rPr>
              <w:t>/h，年工作</w:t>
            </w:r>
            <w:r>
              <w:rPr>
                <w:rFonts w:hint="eastAsia"/>
                <w:lang w:val="en-US" w:eastAsia="zh-CN"/>
              </w:rPr>
              <w:t>150</w:t>
            </w:r>
            <w:r>
              <w:rPr>
                <w:rFonts w:hint="default"/>
                <w:lang w:val="en-US" w:eastAsia="zh-CN"/>
              </w:rPr>
              <w:t>h</w:t>
            </w:r>
            <w:r>
              <w:rPr>
                <w:rFonts w:hint="eastAsia"/>
                <w:lang w:val="en-US" w:eastAsia="zh-CN"/>
              </w:rPr>
              <w:t>。</w:t>
            </w:r>
            <w:r>
              <w:rPr>
                <w:rFonts w:hint="default"/>
                <w:lang w:val="en-US" w:eastAsia="zh-CN"/>
              </w:rPr>
              <w:t>则有组</w:t>
            </w:r>
            <w:r>
              <w:rPr>
                <w:rFonts w:hint="default" w:ascii="Times New Roman" w:hAnsi="Times New Roman" w:cs="Times New Roman"/>
                <w:lang w:val="en-US" w:eastAsia="zh-CN"/>
              </w:rPr>
              <w:t>织排放量为</w:t>
            </w:r>
            <w:r>
              <w:rPr>
                <w:rFonts w:hint="eastAsia" w:cs="Times New Roman"/>
                <w:lang w:val="en-US" w:eastAsia="zh-CN"/>
              </w:rPr>
              <w:t>1.64</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w:t>
            </w:r>
            <w:r>
              <w:rPr>
                <w:rFonts w:hint="eastAsia" w:cs="Times New Roman"/>
                <w:vertAlign w:val="superscript"/>
                <w:lang w:val="en-US" w:eastAsia="zh-CN"/>
              </w:rPr>
              <w:t>4</w:t>
            </w:r>
            <w:r>
              <w:rPr>
                <w:rFonts w:hint="default" w:ascii="Times New Roman" w:hAnsi="Times New Roman" w:cs="Times New Roman"/>
                <w:lang w:val="en-US" w:eastAsia="zh-CN"/>
              </w:rPr>
              <w:t>t/a，速率为</w:t>
            </w:r>
            <w:r>
              <w:rPr>
                <w:rFonts w:hint="eastAsia" w:cs="Times New Roman"/>
                <w:lang w:val="en-US" w:eastAsia="zh-CN"/>
              </w:rPr>
              <w:t>1.093</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w:t>
            </w:r>
            <w:r>
              <w:rPr>
                <w:rFonts w:hint="eastAsia" w:cs="Times New Roman"/>
                <w:vertAlign w:val="superscript"/>
                <w:lang w:val="en-US" w:eastAsia="zh-CN"/>
              </w:rPr>
              <w:t>3</w:t>
            </w:r>
            <w:r>
              <w:rPr>
                <w:rFonts w:hint="default" w:ascii="Times New Roman" w:hAnsi="Times New Roman" w:cs="Times New Roman"/>
                <w:lang w:val="en-US" w:eastAsia="zh-CN"/>
              </w:rPr>
              <w:t>kg/h，排放浓度为</w:t>
            </w:r>
            <w:r>
              <w:rPr>
                <w:rFonts w:hint="eastAsia" w:cs="Times New Roman"/>
                <w:lang w:val="en-US" w:eastAsia="zh-CN"/>
              </w:rPr>
              <w:t>1.093</w:t>
            </w:r>
            <w:r>
              <w:rPr>
                <w:rFonts w:hint="default" w:ascii="Times New Roman" w:hAnsi="Times New Roman" w:cs="Times New Roman"/>
                <w:lang w:val="en-US" w:eastAsia="zh-CN"/>
              </w:rPr>
              <w:t>mg/m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，无组织排放量为</w:t>
            </w:r>
            <w:r>
              <w:rPr>
                <w:rFonts w:hint="eastAsia" w:cs="Times New Roman"/>
                <w:lang w:val="en-US" w:eastAsia="zh-CN"/>
              </w:rPr>
              <w:t>2.944</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w:t>
            </w:r>
            <w:r>
              <w:rPr>
                <w:rFonts w:hint="eastAsia" w:cs="Times New Roman"/>
                <w:vertAlign w:val="superscript"/>
                <w:lang w:val="en-US" w:eastAsia="zh-CN"/>
              </w:rPr>
              <w:t>2</w:t>
            </w:r>
            <w:r>
              <w:rPr>
                <w:rFonts w:hint="default" w:ascii="Times New Roman" w:hAnsi="Times New Roman" w:cs="Times New Roman"/>
                <w:lang w:val="en-US" w:eastAsia="zh-CN"/>
              </w:rPr>
              <w:t>t/a。</w:t>
            </w:r>
          </w:p>
          <w:p w14:paraId="3B2FE33E">
            <w:pPr>
              <w:pStyle w:val="51"/>
              <w:bidi w:val="0"/>
              <w:rPr>
                <w:rFonts w:hint="eastAsia"/>
                <w:lang w:val="en-US" w:eastAsia="zh-CN"/>
              </w:rPr>
            </w:pPr>
            <w:r>
              <w:rPr>
                <w:rFonts w:hint="eastAsia"/>
                <w:lang w:val="en-US" w:eastAsia="zh-CN"/>
              </w:rPr>
              <w:t>2）砼预制房</w:t>
            </w:r>
            <w:r>
              <w:rPr>
                <w:rFonts w:hint="eastAsia"/>
                <w:lang w:eastAsia="zh-CN"/>
              </w:rPr>
              <w:t>、</w:t>
            </w:r>
            <w:r>
              <w:rPr>
                <w:rFonts w:hint="eastAsia"/>
                <w:lang w:val="en-US" w:eastAsia="zh-CN"/>
              </w:rPr>
              <w:t>检查井、消防池和化粪池一体浇筑生产线投加原辅料为砂子62400t/a、石子85600t/a，投加总量为148000t/a，</w:t>
            </w:r>
            <w:r>
              <w:rPr>
                <w:rFonts w:hint="default"/>
                <w:lang w:val="en-US" w:eastAsia="zh-CN"/>
              </w:rPr>
              <w:t>则投料粉尘产生量为</w:t>
            </w:r>
            <w:r>
              <w:rPr>
                <w:rFonts w:hint="eastAsia"/>
                <w:lang w:val="en-US" w:eastAsia="zh-CN"/>
              </w:rPr>
              <w:t>1.48</w:t>
            </w:r>
            <w:r>
              <w:rPr>
                <w:rFonts w:hint="default"/>
                <w:lang w:val="en-US" w:eastAsia="zh-CN"/>
              </w:rPr>
              <w:t>t/a。在投料口上方设置集气罩，</w:t>
            </w:r>
            <w:r>
              <w:rPr>
                <w:rFonts w:hint="eastAsia"/>
                <w:lang w:val="en-US" w:eastAsia="zh-CN"/>
              </w:rPr>
              <w:t>每个投料口</w:t>
            </w:r>
            <w:r>
              <w:rPr>
                <w:rFonts w:hint="default"/>
                <w:lang w:val="en-US" w:eastAsia="zh-CN"/>
              </w:rPr>
              <w:t>收集的粉尘</w:t>
            </w:r>
            <w:r>
              <w:rPr>
                <w:rFonts w:hint="eastAsia"/>
                <w:lang w:val="en-US" w:eastAsia="zh-CN"/>
              </w:rPr>
              <w:t>通过管道连接</w:t>
            </w:r>
            <w:r>
              <w:rPr>
                <w:rFonts w:hint="default"/>
                <w:lang w:val="en-US" w:eastAsia="zh-CN"/>
              </w:rPr>
              <w:t>经</w:t>
            </w:r>
            <w:r>
              <w:rPr>
                <w:rFonts w:hint="eastAsia"/>
                <w:lang w:val="en-US" w:eastAsia="zh-CN"/>
              </w:rPr>
              <w:t>一套</w:t>
            </w:r>
            <w:r>
              <w:rPr>
                <w:rFonts w:hint="default"/>
                <w:lang w:val="en-US" w:eastAsia="zh-CN"/>
              </w:rPr>
              <w:t>袋式除尘器处理后</w:t>
            </w:r>
            <w:r>
              <w:rPr>
                <w:rFonts w:hint="eastAsia"/>
                <w:lang w:val="en-US" w:eastAsia="zh-CN"/>
              </w:rPr>
              <w:t>由</w:t>
            </w:r>
            <w:r>
              <w:rPr>
                <w:rFonts w:hint="default"/>
                <w:lang w:val="en-US" w:eastAsia="zh-CN"/>
              </w:rPr>
              <w:t>15m高排气筒</w:t>
            </w:r>
            <w:r>
              <w:rPr>
                <w:rFonts w:hint="eastAsia"/>
                <w:lang w:val="en-US" w:eastAsia="zh-CN"/>
              </w:rPr>
              <w:t>DA002</w:t>
            </w:r>
            <w:r>
              <w:rPr>
                <w:rFonts w:hint="default"/>
                <w:lang w:val="en-US" w:eastAsia="zh-CN"/>
              </w:rPr>
              <w:t>排放。</w:t>
            </w:r>
            <w:r>
              <w:rPr>
                <w:rFonts w:hint="eastAsia"/>
                <w:lang w:val="en-US" w:eastAsia="zh-CN"/>
              </w:rPr>
              <w:t>集气罩</w:t>
            </w:r>
            <w:r>
              <w:rPr>
                <w:rFonts w:hint="default"/>
                <w:lang w:val="en-US" w:eastAsia="zh-CN"/>
              </w:rPr>
              <w:t>收集率</w:t>
            </w:r>
            <w:r>
              <w:rPr>
                <w:rFonts w:hint="eastAsia"/>
                <w:lang w:val="en-US" w:eastAsia="zh-CN"/>
              </w:rPr>
              <w:t>为65</w:t>
            </w:r>
            <w:r>
              <w:rPr>
                <w:rFonts w:hint="default"/>
                <w:lang w:val="en-US" w:eastAsia="zh-CN"/>
              </w:rPr>
              <w:t>%，除尘率按99</w:t>
            </w:r>
            <w:r>
              <w:rPr>
                <w:rFonts w:hint="eastAsia"/>
                <w:lang w:val="en-US" w:eastAsia="zh-CN"/>
              </w:rPr>
              <w:t>.7</w:t>
            </w:r>
            <w:r>
              <w:rPr>
                <w:rFonts w:hint="default"/>
                <w:lang w:val="en-US" w:eastAsia="zh-CN"/>
              </w:rPr>
              <w:t>%计</w:t>
            </w:r>
            <w:r>
              <w:rPr>
                <w:rFonts w:hint="eastAsia"/>
                <w:lang w:val="en-US" w:eastAsia="zh-CN"/>
              </w:rPr>
              <w:t>，配套</w:t>
            </w:r>
            <w:r>
              <w:rPr>
                <w:rFonts w:hint="default"/>
                <w:lang w:val="en-US" w:eastAsia="zh-CN"/>
              </w:rPr>
              <w:t>风机风量为</w:t>
            </w:r>
            <w:r>
              <w:rPr>
                <w:rFonts w:hint="eastAsia"/>
                <w:lang w:val="en-US" w:eastAsia="zh-CN"/>
              </w:rPr>
              <w:t>2</w:t>
            </w:r>
            <w:r>
              <w:rPr>
                <w:rFonts w:hint="default"/>
                <w:lang w:val="en-US" w:eastAsia="zh-CN"/>
              </w:rPr>
              <w:t>000m</w:t>
            </w:r>
            <w:r>
              <w:rPr>
                <w:rFonts w:hint="default"/>
                <w:vertAlign w:val="superscript"/>
                <w:lang w:val="en-US" w:eastAsia="zh-CN"/>
              </w:rPr>
              <w:t>3</w:t>
            </w:r>
            <w:r>
              <w:rPr>
                <w:rFonts w:hint="default"/>
                <w:lang w:val="en-US" w:eastAsia="zh-CN"/>
              </w:rPr>
              <w:t>/h，年工作</w:t>
            </w:r>
            <w:r>
              <w:rPr>
                <w:rFonts w:hint="eastAsia"/>
                <w:lang w:val="en-US" w:eastAsia="zh-CN"/>
              </w:rPr>
              <w:t>150</w:t>
            </w:r>
            <w:r>
              <w:rPr>
                <w:rFonts w:hint="default"/>
                <w:lang w:val="en-US" w:eastAsia="zh-CN"/>
              </w:rPr>
              <w:t>h</w:t>
            </w:r>
            <w:r>
              <w:rPr>
                <w:rFonts w:hint="eastAsia"/>
                <w:lang w:val="en-US" w:eastAsia="zh-CN"/>
              </w:rPr>
              <w:t>。</w:t>
            </w:r>
            <w:r>
              <w:rPr>
                <w:rFonts w:hint="default"/>
                <w:lang w:val="en-US" w:eastAsia="zh-CN"/>
              </w:rPr>
              <w:t>则有组</w:t>
            </w:r>
            <w:r>
              <w:rPr>
                <w:rFonts w:hint="default" w:ascii="Times New Roman" w:hAnsi="Times New Roman" w:cs="Times New Roman"/>
                <w:lang w:val="en-US" w:eastAsia="zh-CN"/>
              </w:rPr>
              <w:t>织排放量为</w:t>
            </w:r>
            <w:r>
              <w:rPr>
                <w:rFonts w:hint="eastAsia" w:cs="Times New Roman"/>
                <w:lang w:val="en-US" w:eastAsia="zh-CN"/>
              </w:rPr>
              <w:t>2.886</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w:t>
            </w:r>
            <w:r>
              <w:rPr>
                <w:rFonts w:hint="eastAsia" w:cs="Times New Roman"/>
                <w:vertAlign w:val="superscript"/>
                <w:lang w:val="en-US" w:eastAsia="zh-CN"/>
              </w:rPr>
              <w:t>3</w:t>
            </w:r>
            <w:r>
              <w:rPr>
                <w:rFonts w:hint="default" w:ascii="Times New Roman" w:hAnsi="Times New Roman" w:cs="Times New Roman"/>
                <w:lang w:val="en-US" w:eastAsia="zh-CN"/>
              </w:rPr>
              <w:t>t/a，速率为</w:t>
            </w:r>
            <w:r>
              <w:rPr>
                <w:rFonts w:hint="eastAsia" w:cs="Times New Roman"/>
                <w:lang w:val="en-US" w:eastAsia="zh-CN"/>
              </w:rPr>
              <w:t>1.924</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w:t>
            </w:r>
            <w:r>
              <w:rPr>
                <w:rFonts w:hint="eastAsia" w:cs="Times New Roman"/>
                <w:vertAlign w:val="superscript"/>
                <w:lang w:val="en-US" w:eastAsia="zh-CN"/>
              </w:rPr>
              <w:t>2</w:t>
            </w:r>
            <w:r>
              <w:rPr>
                <w:rFonts w:hint="default" w:ascii="Times New Roman" w:hAnsi="Times New Roman" w:cs="Times New Roman"/>
                <w:lang w:val="en-US" w:eastAsia="zh-CN"/>
              </w:rPr>
              <w:t>kg/h，排放浓度为</w:t>
            </w:r>
            <w:r>
              <w:rPr>
                <w:rFonts w:hint="eastAsia" w:cs="Times New Roman"/>
                <w:lang w:val="en-US" w:eastAsia="zh-CN"/>
              </w:rPr>
              <w:t>9.62</w:t>
            </w:r>
            <w:r>
              <w:rPr>
                <w:rFonts w:hint="default" w:ascii="Times New Roman" w:hAnsi="Times New Roman" w:cs="Times New Roman"/>
                <w:lang w:val="en-US" w:eastAsia="zh-CN"/>
              </w:rPr>
              <w:t>mg/m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，无组织排放量为</w:t>
            </w:r>
            <w:r>
              <w:rPr>
                <w:rFonts w:hint="eastAsia" w:ascii="Times New Roman" w:hAnsi="Times New Roman" w:cs="Times New Roman"/>
                <w:lang w:val="en-US" w:eastAsia="zh-CN"/>
              </w:rPr>
              <w:t>0.</w:t>
            </w:r>
            <w:r>
              <w:rPr>
                <w:rFonts w:hint="eastAsia" w:cs="Times New Roman"/>
                <w:lang w:val="en-US" w:eastAsia="zh-CN"/>
              </w:rPr>
              <w:t>518</w:t>
            </w:r>
            <w:r>
              <w:rPr>
                <w:rFonts w:hint="default" w:ascii="Times New Roman" w:hAnsi="Times New Roman" w:cs="Times New Roman"/>
                <w:lang w:val="en-US" w:eastAsia="zh-CN"/>
              </w:rPr>
              <w:t>t/a。</w:t>
            </w:r>
          </w:p>
          <w:p w14:paraId="544515AD">
            <w:pPr>
              <w:pStyle w:val="51"/>
              <w:bidi w:val="0"/>
              <w:rPr>
                <w:rFonts w:hint="default" w:ascii="Times New Roman" w:hAnsi="Times New Roman" w:cs="Times New Roman"/>
                <w:lang w:val="en-US" w:eastAsia="zh-CN"/>
              </w:rPr>
            </w:pPr>
            <w:r>
              <w:rPr>
                <w:rFonts w:hint="eastAsia"/>
                <w:lang w:val="en-US" w:eastAsia="zh-CN"/>
              </w:rPr>
              <w:t>3）水泥砖生产线投加原辅料为砂子8000t/a、石子12700t/a，投加总量为20700t/a，</w:t>
            </w:r>
            <w:r>
              <w:rPr>
                <w:rFonts w:hint="default"/>
                <w:lang w:val="en-US" w:eastAsia="zh-CN"/>
              </w:rPr>
              <w:t>则投料粉尘产生量为</w:t>
            </w:r>
            <w:r>
              <w:rPr>
                <w:rFonts w:hint="eastAsia"/>
                <w:lang w:val="en-US" w:eastAsia="zh-CN"/>
              </w:rPr>
              <w:t>0.207</w:t>
            </w:r>
            <w:r>
              <w:rPr>
                <w:rFonts w:hint="default"/>
                <w:lang w:val="en-US" w:eastAsia="zh-CN"/>
              </w:rPr>
              <w:t>t/a。在投料口上方设置集气罩，</w:t>
            </w:r>
            <w:r>
              <w:rPr>
                <w:rFonts w:hint="eastAsia"/>
                <w:lang w:val="en-US" w:eastAsia="zh-CN"/>
              </w:rPr>
              <w:t>投料口</w:t>
            </w:r>
            <w:r>
              <w:rPr>
                <w:rFonts w:hint="default"/>
                <w:lang w:val="en-US" w:eastAsia="zh-CN"/>
              </w:rPr>
              <w:t>收集的粉尘经</w:t>
            </w:r>
            <w:r>
              <w:rPr>
                <w:rFonts w:hint="eastAsia"/>
                <w:lang w:val="en-US" w:eastAsia="zh-CN"/>
              </w:rPr>
              <w:t>一套</w:t>
            </w:r>
            <w:r>
              <w:rPr>
                <w:rFonts w:hint="default"/>
                <w:lang w:val="en-US" w:eastAsia="zh-CN"/>
              </w:rPr>
              <w:t>袋式除尘器处理后</w:t>
            </w:r>
            <w:r>
              <w:rPr>
                <w:rFonts w:hint="eastAsia"/>
                <w:lang w:val="en-US" w:eastAsia="zh-CN"/>
              </w:rPr>
              <w:t>由</w:t>
            </w:r>
            <w:r>
              <w:rPr>
                <w:rFonts w:hint="default"/>
                <w:lang w:val="en-US" w:eastAsia="zh-CN"/>
              </w:rPr>
              <w:t>15m高排气筒</w:t>
            </w:r>
            <w:r>
              <w:rPr>
                <w:rFonts w:hint="eastAsia"/>
                <w:lang w:val="en-US" w:eastAsia="zh-CN"/>
              </w:rPr>
              <w:t>DA003</w:t>
            </w:r>
            <w:r>
              <w:rPr>
                <w:rFonts w:hint="default"/>
                <w:lang w:val="en-US" w:eastAsia="zh-CN"/>
              </w:rPr>
              <w:t>排放。</w:t>
            </w:r>
            <w:r>
              <w:rPr>
                <w:rFonts w:hint="eastAsia"/>
                <w:lang w:val="en-US" w:eastAsia="zh-CN"/>
              </w:rPr>
              <w:t>集气罩</w:t>
            </w:r>
            <w:r>
              <w:rPr>
                <w:rFonts w:hint="default"/>
                <w:lang w:val="en-US" w:eastAsia="zh-CN"/>
              </w:rPr>
              <w:t>收集率</w:t>
            </w:r>
            <w:r>
              <w:rPr>
                <w:rFonts w:hint="eastAsia"/>
                <w:lang w:val="en-US" w:eastAsia="zh-CN"/>
              </w:rPr>
              <w:t>为65</w:t>
            </w:r>
            <w:r>
              <w:rPr>
                <w:rFonts w:hint="default"/>
                <w:lang w:val="en-US" w:eastAsia="zh-CN"/>
              </w:rPr>
              <w:t>%，除尘率按99</w:t>
            </w:r>
            <w:r>
              <w:rPr>
                <w:rFonts w:hint="eastAsia"/>
                <w:lang w:val="en-US" w:eastAsia="zh-CN"/>
              </w:rPr>
              <w:t>.7</w:t>
            </w:r>
            <w:r>
              <w:rPr>
                <w:rFonts w:hint="default"/>
                <w:lang w:val="en-US" w:eastAsia="zh-CN"/>
              </w:rPr>
              <w:t>%计</w:t>
            </w:r>
            <w:r>
              <w:rPr>
                <w:rFonts w:hint="eastAsia"/>
                <w:lang w:val="en-US" w:eastAsia="zh-CN"/>
              </w:rPr>
              <w:t>，配套</w:t>
            </w:r>
            <w:r>
              <w:rPr>
                <w:rFonts w:hint="default"/>
                <w:lang w:val="en-US" w:eastAsia="zh-CN"/>
              </w:rPr>
              <w:t>风机风量为</w:t>
            </w:r>
            <w:r>
              <w:rPr>
                <w:rFonts w:hint="eastAsia"/>
                <w:lang w:val="en-US" w:eastAsia="zh-CN"/>
              </w:rPr>
              <w:t>1</w:t>
            </w:r>
            <w:r>
              <w:rPr>
                <w:rFonts w:hint="default"/>
                <w:lang w:val="en-US" w:eastAsia="zh-CN"/>
              </w:rPr>
              <w:t>000m</w:t>
            </w:r>
            <w:r>
              <w:rPr>
                <w:rFonts w:hint="default"/>
                <w:vertAlign w:val="superscript"/>
                <w:lang w:val="en-US" w:eastAsia="zh-CN"/>
              </w:rPr>
              <w:t>3</w:t>
            </w:r>
            <w:r>
              <w:rPr>
                <w:rFonts w:hint="default"/>
                <w:lang w:val="en-US" w:eastAsia="zh-CN"/>
              </w:rPr>
              <w:t>/h，年工作</w:t>
            </w:r>
            <w:r>
              <w:rPr>
                <w:rFonts w:hint="eastAsia"/>
                <w:lang w:val="en-US" w:eastAsia="zh-CN"/>
              </w:rPr>
              <w:t>150</w:t>
            </w:r>
            <w:r>
              <w:rPr>
                <w:rFonts w:hint="default"/>
                <w:lang w:val="en-US" w:eastAsia="zh-CN"/>
              </w:rPr>
              <w:t>h</w:t>
            </w:r>
            <w:r>
              <w:rPr>
                <w:rFonts w:hint="eastAsia"/>
                <w:lang w:val="en-US" w:eastAsia="zh-CN"/>
              </w:rPr>
              <w:t>。</w:t>
            </w:r>
            <w:r>
              <w:rPr>
                <w:rFonts w:hint="default"/>
                <w:lang w:val="en-US" w:eastAsia="zh-CN"/>
              </w:rPr>
              <w:t>则有组</w:t>
            </w:r>
            <w:r>
              <w:rPr>
                <w:rFonts w:hint="default" w:ascii="Times New Roman" w:hAnsi="Times New Roman" w:cs="Times New Roman"/>
                <w:lang w:val="en-US" w:eastAsia="zh-CN"/>
              </w:rPr>
              <w:t>织排放量为</w:t>
            </w:r>
            <w:r>
              <w:rPr>
                <w:rFonts w:hint="eastAsia" w:cs="Times New Roman"/>
                <w:lang w:val="en-US" w:eastAsia="zh-CN"/>
              </w:rPr>
              <w:t>4.037</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w:t>
            </w:r>
            <w:r>
              <w:rPr>
                <w:rFonts w:hint="eastAsia" w:cs="Times New Roman"/>
                <w:vertAlign w:val="superscript"/>
                <w:lang w:val="en-US" w:eastAsia="zh-CN"/>
              </w:rPr>
              <w:t>4</w:t>
            </w:r>
            <w:r>
              <w:rPr>
                <w:rFonts w:hint="default" w:ascii="Times New Roman" w:hAnsi="Times New Roman" w:cs="Times New Roman"/>
                <w:lang w:val="en-US" w:eastAsia="zh-CN"/>
              </w:rPr>
              <w:t>t/a，速率为</w:t>
            </w:r>
            <w:r>
              <w:rPr>
                <w:rFonts w:hint="eastAsia" w:cs="Times New Roman"/>
                <w:lang w:val="en-US" w:eastAsia="zh-CN"/>
              </w:rPr>
              <w:t>2.691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w:t>
            </w:r>
            <w:r>
              <w:rPr>
                <w:rFonts w:hint="eastAsia" w:cs="Times New Roman"/>
                <w:vertAlign w:val="superscript"/>
                <w:lang w:val="en-US" w:eastAsia="zh-CN"/>
              </w:rPr>
              <w:t>3</w:t>
            </w:r>
            <w:r>
              <w:rPr>
                <w:rFonts w:hint="default" w:ascii="Times New Roman" w:hAnsi="Times New Roman" w:cs="Times New Roman"/>
                <w:lang w:val="en-US" w:eastAsia="zh-CN"/>
              </w:rPr>
              <w:t>kg/h，排放浓度为</w:t>
            </w:r>
            <w:r>
              <w:rPr>
                <w:rFonts w:hint="eastAsia" w:cs="Times New Roman"/>
                <w:lang w:val="en-US" w:eastAsia="zh-CN"/>
              </w:rPr>
              <w:t>2.691</w:t>
            </w:r>
            <w:r>
              <w:rPr>
                <w:rFonts w:hint="default" w:ascii="Times New Roman" w:hAnsi="Times New Roman" w:cs="Times New Roman"/>
                <w:lang w:val="en-US" w:eastAsia="zh-CN"/>
              </w:rPr>
              <w:t>mg/m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，无组织排放量为</w:t>
            </w:r>
            <w:r>
              <w:rPr>
                <w:rFonts w:hint="eastAsia" w:cs="Times New Roman"/>
                <w:lang w:val="en-US" w:eastAsia="zh-CN"/>
              </w:rPr>
              <w:t>7.245</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w:t>
            </w:r>
            <w:r>
              <w:rPr>
                <w:rFonts w:hint="eastAsia" w:ascii="Times New Roman" w:hAnsi="Times New Roman" w:cs="Times New Roman"/>
                <w:vertAlign w:val="superscript"/>
                <w:lang w:val="en-US" w:eastAsia="zh-CN"/>
              </w:rPr>
              <w:t>2</w:t>
            </w:r>
            <w:r>
              <w:rPr>
                <w:rFonts w:hint="default" w:ascii="Times New Roman" w:hAnsi="Times New Roman" w:cs="Times New Roman"/>
                <w:lang w:val="en-US" w:eastAsia="zh-CN"/>
              </w:rPr>
              <w:t>t/a。</w:t>
            </w:r>
          </w:p>
          <w:p w14:paraId="0F6088FD">
            <w:pPr>
              <w:pStyle w:val="51"/>
              <w:bidi w:val="0"/>
              <w:rPr>
                <w:rFonts w:hint="default" w:ascii="Times New Roman" w:hAnsi="Times New Roman" w:cs="Times New Roman"/>
                <w:lang w:val="en-US" w:eastAsia="zh-CN"/>
              </w:rPr>
            </w:pPr>
            <w:r>
              <w:rPr>
                <w:rFonts w:hint="default" w:ascii="Times New Roman" w:hAnsi="Times New Roman" w:cs="Times New Roman"/>
                <w:lang w:val="en-US" w:eastAsia="zh-CN"/>
              </w:rPr>
              <w:t>综上，项目</w:t>
            </w:r>
            <w:r>
              <w:rPr>
                <w:rFonts w:hint="eastAsia" w:ascii="Times New Roman" w:hAnsi="Times New Roman" w:cs="Times New Roman"/>
                <w:lang w:val="en-US" w:eastAsia="zh-CN"/>
              </w:rPr>
              <w:t>投</w:t>
            </w:r>
            <w:r>
              <w:rPr>
                <w:rFonts w:hint="default" w:ascii="Times New Roman" w:hAnsi="Times New Roman" w:cs="Times New Roman"/>
                <w:lang w:val="en-US" w:eastAsia="zh-CN"/>
              </w:rPr>
              <w:t>料粉尘</w:t>
            </w:r>
            <w:r>
              <w:rPr>
                <w:rFonts w:hint="eastAsia" w:ascii="Times New Roman" w:hAnsi="Times New Roman" w:cs="Times New Roman"/>
                <w:lang w:val="en-US" w:eastAsia="zh-CN"/>
              </w:rPr>
              <w:t>排放浓度</w:t>
            </w:r>
            <w:r>
              <w:rPr>
                <w:rFonts w:hint="default" w:ascii="Times New Roman" w:hAnsi="Times New Roman" w:cs="Times New Roman"/>
                <w:lang w:val="en-US" w:eastAsia="zh-CN"/>
              </w:rPr>
              <w:t>满足《水泥工业大气污染物排放标准》（含2025年修改单）（GB4915-2013）表</w:t>
            </w:r>
            <w:r>
              <w:rPr>
                <w:rFonts w:hint="eastAsia" w:cs="Times New Roman"/>
                <w:lang w:val="en-US" w:eastAsia="zh-CN"/>
              </w:rPr>
              <w:t>1</w:t>
            </w:r>
            <w:r>
              <w:rPr>
                <w:rFonts w:hint="default" w:ascii="Times New Roman" w:hAnsi="Times New Roman" w:cs="Times New Roman"/>
                <w:lang w:val="en-US" w:eastAsia="zh-CN"/>
              </w:rPr>
              <w:t>大气污染物排放限值</w:t>
            </w:r>
            <w:r>
              <w:rPr>
                <w:rFonts w:hint="eastAsia" w:ascii="Times New Roman" w:hAnsi="Times New Roman" w:cs="Times New Roman"/>
                <w:lang w:val="en-US" w:eastAsia="zh-CN"/>
              </w:rPr>
              <w:t>的</w:t>
            </w:r>
            <w:r>
              <w:rPr>
                <w:rFonts w:hint="default" w:ascii="Times New Roman" w:hAnsi="Times New Roman" w:cs="Times New Roman"/>
                <w:lang w:val="en-US" w:eastAsia="zh-CN"/>
              </w:rPr>
              <w:t>要求</w:t>
            </w:r>
            <w:r>
              <w:rPr>
                <w:rFonts w:hint="eastAsia" w:ascii="Times New Roman" w:hAnsi="Times New Roman" w:cs="Times New Roman"/>
                <w:lang w:val="en-US" w:eastAsia="zh-CN"/>
              </w:rPr>
              <w:t>。</w:t>
            </w:r>
          </w:p>
          <w:p w14:paraId="4E7B07EB">
            <w:pPr>
              <w:pStyle w:val="49"/>
              <w:bidi w:val="0"/>
              <w:rPr>
                <w:rFonts w:hint="default"/>
                <w:lang w:val="en-US" w:eastAsia="zh-CN"/>
              </w:rPr>
            </w:pPr>
            <w:r>
              <w:rPr>
                <w:rFonts w:hint="eastAsia"/>
                <w:lang w:val="en-US" w:eastAsia="zh-CN"/>
              </w:rPr>
              <w:t>（2）搅拌粉尘</w:t>
            </w:r>
          </w:p>
          <w:p w14:paraId="0ABF084A">
            <w:pPr>
              <w:pStyle w:val="8"/>
              <w:keepLines w:val="0"/>
              <w:pageBreakBefore w:val="0"/>
              <w:kinsoku/>
              <w:wordWrap/>
              <w:topLinePunct w:val="0"/>
              <w:autoSpaceDE/>
              <w:autoSpaceDN/>
              <w:bidi w:val="0"/>
              <w:spacing w:beforeAutospacing="0" w:afterAutospacing="0"/>
              <w:textAlignment w:val="auto"/>
            </w:pPr>
            <w:r>
              <w:rPr>
                <w:rFonts w:hint="default"/>
                <w:lang w:val="en-US" w:eastAsia="zh-CN"/>
              </w:rPr>
              <w:t>2条</w:t>
            </w:r>
            <w:r>
              <w:rPr>
                <w:rFonts w:hint="eastAsia"/>
                <w:lang w:val="en-US" w:eastAsia="zh-CN"/>
              </w:rPr>
              <w:t>现代化加气块</w:t>
            </w:r>
            <w:r>
              <w:rPr>
                <w:rFonts w:hint="default"/>
                <w:lang w:val="en-US" w:eastAsia="zh-CN"/>
              </w:rPr>
              <w:t>生产线</w:t>
            </w:r>
            <w:r>
              <w:rPr>
                <w:rFonts w:hint="eastAsia"/>
                <w:lang w:val="en-US" w:eastAsia="zh-CN"/>
              </w:rPr>
              <w:t>共用一台干混搅拌机，</w:t>
            </w:r>
            <w:r>
              <w:rPr>
                <w:rFonts w:hint="default"/>
                <w:lang w:val="en-US" w:eastAsia="zh-CN"/>
              </w:rPr>
              <w:t>在预混搅拌工序中会产生搅拌粉尘，</w:t>
            </w:r>
            <w:r>
              <w:rPr>
                <w:rFonts w:hint="eastAsia"/>
                <w:lang w:val="en-US" w:eastAsia="zh-CN"/>
              </w:rPr>
              <w:t>设置</w:t>
            </w:r>
            <w:r>
              <w:rPr>
                <w:rFonts w:hint="default"/>
                <w:lang w:val="en-US" w:eastAsia="zh-CN"/>
              </w:rPr>
              <w:t>一套粉尘治理设施收集治理；砼预制房、检查井、消防池和化粪池一体浇筑生产线所需混凝土由双线混凝土</w:t>
            </w:r>
            <w:r>
              <w:rPr>
                <w:rFonts w:hint="eastAsia"/>
                <w:lang w:val="en-US" w:eastAsia="zh-CN"/>
              </w:rPr>
              <w:t>拌和站</w:t>
            </w:r>
            <w:r>
              <w:rPr>
                <w:rFonts w:hint="default"/>
                <w:lang w:val="en-US" w:eastAsia="zh-CN"/>
              </w:rPr>
              <w:t>供给，配套设置的2条混凝土搅拌线在搅拌作业时会产生搅拌粉尘，该2条搅拌线共用一套粉尘治理设施进行集中收集治理；2条水泥砖生产线共用一台搅拌机</w:t>
            </w:r>
            <w:r>
              <w:rPr>
                <w:rFonts w:hint="eastAsia"/>
                <w:lang w:val="en-US" w:eastAsia="zh-CN"/>
              </w:rPr>
              <w:t>，</w:t>
            </w:r>
            <w:r>
              <w:rPr>
                <w:rFonts w:hint="default"/>
                <w:lang w:val="en-US" w:eastAsia="zh-CN"/>
              </w:rPr>
              <w:t>在原料混合搅拌工序中会产生搅拌粉尘，设置一套粉尘治理设施收集治理</w:t>
            </w:r>
            <w:r>
              <w:rPr>
                <w:rFonts w:hint="eastAsia"/>
                <w:lang w:val="en-US" w:eastAsia="zh-CN"/>
              </w:rPr>
              <w:t>。</w:t>
            </w:r>
          </w:p>
          <w:p w14:paraId="6AE3797C">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default"/>
                <w:lang w:val="en-US" w:eastAsia="zh-CN"/>
              </w:rPr>
              <w:t>搅拌粉尘产污系数</w:t>
            </w:r>
            <w:r>
              <w:rPr>
                <w:rFonts w:hint="eastAsia"/>
                <w:lang w:val="en-US" w:eastAsia="zh-CN"/>
              </w:rPr>
              <w:t>参照《排放源统计调查产排污核算方法和系数手册》中《3021水泥制品制造（含3022砼结构构件制造、3029其他水泥类似制品制造）行业》中物料混合搅拌粉尘产生量为0.523kg/t-产品。</w:t>
            </w:r>
          </w:p>
          <w:p w14:paraId="542CCACF">
            <w:pPr>
              <w:pStyle w:val="48"/>
              <w:bidi w:val="0"/>
              <w:rPr>
                <w:rFonts w:hint="default"/>
                <w:lang w:val="en-US" w:eastAsia="zh-CN"/>
              </w:rPr>
            </w:pPr>
            <w:r>
              <w:rPr>
                <w:rFonts w:hint="eastAsia"/>
                <w:lang w:val="en-US" w:eastAsia="zh-CN"/>
              </w:rPr>
              <w:t>1）现代化加气块生产线年产5万立方米加气块（合约30000t/a）</w:t>
            </w:r>
            <w:r>
              <w:rPr>
                <w:rFonts w:hint="default"/>
                <w:lang w:val="en-US" w:eastAsia="zh-CN"/>
              </w:rPr>
              <w:t>，则</w:t>
            </w:r>
            <w:r>
              <w:rPr>
                <w:rFonts w:hint="eastAsia"/>
                <w:lang w:val="en-US" w:eastAsia="zh-CN"/>
              </w:rPr>
              <w:t>搅拌</w:t>
            </w:r>
            <w:r>
              <w:rPr>
                <w:rFonts w:hint="default"/>
                <w:lang w:val="en-US" w:eastAsia="zh-CN"/>
              </w:rPr>
              <w:t>粉尘产生量为</w:t>
            </w:r>
            <w:r>
              <w:rPr>
                <w:rFonts w:hint="eastAsia"/>
                <w:lang w:val="en-US" w:eastAsia="zh-CN"/>
              </w:rPr>
              <w:t>15.69</w:t>
            </w:r>
            <w:r>
              <w:rPr>
                <w:rFonts w:hint="default"/>
                <w:lang w:val="en-US" w:eastAsia="zh-CN"/>
              </w:rPr>
              <w:t>t/a。</w:t>
            </w:r>
            <w:r>
              <w:rPr>
                <w:rFonts w:hint="eastAsia"/>
                <w:highlight w:val="none"/>
                <w:lang w:val="en-US" w:eastAsia="zh-CN"/>
              </w:rPr>
              <w:t>搅拌机顶部配置1台布袋式除尘器进行处理后由15m排气筒DA004排放，布袋除尘器与搅拌机排气口通过密闭集气罩紧密连接</w:t>
            </w:r>
            <w:r>
              <w:rPr>
                <w:rFonts w:hint="default"/>
                <w:lang w:val="en-US" w:eastAsia="zh-CN"/>
              </w:rPr>
              <w:t>。根据《主要污染物总量减排核算技术指南》密闭集气罩</w:t>
            </w:r>
            <w:r>
              <w:rPr>
                <w:rFonts w:hint="eastAsia"/>
                <w:lang w:val="en-US" w:eastAsia="zh-CN"/>
              </w:rPr>
              <w:t>正压</w:t>
            </w:r>
            <w:r>
              <w:rPr>
                <w:rFonts w:hint="default"/>
                <w:lang w:val="en-US" w:eastAsia="zh-CN"/>
              </w:rPr>
              <w:t>收集率为</w:t>
            </w:r>
            <w:r>
              <w:rPr>
                <w:rFonts w:hint="eastAsia"/>
                <w:lang w:val="en-US" w:eastAsia="zh-CN"/>
              </w:rPr>
              <w:t>80</w:t>
            </w:r>
            <w:r>
              <w:rPr>
                <w:rFonts w:hint="default"/>
                <w:lang w:val="en-US" w:eastAsia="zh-CN"/>
              </w:rPr>
              <w:t>%，除尘率按99</w:t>
            </w:r>
            <w:r>
              <w:rPr>
                <w:rFonts w:hint="eastAsia"/>
                <w:lang w:val="en-US" w:eastAsia="zh-CN"/>
              </w:rPr>
              <w:t>.7</w:t>
            </w:r>
            <w:r>
              <w:rPr>
                <w:rFonts w:hint="default"/>
                <w:lang w:val="en-US" w:eastAsia="zh-CN"/>
              </w:rPr>
              <w:t>%计</w:t>
            </w:r>
            <w:r>
              <w:rPr>
                <w:rFonts w:hint="eastAsia"/>
                <w:lang w:val="en-US" w:eastAsia="zh-CN"/>
              </w:rPr>
              <w:t>，配套</w:t>
            </w:r>
            <w:r>
              <w:rPr>
                <w:rFonts w:hint="default"/>
                <w:lang w:val="en-US" w:eastAsia="zh-CN"/>
              </w:rPr>
              <w:t>风机风量为</w:t>
            </w:r>
            <w:r>
              <w:rPr>
                <w:rFonts w:hint="eastAsia"/>
                <w:lang w:val="en-US" w:eastAsia="zh-CN"/>
              </w:rPr>
              <w:t>1</w:t>
            </w:r>
            <w:r>
              <w:rPr>
                <w:rFonts w:hint="default"/>
                <w:lang w:val="en-US" w:eastAsia="zh-CN"/>
              </w:rPr>
              <w:t>000m</w:t>
            </w:r>
            <w:r>
              <w:rPr>
                <w:rFonts w:hint="default"/>
                <w:vertAlign w:val="superscript"/>
                <w:lang w:val="en-US" w:eastAsia="zh-CN"/>
              </w:rPr>
              <w:t>3</w:t>
            </w:r>
            <w:r>
              <w:rPr>
                <w:rFonts w:hint="default"/>
                <w:lang w:val="en-US" w:eastAsia="zh-CN"/>
              </w:rPr>
              <w:t>/h，年工作</w:t>
            </w:r>
            <w:r>
              <w:rPr>
                <w:rFonts w:hint="eastAsia"/>
                <w:lang w:val="en-US" w:eastAsia="zh-CN"/>
              </w:rPr>
              <w:t>2400</w:t>
            </w:r>
            <w:r>
              <w:rPr>
                <w:rFonts w:hint="default"/>
                <w:lang w:val="en-US" w:eastAsia="zh-CN"/>
              </w:rPr>
              <w:t>h</w:t>
            </w:r>
            <w:r>
              <w:rPr>
                <w:rFonts w:hint="eastAsia"/>
                <w:lang w:val="en-US" w:eastAsia="zh-CN"/>
              </w:rPr>
              <w:t>。</w:t>
            </w:r>
            <w:r>
              <w:rPr>
                <w:rFonts w:hint="default"/>
                <w:lang w:val="en-US" w:eastAsia="zh-CN"/>
              </w:rPr>
              <w:t>则有组</w:t>
            </w:r>
            <w:r>
              <w:rPr>
                <w:rFonts w:hint="default" w:ascii="Times New Roman" w:hAnsi="Times New Roman" w:cs="Times New Roman"/>
                <w:lang w:val="en-US" w:eastAsia="zh-CN"/>
              </w:rPr>
              <w:t>织排放量为</w:t>
            </w:r>
            <w:r>
              <w:rPr>
                <w:rFonts w:hint="eastAsia" w:cs="Times New Roman"/>
                <w:lang w:val="en-US" w:eastAsia="zh-CN"/>
              </w:rPr>
              <w:t>3.766</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w:t>
            </w:r>
            <w:r>
              <w:rPr>
                <w:rFonts w:hint="eastAsia" w:cs="Times New Roman"/>
                <w:vertAlign w:val="superscript"/>
                <w:lang w:val="en-US" w:eastAsia="zh-CN"/>
              </w:rPr>
              <w:t>2</w:t>
            </w:r>
            <w:r>
              <w:rPr>
                <w:rFonts w:hint="default" w:ascii="Times New Roman" w:hAnsi="Times New Roman" w:cs="Times New Roman"/>
                <w:lang w:val="en-US" w:eastAsia="zh-CN"/>
              </w:rPr>
              <w:t>t/a，速率为</w:t>
            </w:r>
            <w:r>
              <w:rPr>
                <w:rFonts w:hint="eastAsia" w:cs="Times New Roman"/>
                <w:lang w:val="en-US" w:eastAsia="zh-CN"/>
              </w:rPr>
              <w:t>1.569</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w:t>
            </w:r>
            <w:r>
              <w:rPr>
                <w:rFonts w:hint="eastAsia" w:cs="Times New Roman"/>
                <w:vertAlign w:val="superscript"/>
                <w:lang w:val="en-US" w:eastAsia="zh-CN"/>
              </w:rPr>
              <w:t>2</w:t>
            </w:r>
            <w:r>
              <w:rPr>
                <w:rFonts w:hint="default" w:ascii="Times New Roman" w:hAnsi="Times New Roman" w:cs="Times New Roman"/>
                <w:lang w:val="en-US" w:eastAsia="zh-CN"/>
              </w:rPr>
              <w:t>kg/h，排放浓度为</w:t>
            </w:r>
            <w:r>
              <w:rPr>
                <w:rFonts w:hint="eastAsia" w:cs="Times New Roman"/>
                <w:lang w:val="en-US" w:eastAsia="zh-CN"/>
              </w:rPr>
              <w:t>15.69</w:t>
            </w:r>
            <w:r>
              <w:rPr>
                <w:rFonts w:hint="default" w:ascii="Times New Roman" w:hAnsi="Times New Roman" w:cs="Times New Roman"/>
                <w:lang w:val="en-US" w:eastAsia="zh-CN"/>
              </w:rPr>
              <w:t>mg/m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，无组织排放量为</w:t>
            </w:r>
            <w:r>
              <w:rPr>
                <w:rFonts w:hint="eastAsia" w:cs="Times New Roman"/>
                <w:lang w:val="en-US" w:eastAsia="zh-CN"/>
              </w:rPr>
              <w:t>3.138</w:t>
            </w:r>
            <w:r>
              <w:rPr>
                <w:rFonts w:hint="default" w:ascii="Times New Roman" w:hAnsi="Times New Roman" w:cs="Times New Roman"/>
                <w:lang w:val="en-US" w:eastAsia="zh-CN"/>
              </w:rPr>
              <w:t>t/a。</w:t>
            </w:r>
          </w:p>
          <w:p w14:paraId="5D43E511">
            <w:pPr>
              <w:pStyle w:val="8"/>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2）</w:t>
            </w:r>
            <w:r>
              <w:rPr>
                <w:rFonts w:hint="eastAsia"/>
                <w:lang w:val="en-US" w:eastAsia="zh-CN"/>
              </w:rPr>
              <w:t>砼预制房、检查井、消防池和化粪池一体浇筑生产线所用混凝土，由自建年产8万方混凝土双线拌和站供应；拌和站年生产混凝土8万方（合约192000t/a），则搅拌工序粉尘产生量为100.416t/a</w:t>
            </w:r>
            <w:r>
              <w:rPr>
                <w:rFonts w:hint="default"/>
                <w:lang w:val="en-US" w:eastAsia="zh-CN"/>
              </w:rPr>
              <w:t>。</w:t>
            </w:r>
            <w:r>
              <w:rPr>
                <w:rFonts w:hint="eastAsia"/>
                <w:highlight w:val="none"/>
                <w:lang w:val="en-US" w:eastAsia="zh-CN"/>
              </w:rPr>
              <w:t>2条混凝土生产线的搅拌机顶部配置1台布袋式除尘器进行处理后由15m排气筒DA005排放，布袋除尘器与搅拌机排气口通过密闭集气罩紧密连接</w:t>
            </w:r>
            <w:r>
              <w:rPr>
                <w:rFonts w:hint="default"/>
                <w:lang w:val="en-US" w:eastAsia="zh-CN"/>
              </w:rPr>
              <w:t>。</w:t>
            </w:r>
            <w:r>
              <w:rPr>
                <w:rFonts w:hint="eastAsia"/>
                <w:lang w:val="en-US" w:eastAsia="zh-CN"/>
              </w:rPr>
              <w:t>集气罩</w:t>
            </w:r>
            <w:r>
              <w:rPr>
                <w:rFonts w:hint="default"/>
                <w:lang w:val="en-US" w:eastAsia="zh-CN"/>
              </w:rPr>
              <w:t>收集率</w:t>
            </w:r>
            <w:r>
              <w:rPr>
                <w:rFonts w:hint="eastAsia"/>
                <w:lang w:val="en-US" w:eastAsia="zh-CN"/>
              </w:rPr>
              <w:t>为80%</w:t>
            </w:r>
            <w:r>
              <w:rPr>
                <w:rFonts w:hint="default"/>
                <w:lang w:val="en-US" w:eastAsia="zh-CN"/>
              </w:rPr>
              <w:t>，除尘率按99</w:t>
            </w:r>
            <w:r>
              <w:rPr>
                <w:rFonts w:hint="eastAsia"/>
                <w:lang w:val="en-US" w:eastAsia="zh-CN"/>
              </w:rPr>
              <w:t>.7</w:t>
            </w:r>
            <w:r>
              <w:rPr>
                <w:rFonts w:hint="default"/>
                <w:lang w:val="en-US" w:eastAsia="zh-CN"/>
              </w:rPr>
              <w:t>%计</w:t>
            </w:r>
            <w:r>
              <w:rPr>
                <w:rFonts w:hint="eastAsia"/>
                <w:lang w:val="en-US" w:eastAsia="zh-CN"/>
              </w:rPr>
              <w:t>，配套</w:t>
            </w:r>
            <w:r>
              <w:rPr>
                <w:rFonts w:hint="default"/>
                <w:lang w:val="en-US" w:eastAsia="zh-CN"/>
              </w:rPr>
              <w:t>风机风量为</w:t>
            </w:r>
            <w:r>
              <w:rPr>
                <w:rFonts w:hint="eastAsia"/>
                <w:lang w:val="en-US" w:eastAsia="zh-CN"/>
              </w:rPr>
              <w:t>6000</w:t>
            </w:r>
            <w:r>
              <w:rPr>
                <w:rFonts w:hint="default"/>
                <w:lang w:val="en-US" w:eastAsia="zh-CN"/>
              </w:rPr>
              <w:t>m</w:t>
            </w:r>
            <w:r>
              <w:rPr>
                <w:rFonts w:hint="default"/>
                <w:vertAlign w:val="superscript"/>
                <w:lang w:val="en-US" w:eastAsia="zh-CN"/>
              </w:rPr>
              <w:t>3</w:t>
            </w:r>
            <w:r>
              <w:rPr>
                <w:rFonts w:hint="default"/>
                <w:lang w:val="en-US" w:eastAsia="zh-CN"/>
              </w:rPr>
              <w:t>/h，年工作</w:t>
            </w:r>
            <w:r>
              <w:rPr>
                <w:rFonts w:hint="eastAsia"/>
                <w:lang w:val="en-US" w:eastAsia="zh-CN"/>
              </w:rPr>
              <w:t>2400</w:t>
            </w:r>
            <w:r>
              <w:rPr>
                <w:rFonts w:hint="default"/>
                <w:lang w:val="en-US" w:eastAsia="zh-CN"/>
              </w:rPr>
              <w:t>h</w:t>
            </w:r>
            <w:r>
              <w:rPr>
                <w:rFonts w:hint="eastAsia"/>
                <w:lang w:val="en-US" w:eastAsia="zh-CN"/>
              </w:rPr>
              <w:t>。</w:t>
            </w:r>
            <w:r>
              <w:rPr>
                <w:rFonts w:hint="default"/>
                <w:lang w:val="en-US" w:eastAsia="zh-CN"/>
              </w:rPr>
              <w:t>则有组</w:t>
            </w:r>
            <w:r>
              <w:rPr>
                <w:rFonts w:hint="default" w:ascii="Times New Roman" w:hAnsi="Times New Roman" w:cs="Times New Roman"/>
                <w:lang w:val="en-US" w:eastAsia="zh-CN"/>
              </w:rPr>
              <w:t>织排放量为</w:t>
            </w:r>
            <w:r>
              <w:rPr>
                <w:rFonts w:hint="eastAsia" w:cs="Times New Roman"/>
                <w:lang w:val="en-US" w:eastAsia="zh-CN"/>
              </w:rPr>
              <w:t>0.241</w:t>
            </w:r>
            <w:r>
              <w:rPr>
                <w:rFonts w:hint="default" w:ascii="Times New Roman" w:hAnsi="Times New Roman" w:cs="Times New Roman"/>
                <w:lang w:val="en-US" w:eastAsia="zh-CN"/>
              </w:rPr>
              <w:t>t/a，速率为</w:t>
            </w:r>
            <w:r>
              <w:rPr>
                <w:rFonts w:hint="eastAsia" w:cs="Times New Roman"/>
                <w:lang w:val="en-US" w:eastAsia="zh-CN"/>
              </w:rPr>
              <w:t>0.1</w:t>
            </w:r>
            <w:r>
              <w:rPr>
                <w:rFonts w:hint="default" w:ascii="Times New Roman" w:hAnsi="Times New Roman" w:cs="Times New Roman"/>
                <w:lang w:val="en-US" w:eastAsia="zh-CN"/>
              </w:rPr>
              <w:t>kg/h，排放浓度为</w:t>
            </w:r>
            <w:r>
              <w:rPr>
                <w:rFonts w:hint="eastAsia" w:cs="Times New Roman"/>
                <w:lang w:val="en-US" w:eastAsia="zh-CN"/>
              </w:rPr>
              <w:t>16.736</w:t>
            </w:r>
            <w:r>
              <w:rPr>
                <w:rFonts w:hint="default" w:ascii="Times New Roman" w:hAnsi="Times New Roman" w:cs="Times New Roman"/>
                <w:lang w:val="en-US" w:eastAsia="zh-CN"/>
              </w:rPr>
              <w:t>mg/m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，无组织排放量为</w:t>
            </w:r>
            <w:r>
              <w:rPr>
                <w:rFonts w:hint="eastAsia" w:cs="Times New Roman"/>
                <w:lang w:val="en-US" w:eastAsia="zh-CN"/>
              </w:rPr>
              <w:t>20.083</w:t>
            </w:r>
            <w:r>
              <w:rPr>
                <w:rFonts w:hint="default" w:ascii="Times New Roman" w:hAnsi="Times New Roman" w:cs="Times New Roman"/>
                <w:lang w:val="en-US" w:eastAsia="zh-CN"/>
              </w:rPr>
              <w:t>t/a。</w:t>
            </w:r>
          </w:p>
          <w:p w14:paraId="61B8C46E">
            <w:pPr>
              <w:pStyle w:val="8"/>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3）</w:t>
            </w:r>
            <w:r>
              <w:rPr>
                <w:rFonts w:hint="eastAsia"/>
                <w:lang w:val="en-US" w:eastAsia="zh-CN"/>
              </w:rPr>
              <w:t>水泥砖生产线年产1000万块预制水泥砖（合约25000t/a）</w:t>
            </w:r>
            <w:r>
              <w:rPr>
                <w:rFonts w:hint="default"/>
                <w:lang w:val="en-US" w:eastAsia="zh-CN"/>
              </w:rPr>
              <w:t>，则</w:t>
            </w:r>
            <w:r>
              <w:rPr>
                <w:rFonts w:hint="eastAsia"/>
                <w:lang w:val="en-US" w:eastAsia="zh-CN"/>
              </w:rPr>
              <w:t>搅拌</w:t>
            </w:r>
            <w:r>
              <w:rPr>
                <w:rFonts w:hint="default"/>
                <w:lang w:val="en-US" w:eastAsia="zh-CN"/>
              </w:rPr>
              <w:t>粉尘产生量为</w:t>
            </w:r>
            <w:r>
              <w:rPr>
                <w:rFonts w:hint="eastAsia"/>
                <w:lang w:val="en-US" w:eastAsia="zh-CN"/>
              </w:rPr>
              <w:t>13.075</w:t>
            </w:r>
            <w:r>
              <w:rPr>
                <w:rFonts w:hint="default"/>
                <w:lang w:val="en-US" w:eastAsia="zh-CN"/>
              </w:rPr>
              <w:t>t/a。</w:t>
            </w:r>
            <w:r>
              <w:rPr>
                <w:rFonts w:hint="eastAsia"/>
                <w:highlight w:val="none"/>
                <w:lang w:val="en-US" w:eastAsia="zh-CN"/>
              </w:rPr>
              <w:t>搅拌机顶部配置1台布袋式除尘器进行处理后由15m排气筒DA006排放，布袋除尘器与搅拌机排气口通过密闭集气罩紧密连接</w:t>
            </w:r>
            <w:r>
              <w:rPr>
                <w:rFonts w:hint="default"/>
                <w:lang w:val="en-US" w:eastAsia="zh-CN"/>
              </w:rPr>
              <w:t>。</w:t>
            </w:r>
            <w:r>
              <w:rPr>
                <w:rFonts w:hint="eastAsia"/>
                <w:lang w:val="en-US" w:eastAsia="zh-CN"/>
              </w:rPr>
              <w:t>集气罩</w:t>
            </w:r>
            <w:r>
              <w:rPr>
                <w:rFonts w:hint="default"/>
                <w:lang w:val="en-US" w:eastAsia="zh-CN"/>
              </w:rPr>
              <w:t>收集率</w:t>
            </w:r>
            <w:r>
              <w:rPr>
                <w:rFonts w:hint="eastAsia"/>
                <w:lang w:val="en-US" w:eastAsia="zh-CN"/>
              </w:rPr>
              <w:t>为80</w:t>
            </w:r>
            <w:r>
              <w:rPr>
                <w:rFonts w:hint="default"/>
                <w:lang w:val="en-US" w:eastAsia="zh-CN"/>
              </w:rPr>
              <w:t>%，除尘率按99</w:t>
            </w:r>
            <w:r>
              <w:rPr>
                <w:rFonts w:hint="eastAsia"/>
                <w:lang w:val="en-US" w:eastAsia="zh-CN"/>
              </w:rPr>
              <w:t>.7</w:t>
            </w:r>
            <w:r>
              <w:rPr>
                <w:rFonts w:hint="default"/>
                <w:lang w:val="en-US" w:eastAsia="zh-CN"/>
              </w:rPr>
              <w:t>%计</w:t>
            </w:r>
            <w:r>
              <w:rPr>
                <w:rFonts w:hint="eastAsia"/>
                <w:lang w:val="en-US" w:eastAsia="zh-CN"/>
              </w:rPr>
              <w:t>，配套</w:t>
            </w:r>
            <w:r>
              <w:rPr>
                <w:rFonts w:hint="default"/>
                <w:lang w:val="en-US" w:eastAsia="zh-CN"/>
              </w:rPr>
              <w:t>风机风量为</w:t>
            </w:r>
            <w:r>
              <w:rPr>
                <w:rFonts w:hint="eastAsia"/>
                <w:lang w:val="en-US" w:eastAsia="zh-CN"/>
              </w:rPr>
              <w:t>1</w:t>
            </w:r>
            <w:r>
              <w:rPr>
                <w:rFonts w:hint="default"/>
                <w:lang w:val="en-US" w:eastAsia="zh-CN"/>
              </w:rPr>
              <w:t>000m</w:t>
            </w:r>
            <w:r>
              <w:rPr>
                <w:rFonts w:hint="default"/>
                <w:vertAlign w:val="superscript"/>
                <w:lang w:val="en-US" w:eastAsia="zh-CN"/>
              </w:rPr>
              <w:t>3</w:t>
            </w:r>
            <w:r>
              <w:rPr>
                <w:rFonts w:hint="default"/>
                <w:lang w:val="en-US" w:eastAsia="zh-CN"/>
              </w:rPr>
              <w:t>/h，年工作</w:t>
            </w:r>
            <w:r>
              <w:rPr>
                <w:rFonts w:hint="eastAsia"/>
                <w:lang w:val="en-US" w:eastAsia="zh-CN"/>
              </w:rPr>
              <w:t>2400</w:t>
            </w:r>
            <w:r>
              <w:rPr>
                <w:rFonts w:hint="default"/>
                <w:lang w:val="en-US" w:eastAsia="zh-CN"/>
              </w:rPr>
              <w:t>h</w:t>
            </w:r>
            <w:r>
              <w:rPr>
                <w:rFonts w:hint="eastAsia"/>
                <w:lang w:val="en-US" w:eastAsia="zh-CN"/>
              </w:rPr>
              <w:t>。</w:t>
            </w:r>
            <w:r>
              <w:rPr>
                <w:rFonts w:hint="default"/>
                <w:lang w:val="en-US" w:eastAsia="zh-CN"/>
              </w:rPr>
              <w:t>则有组</w:t>
            </w:r>
            <w:r>
              <w:rPr>
                <w:rFonts w:hint="default" w:ascii="Times New Roman" w:hAnsi="Times New Roman" w:cs="Times New Roman"/>
                <w:lang w:val="en-US" w:eastAsia="zh-CN"/>
              </w:rPr>
              <w:t>织排放量为</w:t>
            </w:r>
            <w:r>
              <w:rPr>
                <w:rFonts w:hint="eastAsia" w:cs="Times New Roman"/>
                <w:lang w:val="en-US" w:eastAsia="zh-CN"/>
              </w:rPr>
              <w:t>3.138</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w:t>
            </w:r>
            <w:r>
              <w:rPr>
                <w:rFonts w:hint="eastAsia" w:cs="Times New Roman"/>
                <w:vertAlign w:val="superscript"/>
                <w:lang w:val="en-US" w:eastAsia="zh-CN"/>
              </w:rPr>
              <w:t>2</w:t>
            </w:r>
            <w:r>
              <w:rPr>
                <w:rFonts w:hint="default" w:ascii="Times New Roman" w:hAnsi="Times New Roman" w:cs="Times New Roman"/>
                <w:lang w:val="en-US" w:eastAsia="zh-CN"/>
              </w:rPr>
              <w:t>t/a，速率为</w:t>
            </w:r>
            <w:r>
              <w:rPr>
                <w:rFonts w:hint="eastAsia" w:cs="Times New Roman"/>
                <w:lang w:val="en-US" w:eastAsia="zh-CN"/>
              </w:rPr>
              <w:t>1.308</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w:t>
            </w:r>
            <w:r>
              <w:rPr>
                <w:rFonts w:hint="eastAsia" w:cs="Times New Roman"/>
                <w:vertAlign w:val="superscript"/>
                <w:lang w:val="en-US" w:eastAsia="zh-CN"/>
              </w:rPr>
              <w:t>2</w:t>
            </w:r>
            <w:r>
              <w:rPr>
                <w:rFonts w:hint="default" w:ascii="Times New Roman" w:hAnsi="Times New Roman" w:cs="Times New Roman"/>
                <w:lang w:val="en-US" w:eastAsia="zh-CN"/>
              </w:rPr>
              <w:t>kg/h，排放浓度为</w:t>
            </w:r>
            <w:r>
              <w:rPr>
                <w:rFonts w:hint="eastAsia" w:cs="Times New Roman"/>
                <w:lang w:val="en-US" w:eastAsia="zh-CN"/>
              </w:rPr>
              <w:t>13.075</w:t>
            </w:r>
            <w:r>
              <w:rPr>
                <w:rFonts w:hint="default" w:ascii="Times New Roman" w:hAnsi="Times New Roman" w:cs="Times New Roman"/>
                <w:lang w:val="en-US" w:eastAsia="zh-CN"/>
              </w:rPr>
              <w:t>mg/m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，无组织排放量为</w:t>
            </w:r>
            <w:r>
              <w:rPr>
                <w:rFonts w:hint="eastAsia" w:cs="Times New Roman"/>
                <w:lang w:val="en-US" w:eastAsia="zh-CN"/>
              </w:rPr>
              <w:t>2.615</w:t>
            </w:r>
            <w:r>
              <w:rPr>
                <w:rFonts w:hint="default" w:ascii="Times New Roman" w:hAnsi="Times New Roman" w:cs="Times New Roman"/>
                <w:lang w:val="en-US" w:eastAsia="zh-CN"/>
              </w:rPr>
              <w:t>t/a。</w:t>
            </w:r>
          </w:p>
          <w:p w14:paraId="2831CCBA">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default"/>
                <w:highlight w:val="none"/>
                <w:lang w:val="en-US" w:eastAsia="zh-CN"/>
              </w:rPr>
              <w:t>综上，项目</w:t>
            </w:r>
            <w:r>
              <w:rPr>
                <w:rFonts w:hint="eastAsia"/>
                <w:highlight w:val="none"/>
                <w:lang w:val="en-US" w:eastAsia="zh-CN"/>
              </w:rPr>
              <w:t>搅拌</w:t>
            </w:r>
            <w:r>
              <w:rPr>
                <w:rFonts w:hint="default"/>
                <w:highlight w:val="none"/>
                <w:lang w:val="en-US" w:eastAsia="zh-CN"/>
              </w:rPr>
              <w:t>粉尘排放浓度满足《水泥工业大气污染物排放标准》（含2025年修改单）（GB4915-2013）表</w:t>
            </w:r>
            <w:r>
              <w:rPr>
                <w:rFonts w:hint="eastAsia"/>
                <w:highlight w:val="none"/>
                <w:lang w:val="en-US" w:eastAsia="zh-CN"/>
              </w:rPr>
              <w:t>1</w:t>
            </w:r>
            <w:r>
              <w:rPr>
                <w:rFonts w:hint="default"/>
                <w:highlight w:val="none"/>
                <w:lang w:val="en-US" w:eastAsia="zh-CN"/>
              </w:rPr>
              <w:t>大气污染物排放限值的要求</w:t>
            </w:r>
            <w:r>
              <w:rPr>
                <w:rFonts w:hint="eastAsia"/>
                <w:highlight w:val="none"/>
                <w:lang w:val="en-US" w:eastAsia="zh-CN"/>
              </w:rPr>
              <w:t>。</w:t>
            </w:r>
          </w:p>
          <w:p w14:paraId="2753C6B8">
            <w:pPr>
              <w:pStyle w:val="2"/>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1.1.3食堂油烟</w:t>
            </w:r>
          </w:p>
          <w:p w14:paraId="7BAA6932">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本项目劳动定员</w:t>
            </w:r>
            <w:r>
              <w:rPr>
                <w:rFonts w:hint="eastAsia"/>
                <w:lang w:val="en-US" w:eastAsia="zh-CN"/>
              </w:rPr>
              <w:t>40</w:t>
            </w:r>
            <w:r>
              <w:rPr>
                <w:rFonts w:hint="default"/>
                <w:lang w:val="en-US" w:eastAsia="zh-CN"/>
              </w:rPr>
              <w:t>人，年工作天数为</w:t>
            </w:r>
            <w:r>
              <w:rPr>
                <w:rFonts w:hint="eastAsia"/>
                <w:lang w:val="en-US" w:eastAsia="zh-CN"/>
              </w:rPr>
              <w:t>300</w:t>
            </w:r>
            <w:r>
              <w:rPr>
                <w:rFonts w:hint="default"/>
                <w:lang w:val="en-US" w:eastAsia="zh-CN"/>
              </w:rPr>
              <w:t>天</w:t>
            </w:r>
            <w:r>
              <w:rPr>
                <w:rFonts w:hint="eastAsia"/>
                <w:lang w:val="en-US" w:eastAsia="zh-CN"/>
              </w:rPr>
              <w:t>。</w:t>
            </w:r>
            <w:r>
              <w:rPr>
                <w:rFonts w:hint="default"/>
                <w:lang w:val="en-US" w:eastAsia="zh-CN"/>
              </w:rPr>
              <w:t>食用油用量平均按0.05kg/人·天计，根据该项目规模，可推算出每年食堂食用油消耗量为</w:t>
            </w:r>
            <w:r>
              <w:rPr>
                <w:rFonts w:hint="eastAsia"/>
                <w:lang w:val="en-US" w:eastAsia="zh-CN"/>
              </w:rPr>
              <w:t>600</w:t>
            </w:r>
            <w:r>
              <w:rPr>
                <w:rFonts w:hint="default"/>
                <w:lang w:val="en-US" w:eastAsia="zh-CN"/>
              </w:rPr>
              <w:t>kg，油烟挥发量一般占食用油量的2%～4%，本项目按挥发量3%计算，则油烟的产生量为</w:t>
            </w:r>
            <w:r>
              <w:rPr>
                <w:rFonts w:hint="eastAsia"/>
                <w:lang w:val="en-US" w:eastAsia="zh-CN"/>
              </w:rPr>
              <w:t>0.018t</w:t>
            </w:r>
            <w:r>
              <w:rPr>
                <w:rFonts w:hint="default"/>
                <w:lang w:val="en-US" w:eastAsia="zh-CN"/>
              </w:rPr>
              <w:t>/a，油烟废气经</w:t>
            </w:r>
            <w:r>
              <w:rPr>
                <w:rFonts w:hint="eastAsia"/>
                <w:lang w:val="en-US" w:eastAsia="zh-CN"/>
              </w:rPr>
              <w:t>油烟净化器</w:t>
            </w:r>
            <w:r>
              <w:rPr>
                <w:rFonts w:hint="default"/>
                <w:lang w:val="en-US" w:eastAsia="zh-CN"/>
              </w:rPr>
              <w:t>处理后由专用排气筒排出，每天做饭按照4小时计，单灶头排风量</w:t>
            </w:r>
            <w:r>
              <w:rPr>
                <w:rFonts w:hint="eastAsia"/>
                <w:lang w:val="en-US" w:eastAsia="zh-CN"/>
              </w:rPr>
              <w:t>4000</w:t>
            </w:r>
            <w:r>
              <w:rPr>
                <w:rFonts w:hint="default"/>
                <w:lang w:val="en-US" w:eastAsia="zh-CN"/>
              </w:rPr>
              <w:t>m³/h，净化率按照60%计算，则油烟排放量为</w:t>
            </w:r>
            <w:r>
              <w:rPr>
                <w:rFonts w:hint="eastAsia"/>
                <w:lang w:val="en-US" w:eastAsia="zh-CN"/>
              </w:rPr>
              <w:t>0.0072t</w:t>
            </w:r>
            <w:r>
              <w:rPr>
                <w:rFonts w:hint="default"/>
                <w:lang w:val="en-US" w:eastAsia="zh-CN"/>
              </w:rPr>
              <w:t>/a，排放速率为</w:t>
            </w:r>
            <w:r>
              <w:rPr>
                <w:rFonts w:hint="eastAsia"/>
                <w:lang w:val="en-US" w:eastAsia="zh-CN"/>
              </w:rPr>
              <w:t>0.006</w:t>
            </w:r>
            <w:r>
              <w:rPr>
                <w:rFonts w:hint="default"/>
                <w:lang w:val="en-US" w:eastAsia="zh-CN"/>
              </w:rPr>
              <w:t>kg/h，排放浓度为</w:t>
            </w:r>
            <w:r>
              <w:rPr>
                <w:rFonts w:hint="eastAsia"/>
                <w:lang w:val="en-US" w:eastAsia="zh-CN"/>
              </w:rPr>
              <w:t>1.5</w:t>
            </w:r>
            <w:r>
              <w:rPr>
                <w:rFonts w:hint="default"/>
                <w:lang w:val="en-US" w:eastAsia="zh-CN"/>
              </w:rPr>
              <w:t>mg/m</w:t>
            </w:r>
            <w:r>
              <w:rPr>
                <w:rFonts w:hint="default"/>
                <w:vertAlign w:val="superscript"/>
                <w:lang w:val="en-US" w:eastAsia="zh-CN"/>
              </w:rPr>
              <w:t>3</w:t>
            </w:r>
            <w:r>
              <w:rPr>
                <w:rFonts w:hint="eastAsia"/>
                <w:vertAlign w:val="baseline"/>
                <w:lang w:val="en-US" w:eastAsia="zh-CN"/>
              </w:rPr>
              <w:t>。</w:t>
            </w:r>
            <w:r>
              <w:rPr>
                <w:rFonts w:hint="default"/>
                <w:lang w:val="en-US" w:eastAsia="zh-CN"/>
              </w:rPr>
              <w:t>能够满足《饮食业油烟排放标准（试行）》（GB18483-2001）中的要求小于2mg/m</w:t>
            </w:r>
            <w:r>
              <w:rPr>
                <w:rFonts w:hint="default"/>
                <w:vertAlign w:val="superscript"/>
                <w:lang w:val="en-US" w:eastAsia="zh-CN"/>
              </w:rPr>
              <w:t>3</w:t>
            </w:r>
            <w:r>
              <w:rPr>
                <w:rFonts w:hint="default"/>
                <w:lang w:val="en-US" w:eastAsia="zh-CN"/>
              </w:rPr>
              <w:t>。</w:t>
            </w:r>
          </w:p>
          <w:p w14:paraId="79D7A297">
            <w:pPr>
              <w:pStyle w:val="44"/>
              <w:bidi w:val="0"/>
              <w:rPr>
                <w:rFonts w:hint="eastAsia"/>
                <w:lang w:val="en-US" w:eastAsia="zh-CN"/>
              </w:rPr>
            </w:pPr>
          </w:p>
          <w:p w14:paraId="7FD5796E">
            <w:pPr>
              <w:pStyle w:val="44"/>
              <w:bidi w:val="0"/>
              <w:rPr>
                <w:rFonts w:hint="eastAsia"/>
                <w:lang w:val="en-US" w:eastAsia="zh-CN"/>
              </w:rPr>
            </w:pPr>
          </w:p>
          <w:p w14:paraId="595256DF">
            <w:pPr>
              <w:pStyle w:val="44"/>
              <w:bidi w:val="0"/>
              <w:rPr>
                <w:rFonts w:hint="eastAsia"/>
                <w:lang w:val="en-US" w:eastAsia="zh-CN"/>
              </w:rPr>
            </w:pPr>
          </w:p>
          <w:p w14:paraId="3459578A">
            <w:pPr>
              <w:pStyle w:val="44"/>
              <w:bidi w:val="0"/>
              <w:rPr>
                <w:rFonts w:hint="eastAsia"/>
                <w:lang w:val="en-US" w:eastAsia="zh-CN"/>
              </w:rPr>
            </w:pPr>
          </w:p>
          <w:p w14:paraId="51C37507">
            <w:pPr>
              <w:pStyle w:val="44"/>
              <w:bidi w:val="0"/>
              <w:rPr>
                <w:rFonts w:hint="default"/>
                <w:lang w:val="en-US" w:eastAsia="zh-CN"/>
              </w:rPr>
            </w:pPr>
          </w:p>
        </w:tc>
      </w:tr>
    </w:tbl>
    <w:p w14:paraId="138E4A2D">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8"/>
      </w:tblGrid>
      <w:tr w14:paraId="6DA08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trPr>
        <w:tc>
          <w:tcPr>
            <w:tcW w:w="13228" w:type="dxa"/>
          </w:tcPr>
          <w:p w14:paraId="3A324FE9">
            <w:pPr>
              <w:pStyle w:val="42"/>
              <w:bidi w:val="0"/>
              <w:rPr>
                <w:rFonts w:hint="eastAsia"/>
                <w:lang w:val="en-US" w:eastAsia="zh-CN"/>
              </w:rPr>
            </w:pPr>
            <w:r>
              <w:rPr>
                <w:rFonts w:hint="eastAsia"/>
                <w:lang w:val="en-US" w:eastAsia="zh-CN"/>
              </w:rPr>
              <w:t>表4-1    废气污染源源强核算结果一览表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900"/>
              <w:gridCol w:w="554"/>
              <w:gridCol w:w="559"/>
              <w:gridCol w:w="745"/>
              <w:gridCol w:w="738"/>
              <w:gridCol w:w="843"/>
              <w:gridCol w:w="1373"/>
              <w:gridCol w:w="750"/>
              <w:gridCol w:w="669"/>
              <w:gridCol w:w="704"/>
              <w:gridCol w:w="727"/>
              <w:gridCol w:w="750"/>
              <w:gridCol w:w="738"/>
              <w:gridCol w:w="785"/>
              <w:gridCol w:w="750"/>
              <w:gridCol w:w="776"/>
            </w:tblGrid>
            <w:tr w14:paraId="67485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41" w:type="dxa"/>
                  <w:vMerge w:val="restart"/>
                  <w:vAlign w:val="center"/>
                </w:tcPr>
                <w:p w14:paraId="1A6D8613">
                  <w:pPr>
                    <w:pStyle w:val="40"/>
                    <w:bidi w:val="0"/>
                    <w:rPr>
                      <w:rFonts w:hint="eastAsia"/>
                      <w:lang w:val="en-US" w:eastAsia="zh-CN"/>
                    </w:rPr>
                  </w:pPr>
                  <w:r>
                    <w:rPr>
                      <w:rFonts w:hint="eastAsia"/>
                      <w:lang w:val="en-US" w:eastAsia="zh-CN"/>
                    </w:rPr>
                    <w:t>污染源</w:t>
                  </w:r>
                </w:p>
              </w:tc>
              <w:tc>
                <w:tcPr>
                  <w:tcW w:w="900" w:type="dxa"/>
                  <w:vMerge w:val="restart"/>
                  <w:vAlign w:val="center"/>
                </w:tcPr>
                <w:p w14:paraId="130E403B">
                  <w:pPr>
                    <w:pStyle w:val="40"/>
                    <w:bidi w:val="0"/>
                    <w:rPr>
                      <w:rFonts w:hint="eastAsia"/>
                      <w:lang w:val="en-US" w:eastAsia="zh-CN"/>
                    </w:rPr>
                  </w:pPr>
                  <w:r>
                    <w:rPr>
                      <w:rFonts w:hint="eastAsia"/>
                      <w:lang w:val="en-US" w:eastAsia="zh-CN"/>
                    </w:rPr>
                    <w:t>产污环节</w:t>
                  </w:r>
                </w:p>
              </w:tc>
              <w:tc>
                <w:tcPr>
                  <w:tcW w:w="554" w:type="dxa"/>
                  <w:vMerge w:val="restart"/>
                  <w:vAlign w:val="center"/>
                </w:tcPr>
                <w:p w14:paraId="3C853738">
                  <w:pPr>
                    <w:pStyle w:val="40"/>
                    <w:bidi w:val="0"/>
                    <w:rPr>
                      <w:rFonts w:hint="eastAsia"/>
                      <w:lang w:val="en-US" w:eastAsia="zh-CN"/>
                    </w:rPr>
                  </w:pPr>
                  <w:r>
                    <w:rPr>
                      <w:rFonts w:hint="eastAsia"/>
                      <w:lang w:val="en-US" w:eastAsia="zh-CN"/>
                    </w:rPr>
                    <w:t>污染物名称</w:t>
                  </w:r>
                </w:p>
              </w:tc>
              <w:tc>
                <w:tcPr>
                  <w:tcW w:w="559" w:type="dxa"/>
                  <w:vMerge w:val="restart"/>
                  <w:vAlign w:val="center"/>
                </w:tcPr>
                <w:p w14:paraId="3892EB16">
                  <w:pPr>
                    <w:pStyle w:val="40"/>
                    <w:bidi w:val="0"/>
                    <w:rPr>
                      <w:rFonts w:hint="eastAsia"/>
                      <w:lang w:val="en-US" w:eastAsia="zh-CN"/>
                    </w:rPr>
                  </w:pPr>
                  <w:r>
                    <w:rPr>
                      <w:rFonts w:hint="eastAsia"/>
                      <w:lang w:val="en-US" w:eastAsia="zh-CN"/>
                    </w:rPr>
                    <w:t>排放形式</w:t>
                  </w:r>
                </w:p>
              </w:tc>
              <w:tc>
                <w:tcPr>
                  <w:tcW w:w="2326" w:type="dxa"/>
                  <w:gridSpan w:val="3"/>
                  <w:vAlign w:val="center"/>
                </w:tcPr>
                <w:p w14:paraId="34DF3BCF">
                  <w:pPr>
                    <w:pStyle w:val="40"/>
                    <w:bidi w:val="0"/>
                    <w:rPr>
                      <w:rFonts w:hint="eastAsia"/>
                      <w:lang w:val="en-US" w:eastAsia="zh-CN"/>
                    </w:rPr>
                  </w:pPr>
                  <w:r>
                    <w:rPr>
                      <w:rFonts w:hint="eastAsia"/>
                      <w:lang w:val="en-US" w:eastAsia="zh-CN"/>
                    </w:rPr>
                    <w:t>污染物产生情况</w:t>
                  </w:r>
                </w:p>
              </w:tc>
              <w:tc>
                <w:tcPr>
                  <w:tcW w:w="4223" w:type="dxa"/>
                  <w:gridSpan w:val="5"/>
                  <w:vAlign w:val="center"/>
                </w:tcPr>
                <w:p w14:paraId="70952903">
                  <w:pPr>
                    <w:pStyle w:val="40"/>
                    <w:bidi w:val="0"/>
                    <w:rPr>
                      <w:rFonts w:hint="eastAsia"/>
                      <w:lang w:val="en-US" w:eastAsia="zh-CN"/>
                    </w:rPr>
                  </w:pPr>
                  <w:r>
                    <w:rPr>
                      <w:rFonts w:hint="eastAsia"/>
                      <w:lang w:val="en-US" w:eastAsia="zh-CN"/>
                    </w:rPr>
                    <w:t>污染治理设施情况</w:t>
                  </w:r>
                </w:p>
              </w:tc>
              <w:tc>
                <w:tcPr>
                  <w:tcW w:w="3023" w:type="dxa"/>
                  <w:gridSpan w:val="4"/>
                  <w:vAlign w:val="center"/>
                </w:tcPr>
                <w:p w14:paraId="7D2CD588">
                  <w:pPr>
                    <w:pStyle w:val="40"/>
                    <w:bidi w:val="0"/>
                    <w:rPr>
                      <w:rFonts w:hint="eastAsia"/>
                      <w:lang w:val="en-US" w:eastAsia="zh-CN"/>
                    </w:rPr>
                  </w:pPr>
                  <w:r>
                    <w:rPr>
                      <w:rFonts w:hint="eastAsia"/>
                      <w:lang w:val="en-US" w:eastAsia="zh-CN"/>
                    </w:rPr>
                    <w:t>污染物排放情况</w:t>
                  </w:r>
                </w:p>
              </w:tc>
              <w:tc>
                <w:tcPr>
                  <w:tcW w:w="776" w:type="dxa"/>
                  <w:vAlign w:val="center"/>
                </w:tcPr>
                <w:p w14:paraId="53DF5A40">
                  <w:pPr>
                    <w:pStyle w:val="40"/>
                    <w:bidi w:val="0"/>
                    <w:rPr>
                      <w:rFonts w:hint="eastAsia"/>
                      <w:lang w:val="en-US" w:eastAsia="zh-CN"/>
                    </w:rPr>
                  </w:pPr>
                  <w:r>
                    <w:rPr>
                      <w:rFonts w:hint="eastAsia"/>
                      <w:lang w:val="en-US" w:eastAsia="zh-CN"/>
                    </w:rPr>
                    <w:t>执行标准</w:t>
                  </w:r>
                </w:p>
              </w:tc>
            </w:tr>
            <w:tr w14:paraId="6450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641" w:type="dxa"/>
                  <w:vMerge w:val="continue"/>
                  <w:vAlign w:val="center"/>
                </w:tcPr>
                <w:p w14:paraId="75FE550E">
                  <w:pPr>
                    <w:pStyle w:val="40"/>
                    <w:bidi w:val="0"/>
                    <w:rPr>
                      <w:rFonts w:hint="eastAsia"/>
                      <w:lang w:val="en-US" w:eastAsia="zh-CN"/>
                    </w:rPr>
                  </w:pPr>
                </w:p>
              </w:tc>
              <w:tc>
                <w:tcPr>
                  <w:tcW w:w="900" w:type="dxa"/>
                  <w:vMerge w:val="continue"/>
                  <w:vAlign w:val="center"/>
                </w:tcPr>
                <w:p w14:paraId="292E4C16">
                  <w:pPr>
                    <w:pStyle w:val="40"/>
                    <w:bidi w:val="0"/>
                    <w:rPr>
                      <w:rFonts w:hint="eastAsia"/>
                      <w:lang w:val="en-US" w:eastAsia="zh-CN"/>
                    </w:rPr>
                  </w:pPr>
                </w:p>
              </w:tc>
              <w:tc>
                <w:tcPr>
                  <w:tcW w:w="554" w:type="dxa"/>
                  <w:vMerge w:val="continue"/>
                  <w:vAlign w:val="center"/>
                </w:tcPr>
                <w:p w14:paraId="3525BE4C">
                  <w:pPr>
                    <w:pStyle w:val="40"/>
                    <w:bidi w:val="0"/>
                    <w:rPr>
                      <w:rFonts w:hint="eastAsia"/>
                      <w:lang w:val="en-US" w:eastAsia="zh-CN"/>
                    </w:rPr>
                  </w:pPr>
                </w:p>
              </w:tc>
              <w:tc>
                <w:tcPr>
                  <w:tcW w:w="559" w:type="dxa"/>
                  <w:vMerge w:val="continue"/>
                  <w:vAlign w:val="center"/>
                </w:tcPr>
                <w:p w14:paraId="29C92F33">
                  <w:pPr>
                    <w:pStyle w:val="40"/>
                    <w:bidi w:val="0"/>
                    <w:rPr>
                      <w:rFonts w:hint="eastAsia"/>
                      <w:lang w:val="en-US" w:eastAsia="zh-CN"/>
                    </w:rPr>
                  </w:pPr>
                </w:p>
              </w:tc>
              <w:tc>
                <w:tcPr>
                  <w:tcW w:w="745" w:type="dxa"/>
                  <w:vAlign w:val="center"/>
                </w:tcPr>
                <w:p w14:paraId="58D5CA6D">
                  <w:pPr>
                    <w:pStyle w:val="40"/>
                    <w:bidi w:val="0"/>
                    <w:rPr>
                      <w:rFonts w:hint="eastAsia"/>
                      <w:lang w:val="en-US" w:eastAsia="zh-CN"/>
                    </w:rPr>
                  </w:pPr>
                  <w:r>
                    <w:rPr>
                      <w:rFonts w:hint="eastAsia"/>
                      <w:lang w:val="en-US" w:eastAsia="zh-CN"/>
                    </w:rPr>
                    <w:t>产生量t/a</w:t>
                  </w:r>
                </w:p>
              </w:tc>
              <w:tc>
                <w:tcPr>
                  <w:tcW w:w="738" w:type="dxa"/>
                  <w:vAlign w:val="center"/>
                </w:tcPr>
                <w:p w14:paraId="30399FF3">
                  <w:pPr>
                    <w:pStyle w:val="40"/>
                    <w:bidi w:val="0"/>
                    <w:rPr>
                      <w:rFonts w:hint="eastAsia"/>
                      <w:lang w:val="en-US" w:eastAsia="zh-CN"/>
                    </w:rPr>
                  </w:pPr>
                  <w:r>
                    <w:rPr>
                      <w:rFonts w:hint="eastAsia"/>
                      <w:lang w:val="en-US" w:eastAsia="zh-CN"/>
                    </w:rPr>
                    <w:t>产生速率kg/h</w:t>
                  </w:r>
                </w:p>
              </w:tc>
              <w:tc>
                <w:tcPr>
                  <w:tcW w:w="843" w:type="dxa"/>
                  <w:vAlign w:val="center"/>
                </w:tcPr>
                <w:p w14:paraId="67E259E6">
                  <w:pPr>
                    <w:pStyle w:val="40"/>
                    <w:bidi w:val="0"/>
                    <w:rPr>
                      <w:rFonts w:hint="eastAsia"/>
                      <w:lang w:val="en-US" w:eastAsia="zh-CN"/>
                    </w:rPr>
                  </w:pPr>
                  <w:r>
                    <w:rPr>
                      <w:rFonts w:hint="eastAsia"/>
                      <w:lang w:val="en-US" w:eastAsia="zh-CN"/>
                    </w:rPr>
                    <w:t>产生浓度</w:t>
                  </w:r>
                </w:p>
                <w:p w14:paraId="2065DCA7">
                  <w:pPr>
                    <w:pStyle w:val="40"/>
                    <w:bidi w:val="0"/>
                    <w:rPr>
                      <w:rFonts w:hint="eastAsia"/>
                      <w:lang w:val="en-US" w:eastAsia="zh-CN"/>
                    </w:rPr>
                  </w:pPr>
                  <w:r>
                    <w:rPr>
                      <w:rFonts w:hint="eastAsia"/>
                      <w:lang w:val="en-US" w:eastAsia="zh-CN"/>
                    </w:rPr>
                    <w:t>mg/m</w:t>
                  </w:r>
                  <w:r>
                    <w:rPr>
                      <w:rFonts w:hint="eastAsia"/>
                      <w:vertAlign w:val="superscript"/>
                      <w:lang w:val="en-US" w:eastAsia="zh-CN"/>
                    </w:rPr>
                    <w:t>3</w:t>
                  </w:r>
                </w:p>
              </w:tc>
              <w:tc>
                <w:tcPr>
                  <w:tcW w:w="1373" w:type="dxa"/>
                  <w:vAlign w:val="center"/>
                </w:tcPr>
                <w:p w14:paraId="459772A5">
                  <w:pPr>
                    <w:pStyle w:val="40"/>
                    <w:bidi w:val="0"/>
                    <w:rPr>
                      <w:rFonts w:hint="eastAsia"/>
                      <w:lang w:val="en-US" w:eastAsia="zh-CN"/>
                    </w:rPr>
                  </w:pPr>
                  <w:r>
                    <w:rPr>
                      <w:rFonts w:hint="eastAsia"/>
                      <w:lang w:val="en-US" w:eastAsia="zh-CN"/>
                    </w:rPr>
                    <w:t>污染治理设施工艺</w:t>
                  </w:r>
                </w:p>
              </w:tc>
              <w:tc>
                <w:tcPr>
                  <w:tcW w:w="750" w:type="dxa"/>
                  <w:vAlign w:val="center"/>
                </w:tcPr>
                <w:p w14:paraId="5DADD85C">
                  <w:pPr>
                    <w:pStyle w:val="40"/>
                    <w:bidi w:val="0"/>
                    <w:rPr>
                      <w:rFonts w:hint="eastAsia"/>
                    </w:rPr>
                  </w:pPr>
                  <w:r>
                    <w:rPr>
                      <w:rFonts w:hint="eastAsia"/>
                      <w:lang w:val="en-US" w:eastAsia="zh-CN"/>
                    </w:rPr>
                    <w:t>风机风量m</w:t>
                  </w:r>
                  <w:r>
                    <w:rPr>
                      <w:rFonts w:hint="eastAsia"/>
                      <w:vertAlign w:val="superscript"/>
                      <w:lang w:val="en-US" w:eastAsia="zh-CN"/>
                    </w:rPr>
                    <w:t>3</w:t>
                  </w:r>
                  <w:r>
                    <w:rPr>
                      <w:rFonts w:hint="eastAsia"/>
                      <w:lang w:val="en-US" w:eastAsia="zh-CN"/>
                    </w:rPr>
                    <w:t>/h</w:t>
                  </w:r>
                </w:p>
              </w:tc>
              <w:tc>
                <w:tcPr>
                  <w:tcW w:w="669" w:type="dxa"/>
                  <w:vAlign w:val="center"/>
                </w:tcPr>
                <w:p w14:paraId="49E89F52">
                  <w:pPr>
                    <w:pStyle w:val="40"/>
                    <w:bidi w:val="0"/>
                    <w:rPr>
                      <w:rFonts w:hint="eastAsia"/>
                      <w:lang w:val="en-US" w:eastAsia="zh-CN"/>
                    </w:rPr>
                  </w:pPr>
                  <w:r>
                    <w:rPr>
                      <w:rFonts w:hint="eastAsia"/>
                    </w:rPr>
                    <w:t>收集效率%</w:t>
                  </w:r>
                </w:p>
              </w:tc>
              <w:tc>
                <w:tcPr>
                  <w:tcW w:w="704" w:type="dxa"/>
                  <w:vAlign w:val="center"/>
                </w:tcPr>
                <w:p w14:paraId="1C89C611">
                  <w:pPr>
                    <w:pStyle w:val="40"/>
                    <w:bidi w:val="0"/>
                    <w:rPr>
                      <w:rFonts w:hint="eastAsia"/>
                      <w:lang w:val="en-US" w:eastAsia="zh-CN"/>
                    </w:rPr>
                  </w:pPr>
                  <w:r>
                    <w:rPr>
                      <w:rFonts w:hint="eastAsia"/>
                    </w:rPr>
                    <w:t>去除效率%</w:t>
                  </w:r>
                </w:p>
              </w:tc>
              <w:tc>
                <w:tcPr>
                  <w:tcW w:w="727" w:type="dxa"/>
                  <w:vAlign w:val="center"/>
                </w:tcPr>
                <w:p w14:paraId="7FF80295">
                  <w:pPr>
                    <w:pStyle w:val="40"/>
                    <w:bidi w:val="0"/>
                    <w:rPr>
                      <w:rFonts w:hint="eastAsia"/>
                      <w:lang w:val="en-US" w:eastAsia="zh-CN"/>
                    </w:rPr>
                  </w:pPr>
                  <w:r>
                    <w:rPr>
                      <w:rFonts w:hint="eastAsia"/>
                      <w:lang w:val="en-US" w:eastAsia="zh-CN"/>
                    </w:rPr>
                    <w:t>是否为可行技术</w:t>
                  </w:r>
                </w:p>
              </w:tc>
              <w:tc>
                <w:tcPr>
                  <w:tcW w:w="750" w:type="dxa"/>
                  <w:vAlign w:val="center"/>
                </w:tcPr>
                <w:p w14:paraId="11A5CEFA">
                  <w:pPr>
                    <w:pStyle w:val="40"/>
                    <w:bidi w:val="0"/>
                    <w:rPr>
                      <w:rFonts w:hint="eastAsia"/>
                      <w:lang w:val="en-US" w:eastAsia="zh-CN"/>
                    </w:rPr>
                  </w:pPr>
                  <w:r>
                    <w:rPr>
                      <w:rFonts w:hint="eastAsia"/>
                      <w:lang w:val="en-US" w:eastAsia="zh-CN"/>
                    </w:rPr>
                    <w:t>排放量t/a</w:t>
                  </w:r>
                </w:p>
              </w:tc>
              <w:tc>
                <w:tcPr>
                  <w:tcW w:w="738" w:type="dxa"/>
                  <w:vAlign w:val="center"/>
                </w:tcPr>
                <w:p w14:paraId="2D1D0074">
                  <w:pPr>
                    <w:pStyle w:val="40"/>
                    <w:bidi w:val="0"/>
                    <w:rPr>
                      <w:rFonts w:hint="eastAsia"/>
                      <w:lang w:val="en-US" w:eastAsia="zh-CN"/>
                    </w:rPr>
                  </w:pPr>
                  <w:r>
                    <w:rPr>
                      <w:rFonts w:hint="eastAsia"/>
                      <w:lang w:val="en-US" w:eastAsia="zh-CN"/>
                    </w:rPr>
                    <w:t>排放速率kg/h</w:t>
                  </w:r>
                </w:p>
              </w:tc>
              <w:tc>
                <w:tcPr>
                  <w:tcW w:w="785" w:type="dxa"/>
                  <w:vAlign w:val="center"/>
                </w:tcPr>
                <w:p w14:paraId="21797457">
                  <w:pPr>
                    <w:pStyle w:val="40"/>
                    <w:bidi w:val="0"/>
                    <w:rPr>
                      <w:rFonts w:hint="eastAsia"/>
                      <w:lang w:val="en-US" w:eastAsia="zh-CN"/>
                    </w:rPr>
                  </w:pPr>
                  <w:r>
                    <w:rPr>
                      <w:rFonts w:hint="eastAsia"/>
                      <w:lang w:val="en-US" w:eastAsia="zh-CN"/>
                    </w:rPr>
                    <w:t>排放浓度</w:t>
                  </w:r>
                </w:p>
                <w:p w14:paraId="4BDA274D">
                  <w:pPr>
                    <w:pStyle w:val="40"/>
                    <w:bidi w:val="0"/>
                    <w:rPr>
                      <w:rFonts w:hint="eastAsia"/>
                      <w:lang w:val="en-US" w:eastAsia="zh-CN"/>
                    </w:rPr>
                  </w:pPr>
                  <w:r>
                    <w:rPr>
                      <w:rFonts w:hint="eastAsia"/>
                      <w:lang w:val="en-US" w:eastAsia="zh-CN"/>
                    </w:rPr>
                    <w:t>mg/m</w:t>
                  </w:r>
                  <w:r>
                    <w:rPr>
                      <w:rFonts w:hint="eastAsia"/>
                      <w:vertAlign w:val="superscript"/>
                      <w:lang w:val="en-US" w:eastAsia="zh-CN"/>
                    </w:rPr>
                    <w:t>3</w:t>
                  </w:r>
                </w:p>
              </w:tc>
              <w:tc>
                <w:tcPr>
                  <w:tcW w:w="750" w:type="dxa"/>
                  <w:vAlign w:val="center"/>
                </w:tcPr>
                <w:p w14:paraId="31E4781E">
                  <w:pPr>
                    <w:pStyle w:val="40"/>
                    <w:bidi w:val="0"/>
                    <w:rPr>
                      <w:rFonts w:hint="eastAsia"/>
                      <w:lang w:val="en-US" w:eastAsia="zh-CN"/>
                    </w:rPr>
                  </w:pPr>
                  <w:r>
                    <w:rPr>
                      <w:rFonts w:hint="eastAsia"/>
                      <w:lang w:val="en-US" w:eastAsia="zh-CN"/>
                    </w:rPr>
                    <w:t>排放口编号</w:t>
                  </w:r>
                </w:p>
              </w:tc>
              <w:tc>
                <w:tcPr>
                  <w:tcW w:w="776" w:type="dxa"/>
                  <w:vAlign w:val="center"/>
                </w:tcPr>
                <w:p w14:paraId="7A93D8A2">
                  <w:pPr>
                    <w:pStyle w:val="40"/>
                    <w:bidi w:val="0"/>
                    <w:rPr>
                      <w:rFonts w:hint="eastAsia"/>
                      <w:lang w:val="en-US" w:eastAsia="zh-CN"/>
                    </w:rPr>
                  </w:pPr>
                  <w:r>
                    <w:rPr>
                      <w:rFonts w:hint="eastAsia"/>
                      <w:lang w:val="en-US" w:eastAsia="zh-CN"/>
                    </w:rPr>
                    <w:t>排放浓度mg/m</w:t>
                  </w:r>
                  <w:r>
                    <w:rPr>
                      <w:rFonts w:hint="eastAsia"/>
                      <w:vertAlign w:val="superscript"/>
                      <w:lang w:val="en-US" w:eastAsia="zh-CN"/>
                    </w:rPr>
                    <w:t>3</w:t>
                  </w:r>
                </w:p>
              </w:tc>
            </w:tr>
            <w:tr w14:paraId="7FC39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41" w:type="dxa"/>
                  <w:vMerge w:val="restart"/>
                  <w:vAlign w:val="center"/>
                </w:tcPr>
                <w:p w14:paraId="480D0E2A">
                  <w:pPr>
                    <w:pStyle w:val="40"/>
                    <w:bidi w:val="0"/>
                    <w:rPr>
                      <w:rFonts w:hint="eastAsia"/>
                      <w:lang w:val="en-US" w:eastAsia="zh-CN"/>
                    </w:rPr>
                  </w:pPr>
                  <w:r>
                    <w:rPr>
                      <w:rFonts w:hint="eastAsia"/>
                      <w:lang w:val="en-US" w:eastAsia="zh-CN"/>
                    </w:rPr>
                    <w:t>复合保温外模板生产线</w:t>
                  </w:r>
                </w:p>
              </w:tc>
              <w:tc>
                <w:tcPr>
                  <w:tcW w:w="900" w:type="dxa"/>
                  <w:vAlign w:val="center"/>
                </w:tcPr>
                <w:p w14:paraId="5048DD83">
                  <w:pPr>
                    <w:pStyle w:val="40"/>
                    <w:bidi w:val="0"/>
                    <w:rPr>
                      <w:rFonts w:hint="default"/>
                      <w:lang w:val="en-US" w:eastAsia="zh-CN"/>
                    </w:rPr>
                  </w:pPr>
                  <w:r>
                    <w:rPr>
                      <w:rFonts w:hint="default"/>
                      <w:lang w:val="en-US" w:eastAsia="zh-CN"/>
                    </w:rPr>
                    <w:t>原料堆存粉尘</w:t>
                  </w:r>
                </w:p>
              </w:tc>
              <w:tc>
                <w:tcPr>
                  <w:tcW w:w="554" w:type="dxa"/>
                  <w:vMerge w:val="restart"/>
                  <w:vAlign w:val="center"/>
                </w:tcPr>
                <w:p w14:paraId="1221B737">
                  <w:pPr>
                    <w:pStyle w:val="40"/>
                    <w:bidi w:val="0"/>
                    <w:rPr>
                      <w:rFonts w:hint="default"/>
                      <w:lang w:val="en-US" w:eastAsia="zh-CN"/>
                    </w:rPr>
                  </w:pPr>
                  <w:r>
                    <w:rPr>
                      <w:rFonts w:hint="eastAsia"/>
                      <w:lang w:val="en-US" w:eastAsia="zh-CN"/>
                    </w:rPr>
                    <w:t>颗粒物</w:t>
                  </w:r>
                </w:p>
              </w:tc>
              <w:tc>
                <w:tcPr>
                  <w:tcW w:w="559" w:type="dxa"/>
                  <w:vMerge w:val="restart"/>
                  <w:vAlign w:val="center"/>
                </w:tcPr>
                <w:p w14:paraId="697AB338">
                  <w:pPr>
                    <w:pStyle w:val="40"/>
                    <w:bidi w:val="0"/>
                    <w:rPr>
                      <w:rFonts w:hint="default"/>
                      <w:lang w:val="en-US" w:eastAsia="zh-CN"/>
                    </w:rPr>
                  </w:pPr>
                  <w:r>
                    <w:rPr>
                      <w:rFonts w:hint="eastAsia"/>
                      <w:lang w:val="en-US" w:eastAsia="zh-CN"/>
                    </w:rPr>
                    <w:t>无组织</w:t>
                  </w:r>
                </w:p>
              </w:tc>
              <w:tc>
                <w:tcPr>
                  <w:tcW w:w="745" w:type="dxa"/>
                  <w:vAlign w:val="center"/>
                </w:tcPr>
                <w:p w14:paraId="22AB0A19">
                  <w:pPr>
                    <w:pStyle w:val="40"/>
                    <w:bidi w:val="0"/>
                    <w:rPr>
                      <w:rFonts w:hint="default"/>
                      <w:lang w:val="en-US" w:eastAsia="zh-CN"/>
                    </w:rPr>
                  </w:pPr>
                  <w:r>
                    <w:rPr>
                      <w:rFonts w:hint="eastAsia"/>
                      <w:lang w:val="en-US" w:eastAsia="zh-CN"/>
                    </w:rPr>
                    <w:t>112</w:t>
                  </w:r>
                </w:p>
              </w:tc>
              <w:tc>
                <w:tcPr>
                  <w:tcW w:w="738" w:type="dxa"/>
                  <w:vAlign w:val="center"/>
                </w:tcPr>
                <w:p w14:paraId="41B85EAB">
                  <w:pPr>
                    <w:pStyle w:val="40"/>
                    <w:bidi w:val="0"/>
                    <w:rPr>
                      <w:rFonts w:hint="default"/>
                      <w:lang w:val="en-US" w:eastAsia="zh-CN"/>
                    </w:rPr>
                  </w:pPr>
                  <w:r>
                    <w:rPr>
                      <w:rFonts w:hint="eastAsia"/>
                      <w:lang w:val="en-US" w:eastAsia="zh-CN"/>
                    </w:rPr>
                    <w:t>15.56</w:t>
                  </w:r>
                </w:p>
              </w:tc>
              <w:tc>
                <w:tcPr>
                  <w:tcW w:w="843" w:type="dxa"/>
                  <w:vAlign w:val="center"/>
                </w:tcPr>
                <w:p w14:paraId="71E9F221">
                  <w:pPr>
                    <w:pStyle w:val="40"/>
                    <w:bidi w:val="0"/>
                    <w:rPr>
                      <w:rFonts w:hint="default"/>
                      <w:lang w:val="en-US" w:eastAsia="zh-CN"/>
                    </w:rPr>
                  </w:pPr>
                  <w:r>
                    <w:rPr>
                      <w:rFonts w:hint="eastAsia"/>
                      <w:lang w:val="en-US" w:eastAsia="zh-CN"/>
                    </w:rPr>
                    <w:t>/</w:t>
                  </w:r>
                </w:p>
              </w:tc>
              <w:tc>
                <w:tcPr>
                  <w:tcW w:w="1373" w:type="dxa"/>
                  <w:vAlign w:val="center"/>
                </w:tcPr>
                <w:p w14:paraId="34AAEF1C">
                  <w:pPr>
                    <w:pStyle w:val="40"/>
                    <w:bidi w:val="0"/>
                    <w:rPr>
                      <w:rFonts w:hint="eastAsia"/>
                      <w:lang w:val="en-US" w:eastAsia="zh-CN"/>
                    </w:rPr>
                  </w:pPr>
                  <w:r>
                    <w:rPr>
                      <w:rFonts w:hint="eastAsia"/>
                      <w:lang w:val="en-US" w:eastAsia="zh-CN"/>
                    </w:rPr>
                    <w:t>密闭厂房</w:t>
                  </w:r>
                </w:p>
              </w:tc>
              <w:tc>
                <w:tcPr>
                  <w:tcW w:w="750" w:type="dxa"/>
                  <w:vAlign w:val="center"/>
                </w:tcPr>
                <w:p w14:paraId="6287626F">
                  <w:pPr>
                    <w:pStyle w:val="40"/>
                    <w:bidi w:val="0"/>
                    <w:rPr>
                      <w:rFonts w:hint="default"/>
                      <w:lang w:val="en-US" w:eastAsia="zh-CN"/>
                    </w:rPr>
                  </w:pPr>
                  <w:r>
                    <w:rPr>
                      <w:rFonts w:hint="default"/>
                      <w:lang w:val="en-US" w:eastAsia="zh-CN"/>
                    </w:rPr>
                    <w:t>/</w:t>
                  </w:r>
                </w:p>
              </w:tc>
              <w:tc>
                <w:tcPr>
                  <w:tcW w:w="669" w:type="dxa"/>
                  <w:vAlign w:val="center"/>
                </w:tcPr>
                <w:p w14:paraId="0CE97AB2">
                  <w:pPr>
                    <w:pStyle w:val="40"/>
                    <w:bidi w:val="0"/>
                    <w:rPr>
                      <w:rFonts w:hint="default"/>
                      <w:lang w:val="en-US" w:eastAsia="zh-CN"/>
                    </w:rPr>
                  </w:pPr>
                  <w:r>
                    <w:rPr>
                      <w:rFonts w:hint="eastAsia"/>
                      <w:lang w:val="en-US" w:eastAsia="zh-CN"/>
                    </w:rPr>
                    <w:t>100</w:t>
                  </w:r>
                </w:p>
              </w:tc>
              <w:tc>
                <w:tcPr>
                  <w:tcW w:w="704" w:type="dxa"/>
                  <w:vAlign w:val="center"/>
                </w:tcPr>
                <w:p w14:paraId="6A62804B">
                  <w:pPr>
                    <w:pStyle w:val="40"/>
                    <w:bidi w:val="0"/>
                    <w:rPr>
                      <w:rFonts w:hint="default"/>
                      <w:lang w:val="en-US" w:eastAsia="zh-CN"/>
                    </w:rPr>
                  </w:pPr>
                  <w:r>
                    <w:rPr>
                      <w:rFonts w:hint="eastAsia"/>
                      <w:lang w:val="en-US" w:eastAsia="zh-CN"/>
                    </w:rPr>
                    <w:t>99</w:t>
                  </w:r>
                </w:p>
              </w:tc>
              <w:tc>
                <w:tcPr>
                  <w:tcW w:w="727" w:type="dxa"/>
                  <w:vAlign w:val="center"/>
                </w:tcPr>
                <w:p w14:paraId="33074FE7">
                  <w:pPr>
                    <w:pStyle w:val="40"/>
                    <w:bidi w:val="0"/>
                    <w:rPr>
                      <w:rFonts w:hint="default"/>
                      <w:lang w:val="en-US" w:eastAsia="zh-CN"/>
                    </w:rPr>
                  </w:pPr>
                  <w:r>
                    <w:rPr>
                      <w:rFonts w:hint="default"/>
                      <w:lang w:val="en-US" w:eastAsia="zh-CN"/>
                    </w:rPr>
                    <w:t>是</w:t>
                  </w:r>
                </w:p>
              </w:tc>
              <w:tc>
                <w:tcPr>
                  <w:tcW w:w="750" w:type="dxa"/>
                  <w:vAlign w:val="center"/>
                </w:tcPr>
                <w:p w14:paraId="69EF37C6">
                  <w:pPr>
                    <w:pStyle w:val="40"/>
                    <w:bidi w:val="0"/>
                    <w:rPr>
                      <w:rFonts w:hint="default"/>
                      <w:lang w:val="en-US" w:eastAsia="zh-CN"/>
                    </w:rPr>
                  </w:pPr>
                  <w:r>
                    <w:rPr>
                      <w:rFonts w:hint="eastAsia"/>
                      <w:lang w:val="en-US" w:eastAsia="zh-CN"/>
                    </w:rPr>
                    <w:t>1.12</w:t>
                  </w:r>
                </w:p>
              </w:tc>
              <w:tc>
                <w:tcPr>
                  <w:tcW w:w="738" w:type="dxa"/>
                  <w:vAlign w:val="center"/>
                </w:tcPr>
                <w:p w14:paraId="568AB8C4">
                  <w:pPr>
                    <w:pStyle w:val="40"/>
                    <w:bidi w:val="0"/>
                    <w:rPr>
                      <w:rFonts w:hint="default"/>
                      <w:lang w:val="en-US" w:eastAsia="zh-CN"/>
                    </w:rPr>
                  </w:pPr>
                  <w:r>
                    <w:rPr>
                      <w:rFonts w:hint="eastAsia"/>
                      <w:lang w:val="en-US" w:eastAsia="zh-CN"/>
                    </w:rPr>
                    <w:t>0.156</w:t>
                  </w:r>
                </w:p>
              </w:tc>
              <w:tc>
                <w:tcPr>
                  <w:tcW w:w="785" w:type="dxa"/>
                  <w:vAlign w:val="center"/>
                </w:tcPr>
                <w:p w14:paraId="593FA3B3">
                  <w:pPr>
                    <w:pStyle w:val="40"/>
                    <w:bidi w:val="0"/>
                    <w:rPr>
                      <w:rFonts w:hint="default"/>
                      <w:lang w:val="en-US" w:eastAsia="zh-CN"/>
                    </w:rPr>
                  </w:pPr>
                  <w:r>
                    <w:rPr>
                      <w:rFonts w:hint="eastAsia"/>
                      <w:lang w:val="en-US" w:eastAsia="zh-CN"/>
                    </w:rPr>
                    <w:t>/</w:t>
                  </w:r>
                </w:p>
              </w:tc>
              <w:tc>
                <w:tcPr>
                  <w:tcW w:w="750" w:type="dxa"/>
                  <w:vAlign w:val="center"/>
                </w:tcPr>
                <w:p w14:paraId="45E2553C">
                  <w:pPr>
                    <w:pStyle w:val="40"/>
                    <w:bidi w:val="0"/>
                    <w:rPr>
                      <w:rFonts w:hint="default"/>
                      <w:lang w:val="en-US" w:eastAsia="zh-CN"/>
                    </w:rPr>
                  </w:pPr>
                  <w:r>
                    <w:rPr>
                      <w:rFonts w:hint="eastAsia"/>
                      <w:lang w:val="en-US" w:eastAsia="zh-CN"/>
                    </w:rPr>
                    <w:t>/</w:t>
                  </w:r>
                </w:p>
              </w:tc>
              <w:tc>
                <w:tcPr>
                  <w:tcW w:w="776" w:type="dxa"/>
                  <w:vAlign w:val="center"/>
                </w:tcPr>
                <w:p w14:paraId="34F59F9B">
                  <w:pPr>
                    <w:pStyle w:val="40"/>
                    <w:bidi w:val="0"/>
                    <w:rPr>
                      <w:rFonts w:hint="default"/>
                      <w:lang w:val="en-US" w:eastAsia="zh-CN"/>
                    </w:rPr>
                  </w:pPr>
                  <w:r>
                    <w:rPr>
                      <w:rFonts w:hint="eastAsia"/>
                      <w:lang w:val="en-US" w:eastAsia="zh-CN"/>
                    </w:rPr>
                    <w:t>0.5</w:t>
                  </w:r>
                </w:p>
              </w:tc>
            </w:tr>
            <w:tr w14:paraId="2CD5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41" w:type="dxa"/>
                  <w:vMerge w:val="continue"/>
                  <w:vAlign w:val="center"/>
                </w:tcPr>
                <w:p w14:paraId="032EFCD0">
                  <w:pPr>
                    <w:pStyle w:val="40"/>
                    <w:bidi w:val="0"/>
                    <w:rPr>
                      <w:rFonts w:hint="eastAsia"/>
                      <w:lang w:val="en-US" w:eastAsia="zh-CN"/>
                    </w:rPr>
                  </w:pPr>
                </w:p>
              </w:tc>
              <w:tc>
                <w:tcPr>
                  <w:tcW w:w="900" w:type="dxa"/>
                  <w:shd w:val="clear" w:color="auto" w:fill="auto"/>
                  <w:vAlign w:val="center"/>
                </w:tcPr>
                <w:p w14:paraId="167B532B">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1#水泥筒仓粉尘</w:t>
                  </w:r>
                </w:p>
              </w:tc>
              <w:tc>
                <w:tcPr>
                  <w:tcW w:w="554" w:type="dxa"/>
                  <w:vMerge w:val="continue"/>
                  <w:shd w:val="clear" w:color="auto" w:fill="auto"/>
                  <w:vAlign w:val="center"/>
                </w:tcPr>
                <w:p w14:paraId="410E83EB">
                  <w:pPr>
                    <w:pStyle w:val="40"/>
                    <w:bidi w:val="0"/>
                    <w:rPr>
                      <w:rFonts w:hint="eastAsia" w:ascii="Times New Roman" w:hAnsi="Times New Roman" w:eastAsia="宋体" w:cs="Times New Roman"/>
                      <w:kern w:val="2"/>
                      <w:sz w:val="21"/>
                      <w:szCs w:val="21"/>
                      <w:lang w:val="en-US" w:eastAsia="zh-CN" w:bidi="ar-SA"/>
                    </w:rPr>
                  </w:pPr>
                </w:p>
              </w:tc>
              <w:tc>
                <w:tcPr>
                  <w:tcW w:w="559" w:type="dxa"/>
                  <w:vMerge w:val="continue"/>
                  <w:shd w:val="clear" w:color="auto" w:fill="auto"/>
                  <w:vAlign w:val="center"/>
                </w:tcPr>
                <w:p w14:paraId="74D08483">
                  <w:pPr>
                    <w:pStyle w:val="40"/>
                    <w:bidi w:val="0"/>
                    <w:rPr>
                      <w:rFonts w:hint="eastAsia" w:ascii="Times New Roman" w:hAnsi="Times New Roman" w:eastAsia="宋体" w:cs="Times New Roman"/>
                      <w:kern w:val="2"/>
                      <w:sz w:val="21"/>
                      <w:szCs w:val="21"/>
                      <w:lang w:val="en-US" w:eastAsia="zh-CN" w:bidi="ar-SA"/>
                    </w:rPr>
                  </w:pPr>
                </w:p>
              </w:tc>
              <w:tc>
                <w:tcPr>
                  <w:tcW w:w="745" w:type="dxa"/>
                  <w:shd w:val="clear" w:color="auto" w:fill="auto"/>
                  <w:vAlign w:val="center"/>
                </w:tcPr>
                <w:p w14:paraId="716A3CD4">
                  <w:pPr>
                    <w:pStyle w:val="40"/>
                    <w:bidi w:val="0"/>
                    <w:rPr>
                      <w:rFonts w:hint="default" w:ascii="Times New Roman" w:hAnsi="Times New Roman" w:eastAsia="宋体" w:cs="Times New Roman"/>
                      <w:kern w:val="2"/>
                      <w:sz w:val="21"/>
                      <w:szCs w:val="21"/>
                      <w:lang w:val="en-US" w:eastAsia="zh-CN" w:bidi="ar-SA"/>
                    </w:rPr>
                  </w:pPr>
                  <w:r>
                    <w:rPr>
                      <w:rFonts w:hint="eastAsia"/>
                      <w:lang w:val="en-US" w:eastAsia="zh-CN"/>
                    </w:rPr>
                    <w:t>1.296</w:t>
                  </w:r>
                </w:p>
              </w:tc>
              <w:tc>
                <w:tcPr>
                  <w:tcW w:w="738" w:type="dxa"/>
                  <w:shd w:val="clear" w:color="auto" w:fill="auto"/>
                  <w:vAlign w:val="center"/>
                </w:tcPr>
                <w:p w14:paraId="218DC3E2">
                  <w:pPr>
                    <w:pStyle w:val="40"/>
                    <w:bidi w:val="0"/>
                    <w:rPr>
                      <w:rFonts w:hint="default" w:ascii="Times New Roman" w:hAnsi="Times New Roman" w:eastAsia="宋体" w:cs="Times New Roman"/>
                      <w:kern w:val="2"/>
                      <w:sz w:val="21"/>
                      <w:szCs w:val="21"/>
                      <w:lang w:val="en-US" w:eastAsia="zh-CN" w:bidi="ar-SA"/>
                    </w:rPr>
                  </w:pPr>
                  <w:r>
                    <w:rPr>
                      <w:rFonts w:hint="eastAsia"/>
                      <w:lang w:val="en-US" w:eastAsia="zh-CN"/>
                    </w:rPr>
                    <w:t>6</w:t>
                  </w:r>
                </w:p>
              </w:tc>
              <w:tc>
                <w:tcPr>
                  <w:tcW w:w="843" w:type="dxa"/>
                  <w:shd w:val="clear" w:color="auto" w:fill="auto"/>
                  <w:vAlign w:val="center"/>
                </w:tcPr>
                <w:p w14:paraId="163869C2">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w:t>
                  </w:r>
                </w:p>
              </w:tc>
              <w:tc>
                <w:tcPr>
                  <w:tcW w:w="1373" w:type="dxa"/>
                  <w:shd w:val="clear" w:color="auto" w:fill="auto"/>
                  <w:vAlign w:val="center"/>
                </w:tcPr>
                <w:p w14:paraId="2BC69657">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仓顶自带脉冲式布袋除尘器</w:t>
                  </w:r>
                </w:p>
              </w:tc>
              <w:tc>
                <w:tcPr>
                  <w:tcW w:w="750" w:type="dxa"/>
                  <w:shd w:val="clear" w:color="auto" w:fill="auto"/>
                  <w:vAlign w:val="center"/>
                </w:tcPr>
                <w:p w14:paraId="78EDF222">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w:t>
                  </w:r>
                </w:p>
              </w:tc>
              <w:tc>
                <w:tcPr>
                  <w:tcW w:w="669" w:type="dxa"/>
                  <w:shd w:val="clear" w:color="auto" w:fill="auto"/>
                  <w:vAlign w:val="center"/>
                </w:tcPr>
                <w:p w14:paraId="35B0D142">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100</w:t>
                  </w:r>
                </w:p>
              </w:tc>
              <w:tc>
                <w:tcPr>
                  <w:tcW w:w="704" w:type="dxa"/>
                  <w:shd w:val="clear" w:color="auto" w:fill="auto"/>
                  <w:vAlign w:val="center"/>
                </w:tcPr>
                <w:p w14:paraId="418B6B25">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99.7</w:t>
                  </w:r>
                </w:p>
              </w:tc>
              <w:tc>
                <w:tcPr>
                  <w:tcW w:w="727" w:type="dxa"/>
                  <w:shd w:val="clear" w:color="auto" w:fill="auto"/>
                  <w:vAlign w:val="center"/>
                </w:tcPr>
                <w:p w14:paraId="68BD7C48">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是</w:t>
                  </w:r>
                </w:p>
              </w:tc>
              <w:tc>
                <w:tcPr>
                  <w:tcW w:w="750" w:type="dxa"/>
                  <w:shd w:val="clear" w:color="auto" w:fill="auto"/>
                  <w:vAlign w:val="center"/>
                </w:tcPr>
                <w:p w14:paraId="7B70CA7E">
                  <w:pPr>
                    <w:pStyle w:val="40"/>
                    <w:bidi w:val="0"/>
                    <w:rPr>
                      <w:rFonts w:hint="default" w:ascii="Times New Roman" w:hAnsi="Times New Roman" w:eastAsia="宋体" w:cs="Times New Roman"/>
                      <w:kern w:val="2"/>
                      <w:sz w:val="21"/>
                      <w:szCs w:val="21"/>
                      <w:lang w:val="en-US" w:eastAsia="zh-CN" w:bidi="ar-SA"/>
                    </w:rPr>
                  </w:pPr>
                  <w:r>
                    <w:rPr>
                      <w:rFonts w:hint="eastAsia"/>
                      <w:lang w:val="en-US" w:eastAsia="zh-CN"/>
                    </w:rPr>
                    <w:t>3.89</w:t>
                  </w:r>
                  <w:r>
                    <w:rPr>
                      <w:rFonts w:hint="default" w:ascii="Times New Roman" w:hAnsi="Times New Roman" w:cs="Times New Roman"/>
                      <w:lang w:val="en-US" w:eastAsia="zh-CN"/>
                    </w:rPr>
                    <w:t>×</w:t>
                  </w:r>
                  <w:r>
                    <w:rPr>
                      <w:rFonts w:hint="eastAsia"/>
                      <w:lang w:val="en-US" w:eastAsia="zh-CN"/>
                    </w:rPr>
                    <w:t>10</w:t>
                  </w:r>
                  <w:r>
                    <w:rPr>
                      <w:rFonts w:hint="eastAsia"/>
                      <w:vertAlign w:val="superscript"/>
                      <w:lang w:val="en-US" w:eastAsia="zh-CN"/>
                    </w:rPr>
                    <w:t>-3</w:t>
                  </w:r>
                </w:p>
              </w:tc>
              <w:tc>
                <w:tcPr>
                  <w:tcW w:w="738" w:type="dxa"/>
                  <w:shd w:val="clear" w:color="auto" w:fill="auto"/>
                  <w:vAlign w:val="center"/>
                </w:tcPr>
                <w:p w14:paraId="6D4D2573">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0.018</w:t>
                  </w:r>
                </w:p>
              </w:tc>
              <w:tc>
                <w:tcPr>
                  <w:tcW w:w="785" w:type="dxa"/>
                  <w:shd w:val="clear" w:color="auto" w:fill="auto"/>
                  <w:vAlign w:val="center"/>
                </w:tcPr>
                <w:p w14:paraId="6625ED10">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w:t>
                  </w:r>
                </w:p>
              </w:tc>
              <w:tc>
                <w:tcPr>
                  <w:tcW w:w="750" w:type="dxa"/>
                  <w:shd w:val="clear" w:color="auto" w:fill="auto"/>
                  <w:vAlign w:val="center"/>
                </w:tcPr>
                <w:p w14:paraId="0FB2AEF7">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w:t>
                  </w:r>
                </w:p>
              </w:tc>
              <w:tc>
                <w:tcPr>
                  <w:tcW w:w="776" w:type="dxa"/>
                  <w:shd w:val="clear" w:color="auto" w:fill="auto"/>
                  <w:vAlign w:val="center"/>
                </w:tcPr>
                <w:p w14:paraId="0CD17060">
                  <w:pPr>
                    <w:pStyle w:val="40"/>
                    <w:bidi w:val="0"/>
                    <w:rPr>
                      <w:rFonts w:hint="default" w:ascii="Times New Roman" w:hAnsi="Times New Roman" w:eastAsia="宋体" w:cs="Times New Roman"/>
                      <w:kern w:val="2"/>
                      <w:sz w:val="21"/>
                      <w:szCs w:val="21"/>
                      <w:lang w:val="en-US" w:eastAsia="zh-CN" w:bidi="ar-SA"/>
                    </w:rPr>
                  </w:pPr>
                  <w:r>
                    <w:rPr>
                      <w:rFonts w:hint="eastAsia"/>
                      <w:lang w:val="en-US" w:eastAsia="zh-CN"/>
                    </w:rPr>
                    <w:t>0.5</w:t>
                  </w:r>
                </w:p>
              </w:tc>
            </w:tr>
            <w:tr w14:paraId="642A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641" w:type="dxa"/>
                  <w:vMerge w:val="continue"/>
                  <w:vAlign w:val="center"/>
                </w:tcPr>
                <w:p w14:paraId="676281E9">
                  <w:pPr>
                    <w:pStyle w:val="40"/>
                    <w:bidi w:val="0"/>
                    <w:rPr>
                      <w:rFonts w:hint="eastAsia"/>
                      <w:lang w:val="en-US" w:eastAsia="zh-CN"/>
                    </w:rPr>
                  </w:pPr>
                </w:p>
              </w:tc>
              <w:tc>
                <w:tcPr>
                  <w:tcW w:w="900" w:type="dxa"/>
                  <w:vAlign w:val="center"/>
                </w:tcPr>
                <w:p w14:paraId="761D95D3">
                  <w:pPr>
                    <w:pStyle w:val="40"/>
                    <w:bidi w:val="0"/>
                    <w:rPr>
                      <w:rFonts w:hint="eastAsia"/>
                      <w:lang w:val="en-US" w:eastAsia="zh-CN"/>
                    </w:rPr>
                  </w:pPr>
                  <w:r>
                    <w:rPr>
                      <w:rFonts w:hint="eastAsia"/>
                      <w:lang w:val="en-US" w:eastAsia="zh-CN"/>
                    </w:rPr>
                    <w:t>2#水泥筒仓粉尘</w:t>
                  </w:r>
                </w:p>
              </w:tc>
              <w:tc>
                <w:tcPr>
                  <w:tcW w:w="554" w:type="dxa"/>
                  <w:vMerge w:val="continue"/>
                  <w:vAlign w:val="center"/>
                </w:tcPr>
                <w:p w14:paraId="3FF3F8B3">
                  <w:pPr>
                    <w:pStyle w:val="40"/>
                    <w:bidi w:val="0"/>
                    <w:rPr>
                      <w:rFonts w:hint="eastAsia"/>
                      <w:lang w:val="en-US" w:eastAsia="zh-CN"/>
                    </w:rPr>
                  </w:pPr>
                </w:p>
              </w:tc>
              <w:tc>
                <w:tcPr>
                  <w:tcW w:w="559" w:type="dxa"/>
                  <w:vMerge w:val="continue"/>
                  <w:vAlign w:val="center"/>
                </w:tcPr>
                <w:p w14:paraId="21A0428D">
                  <w:pPr>
                    <w:pStyle w:val="40"/>
                    <w:bidi w:val="0"/>
                    <w:rPr>
                      <w:rFonts w:hint="eastAsia"/>
                      <w:lang w:val="en-US" w:eastAsia="zh-CN"/>
                    </w:rPr>
                  </w:pPr>
                </w:p>
              </w:tc>
              <w:tc>
                <w:tcPr>
                  <w:tcW w:w="745" w:type="dxa"/>
                  <w:vAlign w:val="center"/>
                </w:tcPr>
                <w:p w14:paraId="23BEBF29">
                  <w:pPr>
                    <w:pStyle w:val="40"/>
                    <w:bidi w:val="0"/>
                    <w:rPr>
                      <w:rFonts w:hint="eastAsia"/>
                      <w:lang w:val="en-US" w:eastAsia="zh-CN"/>
                    </w:rPr>
                  </w:pPr>
                  <w:r>
                    <w:rPr>
                      <w:rFonts w:hint="eastAsia"/>
                      <w:lang w:val="en-US" w:eastAsia="zh-CN"/>
                    </w:rPr>
                    <w:t>1.296</w:t>
                  </w:r>
                </w:p>
              </w:tc>
              <w:tc>
                <w:tcPr>
                  <w:tcW w:w="738" w:type="dxa"/>
                  <w:vAlign w:val="center"/>
                </w:tcPr>
                <w:p w14:paraId="136807D6">
                  <w:pPr>
                    <w:pStyle w:val="40"/>
                    <w:bidi w:val="0"/>
                    <w:rPr>
                      <w:rFonts w:hint="eastAsia"/>
                      <w:lang w:val="en-US" w:eastAsia="zh-CN"/>
                    </w:rPr>
                  </w:pPr>
                  <w:r>
                    <w:rPr>
                      <w:rFonts w:hint="eastAsia"/>
                      <w:lang w:val="en-US" w:eastAsia="zh-CN"/>
                    </w:rPr>
                    <w:t>6</w:t>
                  </w:r>
                </w:p>
              </w:tc>
              <w:tc>
                <w:tcPr>
                  <w:tcW w:w="843" w:type="dxa"/>
                  <w:vAlign w:val="center"/>
                </w:tcPr>
                <w:p w14:paraId="3F36083B">
                  <w:pPr>
                    <w:pStyle w:val="40"/>
                    <w:bidi w:val="0"/>
                    <w:rPr>
                      <w:rFonts w:hint="eastAsia"/>
                      <w:lang w:val="en-US" w:eastAsia="zh-CN"/>
                    </w:rPr>
                  </w:pPr>
                  <w:r>
                    <w:rPr>
                      <w:rFonts w:hint="eastAsia"/>
                      <w:lang w:val="en-US" w:eastAsia="zh-CN"/>
                    </w:rPr>
                    <w:t>/</w:t>
                  </w:r>
                </w:p>
              </w:tc>
              <w:tc>
                <w:tcPr>
                  <w:tcW w:w="1373" w:type="dxa"/>
                  <w:vAlign w:val="center"/>
                </w:tcPr>
                <w:p w14:paraId="4D4DC3C0">
                  <w:pPr>
                    <w:pStyle w:val="40"/>
                    <w:bidi w:val="0"/>
                    <w:rPr>
                      <w:rFonts w:hint="eastAsia"/>
                      <w:lang w:val="en-US" w:eastAsia="zh-CN"/>
                    </w:rPr>
                  </w:pPr>
                  <w:r>
                    <w:rPr>
                      <w:rFonts w:hint="eastAsia"/>
                      <w:lang w:val="en-US" w:eastAsia="zh-CN"/>
                    </w:rPr>
                    <w:t>仓顶自带脉冲式布袋除尘器</w:t>
                  </w:r>
                </w:p>
              </w:tc>
              <w:tc>
                <w:tcPr>
                  <w:tcW w:w="750" w:type="dxa"/>
                  <w:vAlign w:val="center"/>
                </w:tcPr>
                <w:p w14:paraId="31337DC7">
                  <w:pPr>
                    <w:pStyle w:val="40"/>
                    <w:bidi w:val="0"/>
                    <w:rPr>
                      <w:rFonts w:hint="eastAsia"/>
                      <w:lang w:val="en-US" w:eastAsia="zh-CN"/>
                    </w:rPr>
                  </w:pPr>
                  <w:r>
                    <w:rPr>
                      <w:rFonts w:hint="eastAsia"/>
                      <w:lang w:val="en-US" w:eastAsia="zh-CN"/>
                    </w:rPr>
                    <w:t>/</w:t>
                  </w:r>
                </w:p>
              </w:tc>
              <w:tc>
                <w:tcPr>
                  <w:tcW w:w="669" w:type="dxa"/>
                  <w:vAlign w:val="center"/>
                </w:tcPr>
                <w:p w14:paraId="12E9C197">
                  <w:pPr>
                    <w:pStyle w:val="40"/>
                    <w:bidi w:val="0"/>
                    <w:rPr>
                      <w:rFonts w:hint="eastAsia"/>
                      <w:lang w:val="en-US" w:eastAsia="zh-CN"/>
                    </w:rPr>
                  </w:pPr>
                  <w:r>
                    <w:rPr>
                      <w:rFonts w:hint="eastAsia"/>
                      <w:lang w:val="en-US" w:eastAsia="zh-CN"/>
                    </w:rPr>
                    <w:t>100</w:t>
                  </w:r>
                </w:p>
              </w:tc>
              <w:tc>
                <w:tcPr>
                  <w:tcW w:w="704" w:type="dxa"/>
                  <w:vAlign w:val="center"/>
                </w:tcPr>
                <w:p w14:paraId="21BB52B6">
                  <w:pPr>
                    <w:pStyle w:val="40"/>
                    <w:bidi w:val="0"/>
                    <w:rPr>
                      <w:rFonts w:hint="eastAsia"/>
                      <w:lang w:val="en-US" w:eastAsia="zh-CN"/>
                    </w:rPr>
                  </w:pPr>
                  <w:r>
                    <w:rPr>
                      <w:rFonts w:hint="eastAsia"/>
                      <w:lang w:val="en-US" w:eastAsia="zh-CN"/>
                    </w:rPr>
                    <w:t>99.7</w:t>
                  </w:r>
                </w:p>
              </w:tc>
              <w:tc>
                <w:tcPr>
                  <w:tcW w:w="727" w:type="dxa"/>
                  <w:vAlign w:val="center"/>
                </w:tcPr>
                <w:p w14:paraId="1587383C">
                  <w:pPr>
                    <w:pStyle w:val="40"/>
                    <w:bidi w:val="0"/>
                    <w:rPr>
                      <w:rFonts w:hint="eastAsia"/>
                      <w:lang w:val="en-US" w:eastAsia="zh-CN"/>
                    </w:rPr>
                  </w:pPr>
                  <w:r>
                    <w:rPr>
                      <w:rFonts w:hint="eastAsia"/>
                      <w:lang w:val="en-US" w:eastAsia="zh-CN"/>
                    </w:rPr>
                    <w:t>是</w:t>
                  </w:r>
                </w:p>
              </w:tc>
              <w:tc>
                <w:tcPr>
                  <w:tcW w:w="750" w:type="dxa"/>
                  <w:vAlign w:val="center"/>
                </w:tcPr>
                <w:p w14:paraId="3ED65F7E">
                  <w:pPr>
                    <w:pStyle w:val="40"/>
                    <w:bidi w:val="0"/>
                    <w:rPr>
                      <w:rFonts w:hint="eastAsia"/>
                      <w:lang w:val="en-US" w:eastAsia="zh-CN"/>
                    </w:rPr>
                  </w:pPr>
                  <w:r>
                    <w:rPr>
                      <w:rFonts w:hint="eastAsia"/>
                      <w:lang w:val="en-US" w:eastAsia="zh-CN"/>
                    </w:rPr>
                    <w:t>3.89</w:t>
                  </w:r>
                  <w:r>
                    <w:rPr>
                      <w:rFonts w:hint="default" w:ascii="Times New Roman" w:hAnsi="Times New Roman" w:cs="Times New Roman"/>
                      <w:lang w:val="en-US" w:eastAsia="zh-CN"/>
                    </w:rPr>
                    <w:t>×</w:t>
                  </w:r>
                  <w:r>
                    <w:rPr>
                      <w:rFonts w:hint="eastAsia"/>
                      <w:lang w:val="en-US" w:eastAsia="zh-CN"/>
                    </w:rPr>
                    <w:t>10</w:t>
                  </w:r>
                  <w:r>
                    <w:rPr>
                      <w:rFonts w:hint="eastAsia"/>
                      <w:vertAlign w:val="superscript"/>
                      <w:lang w:val="en-US" w:eastAsia="zh-CN"/>
                    </w:rPr>
                    <w:t>-3</w:t>
                  </w:r>
                </w:p>
              </w:tc>
              <w:tc>
                <w:tcPr>
                  <w:tcW w:w="738" w:type="dxa"/>
                  <w:vAlign w:val="center"/>
                </w:tcPr>
                <w:p w14:paraId="06DADB1F">
                  <w:pPr>
                    <w:pStyle w:val="40"/>
                    <w:bidi w:val="0"/>
                    <w:rPr>
                      <w:rFonts w:hint="eastAsia"/>
                      <w:lang w:val="en-US" w:eastAsia="zh-CN"/>
                    </w:rPr>
                  </w:pPr>
                  <w:r>
                    <w:rPr>
                      <w:rFonts w:hint="eastAsia"/>
                      <w:lang w:val="en-US" w:eastAsia="zh-CN"/>
                    </w:rPr>
                    <w:t>0.018</w:t>
                  </w:r>
                </w:p>
              </w:tc>
              <w:tc>
                <w:tcPr>
                  <w:tcW w:w="785" w:type="dxa"/>
                  <w:vAlign w:val="center"/>
                </w:tcPr>
                <w:p w14:paraId="1966D5D6">
                  <w:pPr>
                    <w:pStyle w:val="40"/>
                    <w:bidi w:val="0"/>
                    <w:rPr>
                      <w:rFonts w:hint="eastAsia"/>
                      <w:lang w:val="en-US" w:eastAsia="zh-CN"/>
                    </w:rPr>
                  </w:pPr>
                  <w:r>
                    <w:rPr>
                      <w:rFonts w:hint="eastAsia"/>
                      <w:lang w:val="en-US" w:eastAsia="zh-CN"/>
                    </w:rPr>
                    <w:t>/</w:t>
                  </w:r>
                </w:p>
              </w:tc>
              <w:tc>
                <w:tcPr>
                  <w:tcW w:w="750" w:type="dxa"/>
                  <w:vAlign w:val="center"/>
                </w:tcPr>
                <w:p w14:paraId="7BFB1353">
                  <w:pPr>
                    <w:pStyle w:val="40"/>
                    <w:bidi w:val="0"/>
                    <w:rPr>
                      <w:rFonts w:hint="eastAsia"/>
                      <w:lang w:val="en-US" w:eastAsia="zh-CN"/>
                    </w:rPr>
                  </w:pPr>
                  <w:r>
                    <w:rPr>
                      <w:rFonts w:hint="eastAsia"/>
                      <w:lang w:val="en-US" w:eastAsia="zh-CN"/>
                    </w:rPr>
                    <w:t>/</w:t>
                  </w:r>
                </w:p>
              </w:tc>
              <w:tc>
                <w:tcPr>
                  <w:tcW w:w="776" w:type="dxa"/>
                  <w:vAlign w:val="center"/>
                </w:tcPr>
                <w:p w14:paraId="7B69FAC2">
                  <w:pPr>
                    <w:pStyle w:val="40"/>
                    <w:bidi w:val="0"/>
                    <w:rPr>
                      <w:rFonts w:hint="eastAsia"/>
                      <w:lang w:val="en-US" w:eastAsia="zh-CN"/>
                    </w:rPr>
                  </w:pPr>
                  <w:r>
                    <w:rPr>
                      <w:rFonts w:hint="eastAsia"/>
                      <w:lang w:val="en-US" w:eastAsia="zh-CN"/>
                    </w:rPr>
                    <w:t>0.5</w:t>
                  </w:r>
                </w:p>
              </w:tc>
            </w:tr>
            <w:tr w14:paraId="5252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continue"/>
                  <w:vAlign w:val="center"/>
                </w:tcPr>
                <w:p w14:paraId="63655280">
                  <w:pPr>
                    <w:pStyle w:val="40"/>
                    <w:bidi w:val="0"/>
                    <w:rPr>
                      <w:rFonts w:hint="eastAsia"/>
                      <w:lang w:val="en-US" w:eastAsia="zh-CN"/>
                    </w:rPr>
                  </w:pPr>
                </w:p>
              </w:tc>
              <w:tc>
                <w:tcPr>
                  <w:tcW w:w="900" w:type="dxa"/>
                  <w:vAlign w:val="center"/>
                </w:tcPr>
                <w:p w14:paraId="6F9935C7">
                  <w:pPr>
                    <w:pStyle w:val="40"/>
                    <w:bidi w:val="0"/>
                    <w:rPr>
                      <w:rFonts w:hint="eastAsia"/>
                      <w:lang w:val="en-US" w:eastAsia="zh-CN"/>
                    </w:rPr>
                  </w:pPr>
                  <w:r>
                    <w:rPr>
                      <w:rFonts w:hint="eastAsia"/>
                      <w:lang w:val="en-US" w:eastAsia="zh-CN"/>
                    </w:rPr>
                    <w:t>3#水泥筒仓粉尘</w:t>
                  </w:r>
                </w:p>
              </w:tc>
              <w:tc>
                <w:tcPr>
                  <w:tcW w:w="554" w:type="dxa"/>
                  <w:vMerge w:val="continue"/>
                  <w:vAlign w:val="center"/>
                </w:tcPr>
                <w:p w14:paraId="0D0522AF">
                  <w:pPr>
                    <w:pStyle w:val="40"/>
                    <w:bidi w:val="0"/>
                    <w:rPr>
                      <w:rFonts w:hint="eastAsia"/>
                      <w:lang w:val="en-US" w:eastAsia="zh-CN"/>
                    </w:rPr>
                  </w:pPr>
                </w:p>
              </w:tc>
              <w:tc>
                <w:tcPr>
                  <w:tcW w:w="559" w:type="dxa"/>
                  <w:vMerge w:val="continue"/>
                  <w:vAlign w:val="center"/>
                </w:tcPr>
                <w:p w14:paraId="437D9B54">
                  <w:pPr>
                    <w:pStyle w:val="40"/>
                    <w:bidi w:val="0"/>
                    <w:rPr>
                      <w:rFonts w:hint="eastAsia"/>
                      <w:lang w:val="en-US" w:eastAsia="zh-CN"/>
                    </w:rPr>
                  </w:pPr>
                </w:p>
              </w:tc>
              <w:tc>
                <w:tcPr>
                  <w:tcW w:w="745" w:type="dxa"/>
                  <w:vAlign w:val="center"/>
                </w:tcPr>
                <w:p w14:paraId="2429D48E">
                  <w:pPr>
                    <w:pStyle w:val="40"/>
                    <w:bidi w:val="0"/>
                    <w:rPr>
                      <w:rFonts w:hint="eastAsia"/>
                      <w:lang w:val="en-US" w:eastAsia="zh-CN"/>
                    </w:rPr>
                  </w:pPr>
                  <w:r>
                    <w:rPr>
                      <w:rFonts w:hint="eastAsia"/>
                      <w:lang w:val="en-US" w:eastAsia="zh-CN"/>
                    </w:rPr>
                    <w:t>1.296</w:t>
                  </w:r>
                </w:p>
              </w:tc>
              <w:tc>
                <w:tcPr>
                  <w:tcW w:w="738" w:type="dxa"/>
                  <w:vAlign w:val="center"/>
                </w:tcPr>
                <w:p w14:paraId="1D57CA09">
                  <w:pPr>
                    <w:pStyle w:val="40"/>
                    <w:bidi w:val="0"/>
                    <w:rPr>
                      <w:rFonts w:hint="eastAsia"/>
                      <w:lang w:val="en-US" w:eastAsia="zh-CN"/>
                    </w:rPr>
                  </w:pPr>
                  <w:r>
                    <w:rPr>
                      <w:rFonts w:hint="eastAsia"/>
                      <w:lang w:val="en-US" w:eastAsia="zh-CN"/>
                    </w:rPr>
                    <w:t>6</w:t>
                  </w:r>
                </w:p>
              </w:tc>
              <w:tc>
                <w:tcPr>
                  <w:tcW w:w="843" w:type="dxa"/>
                  <w:vAlign w:val="center"/>
                </w:tcPr>
                <w:p w14:paraId="5B83F228">
                  <w:pPr>
                    <w:pStyle w:val="40"/>
                    <w:bidi w:val="0"/>
                    <w:rPr>
                      <w:rFonts w:hint="eastAsia"/>
                      <w:lang w:val="en-US" w:eastAsia="zh-CN"/>
                    </w:rPr>
                  </w:pPr>
                  <w:r>
                    <w:rPr>
                      <w:rFonts w:hint="eastAsia"/>
                      <w:lang w:val="en-US" w:eastAsia="zh-CN"/>
                    </w:rPr>
                    <w:t>/</w:t>
                  </w:r>
                </w:p>
              </w:tc>
              <w:tc>
                <w:tcPr>
                  <w:tcW w:w="1373" w:type="dxa"/>
                  <w:vAlign w:val="center"/>
                </w:tcPr>
                <w:p w14:paraId="0DF06433">
                  <w:pPr>
                    <w:pStyle w:val="40"/>
                    <w:bidi w:val="0"/>
                    <w:rPr>
                      <w:rFonts w:hint="eastAsia"/>
                      <w:lang w:val="en-US" w:eastAsia="zh-CN"/>
                    </w:rPr>
                  </w:pPr>
                  <w:r>
                    <w:rPr>
                      <w:rFonts w:hint="eastAsia"/>
                      <w:lang w:val="en-US" w:eastAsia="zh-CN"/>
                    </w:rPr>
                    <w:t>仓顶自带脉冲式布袋除尘器</w:t>
                  </w:r>
                </w:p>
              </w:tc>
              <w:tc>
                <w:tcPr>
                  <w:tcW w:w="750" w:type="dxa"/>
                  <w:vAlign w:val="center"/>
                </w:tcPr>
                <w:p w14:paraId="0C4C4776">
                  <w:pPr>
                    <w:pStyle w:val="40"/>
                    <w:bidi w:val="0"/>
                    <w:rPr>
                      <w:rFonts w:hint="eastAsia"/>
                      <w:lang w:val="en-US" w:eastAsia="zh-CN"/>
                    </w:rPr>
                  </w:pPr>
                  <w:r>
                    <w:rPr>
                      <w:rFonts w:hint="eastAsia"/>
                      <w:lang w:val="en-US" w:eastAsia="zh-CN"/>
                    </w:rPr>
                    <w:t>/</w:t>
                  </w:r>
                </w:p>
              </w:tc>
              <w:tc>
                <w:tcPr>
                  <w:tcW w:w="669" w:type="dxa"/>
                  <w:vAlign w:val="center"/>
                </w:tcPr>
                <w:p w14:paraId="17F3E1DF">
                  <w:pPr>
                    <w:pStyle w:val="40"/>
                    <w:bidi w:val="0"/>
                    <w:rPr>
                      <w:rFonts w:hint="eastAsia"/>
                      <w:lang w:val="en-US" w:eastAsia="zh-CN"/>
                    </w:rPr>
                  </w:pPr>
                  <w:r>
                    <w:rPr>
                      <w:rFonts w:hint="eastAsia"/>
                      <w:lang w:val="en-US" w:eastAsia="zh-CN"/>
                    </w:rPr>
                    <w:t>100</w:t>
                  </w:r>
                </w:p>
              </w:tc>
              <w:tc>
                <w:tcPr>
                  <w:tcW w:w="704" w:type="dxa"/>
                  <w:vAlign w:val="center"/>
                </w:tcPr>
                <w:p w14:paraId="5C2C15F2">
                  <w:pPr>
                    <w:pStyle w:val="40"/>
                    <w:bidi w:val="0"/>
                    <w:rPr>
                      <w:rFonts w:hint="eastAsia"/>
                      <w:lang w:val="en-US" w:eastAsia="zh-CN"/>
                    </w:rPr>
                  </w:pPr>
                  <w:r>
                    <w:rPr>
                      <w:rFonts w:hint="eastAsia"/>
                      <w:lang w:val="en-US" w:eastAsia="zh-CN"/>
                    </w:rPr>
                    <w:t>99.7</w:t>
                  </w:r>
                </w:p>
              </w:tc>
              <w:tc>
                <w:tcPr>
                  <w:tcW w:w="727" w:type="dxa"/>
                  <w:vAlign w:val="center"/>
                </w:tcPr>
                <w:p w14:paraId="3C2538A3">
                  <w:pPr>
                    <w:pStyle w:val="40"/>
                    <w:bidi w:val="0"/>
                    <w:rPr>
                      <w:rFonts w:hint="eastAsia"/>
                      <w:lang w:val="en-US" w:eastAsia="zh-CN"/>
                    </w:rPr>
                  </w:pPr>
                  <w:r>
                    <w:rPr>
                      <w:rFonts w:hint="eastAsia"/>
                      <w:lang w:val="en-US" w:eastAsia="zh-CN"/>
                    </w:rPr>
                    <w:t>是</w:t>
                  </w:r>
                </w:p>
              </w:tc>
              <w:tc>
                <w:tcPr>
                  <w:tcW w:w="750" w:type="dxa"/>
                  <w:vAlign w:val="center"/>
                </w:tcPr>
                <w:p w14:paraId="57F9D19C">
                  <w:pPr>
                    <w:pStyle w:val="40"/>
                    <w:bidi w:val="0"/>
                    <w:rPr>
                      <w:rFonts w:hint="eastAsia"/>
                      <w:lang w:val="en-US" w:eastAsia="zh-CN"/>
                    </w:rPr>
                  </w:pPr>
                  <w:r>
                    <w:rPr>
                      <w:rFonts w:hint="eastAsia"/>
                      <w:lang w:val="en-US" w:eastAsia="zh-CN"/>
                    </w:rPr>
                    <w:t>3.89</w:t>
                  </w:r>
                  <w:r>
                    <w:rPr>
                      <w:rFonts w:hint="default" w:ascii="Times New Roman" w:hAnsi="Times New Roman" w:cs="Times New Roman"/>
                      <w:lang w:val="en-US" w:eastAsia="zh-CN"/>
                    </w:rPr>
                    <w:t>×</w:t>
                  </w:r>
                  <w:r>
                    <w:rPr>
                      <w:rFonts w:hint="eastAsia"/>
                      <w:lang w:val="en-US" w:eastAsia="zh-CN"/>
                    </w:rPr>
                    <w:t>10</w:t>
                  </w:r>
                  <w:r>
                    <w:rPr>
                      <w:rFonts w:hint="eastAsia"/>
                      <w:vertAlign w:val="superscript"/>
                      <w:lang w:val="en-US" w:eastAsia="zh-CN"/>
                    </w:rPr>
                    <w:t>-3</w:t>
                  </w:r>
                </w:p>
              </w:tc>
              <w:tc>
                <w:tcPr>
                  <w:tcW w:w="738" w:type="dxa"/>
                  <w:vAlign w:val="center"/>
                </w:tcPr>
                <w:p w14:paraId="20FE96DB">
                  <w:pPr>
                    <w:pStyle w:val="40"/>
                    <w:bidi w:val="0"/>
                    <w:rPr>
                      <w:rFonts w:hint="eastAsia"/>
                      <w:lang w:val="en-US" w:eastAsia="zh-CN"/>
                    </w:rPr>
                  </w:pPr>
                  <w:r>
                    <w:rPr>
                      <w:rFonts w:hint="eastAsia"/>
                      <w:lang w:val="en-US" w:eastAsia="zh-CN"/>
                    </w:rPr>
                    <w:t>0.018</w:t>
                  </w:r>
                </w:p>
              </w:tc>
              <w:tc>
                <w:tcPr>
                  <w:tcW w:w="785" w:type="dxa"/>
                  <w:vAlign w:val="center"/>
                </w:tcPr>
                <w:p w14:paraId="3869E908">
                  <w:pPr>
                    <w:pStyle w:val="40"/>
                    <w:bidi w:val="0"/>
                    <w:rPr>
                      <w:rFonts w:hint="eastAsia"/>
                      <w:lang w:val="en-US" w:eastAsia="zh-CN"/>
                    </w:rPr>
                  </w:pPr>
                  <w:r>
                    <w:rPr>
                      <w:rFonts w:hint="eastAsia"/>
                      <w:lang w:val="en-US" w:eastAsia="zh-CN"/>
                    </w:rPr>
                    <w:t>/</w:t>
                  </w:r>
                </w:p>
              </w:tc>
              <w:tc>
                <w:tcPr>
                  <w:tcW w:w="750" w:type="dxa"/>
                  <w:vAlign w:val="center"/>
                </w:tcPr>
                <w:p w14:paraId="7B5393CD">
                  <w:pPr>
                    <w:pStyle w:val="40"/>
                    <w:bidi w:val="0"/>
                    <w:rPr>
                      <w:rFonts w:hint="eastAsia"/>
                      <w:lang w:val="en-US" w:eastAsia="zh-CN"/>
                    </w:rPr>
                  </w:pPr>
                  <w:r>
                    <w:rPr>
                      <w:rFonts w:hint="eastAsia"/>
                      <w:lang w:val="en-US" w:eastAsia="zh-CN"/>
                    </w:rPr>
                    <w:t>/</w:t>
                  </w:r>
                </w:p>
              </w:tc>
              <w:tc>
                <w:tcPr>
                  <w:tcW w:w="776" w:type="dxa"/>
                  <w:vAlign w:val="center"/>
                </w:tcPr>
                <w:p w14:paraId="0D466A6B">
                  <w:pPr>
                    <w:pStyle w:val="40"/>
                    <w:bidi w:val="0"/>
                    <w:rPr>
                      <w:rFonts w:hint="eastAsia"/>
                      <w:lang w:val="en-US" w:eastAsia="zh-CN"/>
                    </w:rPr>
                  </w:pPr>
                  <w:r>
                    <w:rPr>
                      <w:rFonts w:hint="eastAsia"/>
                      <w:lang w:val="en-US" w:eastAsia="zh-CN"/>
                    </w:rPr>
                    <w:t>0.5</w:t>
                  </w:r>
                </w:p>
              </w:tc>
            </w:tr>
            <w:tr w14:paraId="43E6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41" w:type="dxa"/>
                  <w:vMerge w:val="continue"/>
                  <w:vAlign w:val="center"/>
                </w:tcPr>
                <w:p w14:paraId="3D054211">
                  <w:pPr>
                    <w:pStyle w:val="40"/>
                    <w:bidi w:val="0"/>
                    <w:rPr>
                      <w:rFonts w:hint="eastAsia"/>
                      <w:lang w:val="en-US" w:eastAsia="zh-CN"/>
                    </w:rPr>
                  </w:pPr>
                </w:p>
              </w:tc>
              <w:tc>
                <w:tcPr>
                  <w:tcW w:w="900" w:type="dxa"/>
                  <w:vAlign w:val="center"/>
                </w:tcPr>
                <w:p w14:paraId="08306A02">
                  <w:pPr>
                    <w:pStyle w:val="40"/>
                    <w:bidi w:val="0"/>
                    <w:rPr>
                      <w:rFonts w:hint="eastAsia"/>
                      <w:lang w:val="en-US" w:eastAsia="zh-CN"/>
                    </w:rPr>
                  </w:pPr>
                  <w:r>
                    <w:rPr>
                      <w:rFonts w:hint="eastAsia"/>
                      <w:lang w:val="en-US" w:eastAsia="zh-CN"/>
                    </w:rPr>
                    <w:t>1#粉煤灰筒仓粉尘</w:t>
                  </w:r>
                </w:p>
              </w:tc>
              <w:tc>
                <w:tcPr>
                  <w:tcW w:w="554" w:type="dxa"/>
                  <w:vMerge w:val="continue"/>
                  <w:vAlign w:val="center"/>
                </w:tcPr>
                <w:p w14:paraId="1E5DEA3A">
                  <w:pPr>
                    <w:pStyle w:val="40"/>
                    <w:bidi w:val="0"/>
                    <w:rPr>
                      <w:rFonts w:hint="eastAsia"/>
                      <w:lang w:val="en-US" w:eastAsia="zh-CN"/>
                    </w:rPr>
                  </w:pPr>
                </w:p>
              </w:tc>
              <w:tc>
                <w:tcPr>
                  <w:tcW w:w="559" w:type="dxa"/>
                  <w:vMerge w:val="continue"/>
                  <w:vAlign w:val="center"/>
                </w:tcPr>
                <w:p w14:paraId="4F85BE2A">
                  <w:pPr>
                    <w:pStyle w:val="40"/>
                    <w:bidi w:val="0"/>
                    <w:rPr>
                      <w:rFonts w:hint="eastAsia"/>
                      <w:lang w:val="en-US" w:eastAsia="zh-CN"/>
                    </w:rPr>
                  </w:pPr>
                </w:p>
              </w:tc>
              <w:tc>
                <w:tcPr>
                  <w:tcW w:w="745" w:type="dxa"/>
                  <w:vAlign w:val="center"/>
                </w:tcPr>
                <w:p w14:paraId="19DE10F3">
                  <w:pPr>
                    <w:pStyle w:val="40"/>
                    <w:bidi w:val="0"/>
                    <w:rPr>
                      <w:rFonts w:hint="default"/>
                      <w:lang w:val="en-US" w:eastAsia="zh-CN"/>
                    </w:rPr>
                  </w:pPr>
                  <w:r>
                    <w:rPr>
                      <w:rFonts w:hint="eastAsia"/>
                      <w:lang w:val="en-US" w:eastAsia="zh-CN"/>
                    </w:rPr>
                    <w:t>1.12</w:t>
                  </w:r>
                </w:p>
              </w:tc>
              <w:tc>
                <w:tcPr>
                  <w:tcW w:w="738" w:type="dxa"/>
                  <w:vAlign w:val="center"/>
                </w:tcPr>
                <w:p w14:paraId="57C865FD">
                  <w:pPr>
                    <w:pStyle w:val="40"/>
                    <w:bidi w:val="0"/>
                    <w:rPr>
                      <w:rFonts w:hint="default"/>
                      <w:lang w:val="en-US" w:eastAsia="zh-CN"/>
                    </w:rPr>
                  </w:pPr>
                  <w:r>
                    <w:rPr>
                      <w:rFonts w:hint="eastAsia"/>
                      <w:lang w:val="en-US" w:eastAsia="zh-CN"/>
                    </w:rPr>
                    <w:t>5.99</w:t>
                  </w:r>
                </w:p>
              </w:tc>
              <w:tc>
                <w:tcPr>
                  <w:tcW w:w="843" w:type="dxa"/>
                  <w:vAlign w:val="center"/>
                </w:tcPr>
                <w:p w14:paraId="58CD847B">
                  <w:pPr>
                    <w:pStyle w:val="40"/>
                    <w:bidi w:val="0"/>
                    <w:rPr>
                      <w:rFonts w:hint="eastAsia"/>
                      <w:lang w:val="en-US" w:eastAsia="zh-CN"/>
                    </w:rPr>
                  </w:pPr>
                  <w:r>
                    <w:rPr>
                      <w:rFonts w:hint="eastAsia"/>
                      <w:lang w:val="en-US" w:eastAsia="zh-CN"/>
                    </w:rPr>
                    <w:t>/</w:t>
                  </w:r>
                </w:p>
              </w:tc>
              <w:tc>
                <w:tcPr>
                  <w:tcW w:w="1373" w:type="dxa"/>
                  <w:vAlign w:val="center"/>
                </w:tcPr>
                <w:p w14:paraId="10DCB19C">
                  <w:pPr>
                    <w:pStyle w:val="40"/>
                    <w:bidi w:val="0"/>
                    <w:rPr>
                      <w:rFonts w:hint="eastAsia"/>
                      <w:lang w:val="en-US" w:eastAsia="zh-CN"/>
                    </w:rPr>
                  </w:pPr>
                  <w:r>
                    <w:rPr>
                      <w:rFonts w:hint="eastAsia"/>
                      <w:lang w:val="en-US" w:eastAsia="zh-CN"/>
                    </w:rPr>
                    <w:t>仓顶自带脉冲式布袋除尘器</w:t>
                  </w:r>
                </w:p>
              </w:tc>
              <w:tc>
                <w:tcPr>
                  <w:tcW w:w="750" w:type="dxa"/>
                  <w:vAlign w:val="center"/>
                </w:tcPr>
                <w:p w14:paraId="24A78C7E">
                  <w:pPr>
                    <w:pStyle w:val="40"/>
                    <w:bidi w:val="0"/>
                    <w:rPr>
                      <w:rFonts w:hint="eastAsia"/>
                      <w:lang w:val="en-US" w:eastAsia="zh-CN"/>
                    </w:rPr>
                  </w:pPr>
                  <w:r>
                    <w:rPr>
                      <w:rFonts w:hint="eastAsia"/>
                      <w:lang w:val="en-US" w:eastAsia="zh-CN"/>
                    </w:rPr>
                    <w:t>/</w:t>
                  </w:r>
                </w:p>
              </w:tc>
              <w:tc>
                <w:tcPr>
                  <w:tcW w:w="669" w:type="dxa"/>
                  <w:vAlign w:val="center"/>
                </w:tcPr>
                <w:p w14:paraId="61B929D0">
                  <w:pPr>
                    <w:pStyle w:val="40"/>
                    <w:bidi w:val="0"/>
                    <w:rPr>
                      <w:rFonts w:hint="eastAsia"/>
                      <w:lang w:val="en-US" w:eastAsia="zh-CN"/>
                    </w:rPr>
                  </w:pPr>
                  <w:r>
                    <w:rPr>
                      <w:rFonts w:hint="eastAsia"/>
                      <w:lang w:val="en-US" w:eastAsia="zh-CN"/>
                    </w:rPr>
                    <w:t>100</w:t>
                  </w:r>
                </w:p>
              </w:tc>
              <w:tc>
                <w:tcPr>
                  <w:tcW w:w="704" w:type="dxa"/>
                  <w:vAlign w:val="center"/>
                </w:tcPr>
                <w:p w14:paraId="578661DA">
                  <w:pPr>
                    <w:pStyle w:val="40"/>
                    <w:bidi w:val="0"/>
                    <w:rPr>
                      <w:rFonts w:hint="eastAsia"/>
                      <w:lang w:val="en-US" w:eastAsia="zh-CN"/>
                    </w:rPr>
                  </w:pPr>
                  <w:r>
                    <w:rPr>
                      <w:rFonts w:hint="eastAsia"/>
                      <w:lang w:val="en-US" w:eastAsia="zh-CN"/>
                    </w:rPr>
                    <w:t>99.7</w:t>
                  </w:r>
                </w:p>
              </w:tc>
              <w:tc>
                <w:tcPr>
                  <w:tcW w:w="727" w:type="dxa"/>
                  <w:vAlign w:val="center"/>
                </w:tcPr>
                <w:p w14:paraId="721969DA">
                  <w:pPr>
                    <w:pStyle w:val="40"/>
                    <w:bidi w:val="0"/>
                    <w:rPr>
                      <w:rFonts w:hint="eastAsia"/>
                      <w:lang w:val="en-US" w:eastAsia="zh-CN"/>
                    </w:rPr>
                  </w:pPr>
                  <w:r>
                    <w:rPr>
                      <w:rFonts w:hint="eastAsia"/>
                      <w:lang w:val="en-US" w:eastAsia="zh-CN"/>
                    </w:rPr>
                    <w:t>是</w:t>
                  </w:r>
                </w:p>
              </w:tc>
              <w:tc>
                <w:tcPr>
                  <w:tcW w:w="750" w:type="dxa"/>
                  <w:vAlign w:val="center"/>
                </w:tcPr>
                <w:p w14:paraId="0C3CCC0F">
                  <w:pPr>
                    <w:pStyle w:val="40"/>
                    <w:bidi w:val="0"/>
                    <w:rPr>
                      <w:rFonts w:hint="eastAsia"/>
                      <w:lang w:val="en-US" w:eastAsia="zh-CN"/>
                    </w:rPr>
                  </w:pPr>
                  <w:r>
                    <w:rPr>
                      <w:rFonts w:hint="eastAsia"/>
                      <w:lang w:val="en-US" w:eastAsia="zh-CN"/>
                    </w:rPr>
                    <w:t>3.36</w:t>
                  </w:r>
                  <w:r>
                    <w:rPr>
                      <w:rFonts w:hint="default" w:ascii="Times New Roman" w:hAnsi="Times New Roman" w:cs="Times New Roman"/>
                      <w:lang w:val="en-US" w:eastAsia="zh-CN"/>
                    </w:rPr>
                    <w:t>×</w:t>
                  </w:r>
                  <w:r>
                    <w:rPr>
                      <w:rFonts w:hint="eastAsia"/>
                      <w:lang w:val="en-US" w:eastAsia="zh-CN"/>
                    </w:rPr>
                    <w:t>10</w:t>
                  </w:r>
                  <w:r>
                    <w:rPr>
                      <w:rFonts w:hint="eastAsia"/>
                      <w:vertAlign w:val="superscript"/>
                      <w:lang w:val="en-US" w:eastAsia="zh-CN"/>
                    </w:rPr>
                    <w:t>-3</w:t>
                  </w:r>
                </w:p>
              </w:tc>
              <w:tc>
                <w:tcPr>
                  <w:tcW w:w="738" w:type="dxa"/>
                  <w:vAlign w:val="center"/>
                </w:tcPr>
                <w:p w14:paraId="04A27781">
                  <w:pPr>
                    <w:pStyle w:val="40"/>
                    <w:bidi w:val="0"/>
                    <w:rPr>
                      <w:rFonts w:hint="default"/>
                      <w:lang w:val="en-US" w:eastAsia="zh-CN"/>
                    </w:rPr>
                  </w:pPr>
                  <w:r>
                    <w:rPr>
                      <w:rFonts w:hint="eastAsia"/>
                      <w:lang w:val="en-US" w:eastAsia="zh-CN"/>
                    </w:rPr>
                    <w:t>0.018</w:t>
                  </w:r>
                </w:p>
              </w:tc>
              <w:tc>
                <w:tcPr>
                  <w:tcW w:w="785" w:type="dxa"/>
                  <w:vAlign w:val="center"/>
                </w:tcPr>
                <w:p w14:paraId="7F9DCFF0">
                  <w:pPr>
                    <w:pStyle w:val="40"/>
                    <w:bidi w:val="0"/>
                    <w:rPr>
                      <w:rFonts w:hint="eastAsia"/>
                      <w:lang w:val="en-US" w:eastAsia="zh-CN"/>
                    </w:rPr>
                  </w:pPr>
                  <w:r>
                    <w:rPr>
                      <w:rFonts w:hint="eastAsia"/>
                      <w:lang w:val="en-US" w:eastAsia="zh-CN"/>
                    </w:rPr>
                    <w:t>/</w:t>
                  </w:r>
                </w:p>
              </w:tc>
              <w:tc>
                <w:tcPr>
                  <w:tcW w:w="750" w:type="dxa"/>
                  <w:vAlign w:val="center"/>
                </w:tcPr>
                <w:p w14:paraId="7FC9EE85">
                  <w:pPr>
                    <w:pStyle w:val="40"/>
                    <w:bidi w:val="0"/>
                    <w:rPr>
                      <w:rFonts w:hint="eastAsia"/>
                      <w:lang w:val="en-US" w:eastAsia="zh-CN"/>
                    </w:rPr>
                  </w:pPr>
                  <w:r>
                    <w:rPr>
                      <w:rFonts w:hint="eastAsia"/>
                      <w:lang w:val="en-US" w:eastAsia="zh-CN"/>
                    </w:rPr>
                    <w:t>/</w:t>
                  </w:r>
                </w:p>
              </w:tc>
              <w:tc>
                <w:tcPr>
                  <w:tcW w:w="776" w:type="dxa"/>
                  <w:vAlign w:val="center"/>
                </w:tcPr>
                <w:p w14:paraId="206A802A">
                  <w:pPr>
                    <w:pStyle w:val="40"/>
                    <w:bidi w:val="0"/>
                    <w:rPr>
                      <w:rFonts w:hint="eastAsia"/>
                      <w:lang w:val="en-US" w:eastAsia="zh-CN"/>
                    </w:rPr>
                  </w:pPr>
                  <w:r>
                    <w:rPr>
                      <w:rFonts w:hint="eastAsia"/>
                      <w:lang w:val="en-US" w:eastAsia="zh-CN"/>
                    </w:rPr>
                    <w:t>0.5</w:t>
                  </w:r>
                </w:p>
              </w:tc>
            </w:tr>
            <w:tr w14:paraId="38C4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641" w:type="dxa"/>
                  <w:vMerge w:val="continue"/>
                  <w:vAlign w:val="center"/>
                </w:tcPr>
                <w:p w14:paraId="52A65190">
                  <w:pPr>
                    <w:pStyle w:val="40"/>
                    <w:bidi w:val="0"/>
                    <w:rPr>
                      <w:rFonts w:hint="eastAsia"/>
                      <w:lang w:val="en-US" w:eastAsia="zh-CN"/>
                    </w:rPr>
                  </w:pPr>
                </w:p>
              </w:tc>
              <w:tc>
                <w:tcPr>
                  <w:tcW w:w="900" w:type="dxa"/>
                  <w:vAlign w:val="center"/>
                </w:tcPr>
                <w:p w14:paraId="52B45A61">
                  <w:pPr>
                    <w:pStyle w:val="40"/>
                    <w:bidi w:val="0"/>
                    <w:rPr>
                      <w:rFonts w:hint="eastAsia"/>
                      <w:lang w:val="en-US" w:eastAsia="zh-CN"/>
                    </w:rPr>
                  </w:pPr>
                  <w:r>
                    <w:rPr>
                      <w:rFonts w:hint="eastAsia"/>
                      <w:lang w:val="en-US" w:eastAsia="zh-CN"/>
                    </w:rPr>
                    <w:t>2#粉煤灰筒仓粉尘</w:t>
                  </w:r>
                </w:p>
              </w:tc>
              <w:tc>
                <w:tcPr>
                  <w:tcW w:w="554" w:type="dxa"/>
                  <w:vMerge w:val="continue"/>
                  <w:vAlign w:val="center"/>
                </w:tcPr>
                <w:p w14:paraId="39BEA7E5">
                  <w:pPr>
                    <w:pStyle w:val="40"/>
                    <w:bidi w:val="0"/>
                    <w:rPr>
                      <w:rFonts w:hint="eastAsia"/>
                      <w:lang w:val="en-US" w:eastAsia="zh-CN"/>
                    </w:rPr>
                  </w:pPr>
                </w:p>
              </w:tc>
              <w:tc>
                <w:tcPr>
                  <w:tcW w:w="559" w:type="dxa"/>
                  <w:vMerge w:val="continue"/>
                  <w:vAlign w:val="center"/>
                </w:tcPr>
                <w:p w14:paraId="703FAD99">
                  <w:pPr>
                    <w:pStyle w:val="40"/>
                    <w:bidi w:val="0"/>
                    <w:rPr>
                      <w:rFonts w:hint="eastAsia"/>
                      <w:lang w:val="en-US" w:eastAsia="zh-CN"/>
                    </w:rPr>
                  </w:pPr>
                </w:p>
              </w:tc>
              <w:tc>
                <w:tcPr>
                  <w:tcW w:w="745" w:type="dxa"/>
                  <w:vAlign w:val="center"/>
                </w:tcPr>
                <w:p w14:paraId="682DEC26">
                  <w:pPr>
                    <w:pStyle w:val="40"/>
                    <w:bidi w:val="0"/>
                    <w:rPr>
                      <w:rFonts w:hint="eastAsia"/>
                      <w:lang w:val="en-US" w:eastAsia="zh-CN"/>
                    </w:rPr>
                  </w:pPr>
                  <w:r>
                    <w:rPr>
                      <w:rFonts w:hint="eastAsia"/>
                      <w:lang w:val="en-US" w:eastAsia="zh-CN"/>
                    </w:rPr>
                    <w:t>1.12</w:t>
                  </w:r>
                </w:p>
              </w:tc>
              <w:tc>
                <w:tcPr>
                  <w:tcW w:w="738" w:type="dxa"/>
                  <w:vAlign w:val="center"/>
                </w:tcPr>
                <w:p w14:paraId="1E2CAB05">
                  <w:pPr>
                    <w:pStyle w:val="40"/>
                    <w:bidi w:val="0"/>
                    <w:rPr>
                      <w:rFonts w:hint="eastAsia"/>
                      <w:lang w:val="en-US" w:eastAsia="zh-CN"/>
                    </w:rPr>
                  </w:pPr>
                  <w:r>
                    <w:rPr>
                      <w:rFonts w:hint="eastAsia"/>
                      <w:lang w:val="en-US" w:eastAsia="zh-CN"/>
                    </w:rPr>
                    <w:t>5.99</w:t>
                  </w:r>
                </w:p>
              </w:tc>
              <w:tc>
                <w:tcPr>
                  <w:tcW w:w="843" w:type="dxa"/>
                  <w:vAlign w:val="center"/>
                </w:tcPr>
                <w:p w14:paraId="20DEAFEC">
                  <w:pPr>
                    <w:pStyle w:val="40"/>
                    <w:bidi w:val="0"/>
                    <w:rPr>
                      <w:rFonts w:hint="eastAsia"/>
                      <w:lang w:val="en-US" w:eastAsia="zh-CN"/>
                    </w:rPr>
                  </w:pPr>
                  <w:r>
                    <w:rPr>
                      <w:rFonts w:hint="eastAsia"/>
                      <w:lang w:val="en-US" w:eastAsia="zh-CN"/>
                    </w:rPr>
                    <w:t>/</w:t>
                  </w:r>
                </w:p>
              </w:tc>
              <w:tc>
                <w:tcPr>
                  <w:tcW w:w="1373" w:type="dxa"/>
                  <w:vAlign w:val="center"/>
                </w:tcPr>
                <w:p w14:paraId="52031BDD">
                  <w:pPr>
                    <w:pStyle w:val="40"/>
                    <w:bidi w:val="0"/>
                    <w:rPr>
                      <w:rFonts w:hint="eastAsia"/>
                      <w:lang w:val="en-US" w:eastAsia="zh-CN"/>
                    </w:rPr>
                  </w:pPr>
                  <w:r>
                    <w:rPr>
                      <w:rFonts w:hint="eastAsia"/>
                      <w:lang w:val="en-US" w:eastAsia="zh-CN"/>
                    </w:rPr>
                    <w:t>仓顶自带脉冲式布袋除尘器</w:t>
                  </w:r>
                </w:p>
              </w:tc>
              <w:tc>
                <w:tcPr>
                  <w:tcW w:w="750" w:type="dxa"/>
                  <w:vAlign w:val="center"/>
                </w:tcPr>
                <w:p w14:paraId="586C54DA">
                  <w:pPr>
                    <w:pStyle w:val="40"/>
                    <w:bidi w:val="0"/>
                    <w:rPr>
                      <w:rFonts w:hint="eastAsia"/>
                      <w:lang w:val="en-US" w:eastAsia="zh-CN"/>
                    </w:rPr>
                  </w:pPr>
                  <w:r>
                    <w:rPr>
                      <w:rFonts w:hint="eastAsia"/>
                      <w:lang w:val="en-US" w:eastAsia="zh-CN"/>
                    </w:rPr>
                    <w:t>/</w:t>
                  </w:r>
                </w:p>
              </w:tc>
              <w:tc>
                <w:tcPr>
                  <w:tcW w:w="669" w:type="dxa"/>
                  <w:vAlign w:val="center"/>
                </w:tcPr>
                <w:p w14:paraId="23DA4F57">
                  <w:pPr>
                    <w:pStyle w:val="40"/>
                    <w:bidi w:val="0"/>
                    <w:rPr>
                      <w:rFonts w:hint="eastAsia"/>
                      <w:lang w:val="en-US" w:eastAsia="zh-CN"/>
                    </w:rPr>
                  </w:pPr>
                  <w:r>
                    <w:rPr>
                      <w:rFonts w:hint="eastAsia"/>
                      <w:lang w:val="en-US" w:eastAsia="zh-CN"/>
                    </w:rPr>
                    <w:t>100</w:t>
                  </w:r>
                </w:p>
              </w:tc>
              <w:tc>
                <w:tcPr>
                  <w:tcW w:w="704" w:type="dxa"/>
                  <w:vAlign w:val="center"/>
                </w:tcPr>
                <w:p w14:paraId="67D5426D">
                  <w:pPr>
                    <w:pStyle w:val="40"/>
                    <w:bidi w:val="0"/>
                    <w:rPr>
                      <w:rFonts w:hint="eastAsia"/>
                      <w:lang w:val="en-US" w:eastAsia="zh-CN"/>
                    </w:rPr>
                  </w:pPr>
                  <w:r>
                    <w:rPr>
                      <w:rFonts w:hint="eastAsia"/>
                      <w:lang w:val="en-US" w:eastAsia="zh-CN"/>
                    </w:rPr>
                    <w:t>99.7</w:t>
                  </w:r>
                </w:p>
              </w:tc>
              <w:tc>
                <w:tcPr>
                  <w:tcW w:w="727" w:type="dxa"/>
                  <w:vAlign w:val="center"/>
                </w:tcPr>
                <w:p w14:paraId="29E1E02A">
                  <w:pPr>
                    <w:pStyle w:val="40"/>
                    <w:bidi w:val="0"/>
                    <w:rPr>
                      <w:rFonts w:hint="eastAsia"/>
                      <w:lang w:val="en-US" w:eastAsia="zh-CN"/>
                    </w:rPr>
                  </w:pPr>
                  <w:r>
                    <w:rPr>
                      <w:rFonts w:hint="eastAsia"/>
                      <w:lang w:val="en-US" w:eastAsia="zh-CN"/>
                    </w:rPr>
                    <w:t>是</w:t>
                  </w:r>
                </w:p>
              </w:tc>
              <w:tc>
                <w:tcPr>
                  <w:tcW w:w="750" w:type="dxa"/>
                  <w:vAlign w:val="center"/>
                </w:tcPr>
                <w:p w14:paraId="5DE3B418">
                  <w:pPr>
                    <w:pStyle w:val="40"/>
                    <w:bidi w:val="0"/>
                    <w:rPr>
                      <w:rFonts w:hint="eastAsia"/>
                      <w:lang w:val="en-US" w:eastAsia="zh-CN"/>
                    </w:rPr>
                  </w:pPr>
                  <w:r>
                    <w:rPr>
                      <w:rFonts w:hint="eastAsia"/>
                      <w:lang w:val="en-US" w:eastAsia="zh-CN"/>
                    </w:rPr>
                    <w:t>3.36</w:t>
                  </w:r>
                  <w:r>
                    <w:rPr>
                      <w:rFonts w:hint="default" w:ascii="Times New Roman" w:hAnsi="Times New Roman" w:cs="Times New Roman"/>
                      <w:lang w:val="en-US" w:eastAsia="zh-CN"/>
                    </w:rPr>
                    <w:t>×</w:t>
                  </w:r>
                  <w:r>
                    <w:rPr>
                      <w:rFonts w:hint="eastAsia"/>
                      <w:lang w:val="en-US" w:eastAsia="zh-CN"/>
                    </w:rPr>
                    <w:t>10</w:t>
                  </w:r>
                  <w:r>
                    <w:rPr>
                      <w:rFonts w:hint="eastAsia"/>
                      <w:vertAlign w:val="superscript"/>
                      <w:lang w:val="en-US" w:eastAsia="zh-CN"/>
                    </w:rPr>
                    <w:t>-3</w:t>
                  </w:r>
                </w:p>
              </w:tc>
              <w:tc>
                <w:tcPr>
                  <w:tcW w:w="738" w:type="dxa"/>
                  <w:vAlign w:val="center"/>
                </w:tcPr>
                <w:p w14:paraId="2436E510">
                  <w:pPr>
                    <w:pStyle w:val="40"/>
                    <w:bidi w:val="0"/>
                    <w:rPr>
                      <w:rFonts w:hint="eastAsia"/>
                      <w:lang w:val="en-US" w:eastAsia="zh-CN"/>
                    </w:rPr>
                  </w:pPr>
                  <w:r>
                    <w:rPr>
                      <w:rFonts w:hint="eastAsia"/>
                      <w:lang w:val="en-US" w:eastAsia="zh-CN"/>
                    </w:rPr>
                    <w:t>0.018</w:t>
                  </w:r>
                </w:p>
              </w:tc>
              <w:tc>
                <w:tcPr>
                  <w:tcW w:w="785" w:type="dxa"/>
                  <w:vAlign w:val="center"/>
                </w:tcPr>
                <w:p w14:paraId="7F05514E">
                  <w:pPr>
                    <w:pStyle w:val="40"/>
                    <w:bidi w:val="0"/>
                    <w:rPr>
                      <w:rFonts w:hint="eastAsia"/>
                      <w:lang w:val="en-US" w:eastAsia="zh-CN"/>
                    </w:rPr>
                  </w:pPr>
                  <w:r>
                    <w:rPr>
                      <w:rFonts w:hint="eastAsia"/>
                      <w:lang w:val="en-US" w:eastAsia="zh-CN"/>
                    </w:rPr>
                    <w:t>/</w:t>
                  </w:r>
                </w:p>
              </w:tc>
              <w:tc>
                <w:tcPr>
                  <w:tcW w:w="750" w:type="dxa"/>
                  <w:vAlign w:val="center"/>
                </w:tcPr>
                <w:p w14:paraId="11A3A5E0">
                  <w:pPr>
                    <w:pStyle w:val="40"/>
                    <w:bidi w:val="0"/>
                    <w:rPr>
                      <w:rFonts w:hint="eastAsia"/>
                      <w:lang w:val="en-US" w:eastAsia="zh-CN"/>
                    </w:rPr>
                  </w:pPr>
                  <w:r>
                    <w:rPr>
                      <w:rFonts w:hint="eastAsia"/>
                      <w:lang w:val="en-US" w:eastAsia="zh-CN"/>
                    </w:rPr>
                    <w:t>/</w:t>
                  </w:r>
                </w:p>
              </w:tc>
              <w:tc>
                <w:tcPr>
                  <w:tcW w:w="776" w:type="dxa"/>
                  <w:vAlign w:val="center"/>
                </w:tcPr>
                <w:p w14:paraId="4321AEF4">
                  <w:pPr>
                    <w:pStyle w:val="40"/>
                    <w:bidi w:val="0"/>
                    <w:rPr>
                      <w:rFonts w:hint="eastAsia"/>
                      <w:lang w:val="en-US" w:eastAsia="zh-CN"/>
                    </w:rPr>
                  </w:pPr>
                  <w:r>
                    <w:rPr>
                      <w:rFonts w:hint="eastAsia"/>
                      <w:lang w:val="en-US" w:eastAsia="zh-CN"/>
                    </w:rPr>
                    <w:t>0.5</w:t>
                  </w:r>
                </w:p>
              </w:tc>
            </w:tr>
            <w:tr w14:paraId="1FD38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641" w:type="dxa"/>
                  <w:vMerge w:val="continue"/>
                  <w:vAlign w:val="center"/>
                </w:tcPr>
                <w:p w14:paraId="7E891F22">
                  <w:pPr>
                    <w:pStyle w:val="40"/>
                    <w:bidi w:val="0"/>
                    <w:rPr>
                      <w:rFonts w:hint="eastAsia"/>
                      <w:lang w:val="en-US" w:eastAsia="zh-CN"/>
                    </w:rPr>
                  </w:pPr>
                </w:p>
              </w:tc>
              <w:tc>
                <w:tcPr>
                  <w:tcW w:w="900" w:type="dxa"/>
                  <w:vAlign w:val="center"/>
                </w:tcPr>
                <w:p w14:paraId="6BCFDF6C">
                  <w:pPr>
                    <w:pStyle w:val="40"/>
                    <w:bidi w:val="0"/>
                    <w:rPr>
                      <w:rFonts w:hint="eastAsia"/>
                      <w:lang w:val="en-US" w:eastAsia="zh-CN"/>
                    </w:rPr>
                  </w:pPr>
                  <w:r>
                    <w:rPr>
                      <w:rFonts w:hint="eastAsia"/>
                      <w:lang w:val="en-US" w:eastAsia="zh-CN"/>
                    </w:rPr>
                    <w:t>3#粉煤灰筒仓粉尘</w:t>
                  </w:r>
                </w:p>
              </w:tc>
              <w:tc>
                <w:tcPr>
                  <w:tcW w:w="554" w:type="dxa"/>
                  <w:vMerge w:val="continue"/>
                  <w:vAlign w:val="center"/>
                </w:tcPr>
                <w:p w14:paraId="2062106B">
                  <w:pPr>
                    <w:pStyle w:val="40"/>
                    <w:bidi w:val="0"/>
                    <w:rPr>
                      <w:rFonts w:hint="eastAsia"/>
                      <w:lang w:val="en-US" w:eastAsia="zh-CN"/>
                    </w:rPr>
                  </w:pPr>
                </w:p>
              </w:tc>
              <w:tc>
                <w:tcPr>
                  <w:tcW w:w="559" w:type="dxa"/>
                  <w:vMerge w:val="continue"/>
                  <w:vAlign w:val="center"/>
                </w:tcPr>
                <w:p w14:paraId="27536301">
                  <w:pPr>
                    <w:pStyle w:val="40"/>
                    <w:bidi w:val="0"/>
                    <w:rPr>
                      <w:rFonts w:hint="eastAsia"/>
                      <w:lang w:val="en-US" w:eastAsia="zh-CN"/>
                    </w:rPr>
                  </w:pPr>
                </w:p>
              </w:tc>
              <w:tc>
                <w:tcPr>
                  <w:tcW w:w="745" w:type="dxa"/>
                  <w:vAlign w:val="center"/>
                </w:tcPr>
                <w:p w14:paraId="4278FBCD">
                  <w:pPr>
                    <w:pStyle w:val="40"/>
                    <w:bidi w:val="0"/>
                    <w:rPr>
                      <w:rFonts w:hint="eastAsia"/>
                      <w:lang w:val="en-US" w:eastAsia="zh-CN"/>
                    </w:rPr>
                  </w:pPr>
                  <w:r>
                    <w:rPr>
                      <w:rFonts w:hint="eastAsia"/>
                      <w:lang w:val="en-US" w:eastAsia="zh-CN"/>
                    </w:rPr>
                    <w:t>1.12</w:t>
                  </w:r>
                </w:p>
              </w:tc>
              <w:tc>
                <w:tcPr>
                  <w:tcW w:w="738" w:type="dxa"/>
                  <w:vAlign w:val="center"/>
                </w:tcPr>
                <w:p w14:paraId="5AB30C15">
                  <w:pPr>
                    <w:pStyle w:val="40"/>
                    <w:bidi w:val="0"/>
                    <w:rPr>
                      <w:rFonts w:hint="eastAsia"/>
                      <w:lang w:val="en-US" w:eastAsia="zh-CN"/>
                    </w:rPr>
                  </w:pPr>
                  <w:r>
                    <w:rPr>
                      <w:rFonts w:hint="eastAsia"/>
                      <w:lang w:val="en-US" w:eastAsia="zh-CN"/>
                    </w:rPr>
                    <w:t>5.99</w:t>
                  </w:r>
                </w:p>
              </w:tc>
              <w:tc>
                <w:tcPr>
                  <w:tcW w:w="843" w:type="dxa"/>
                  <w:vAlign w:val="center"/>
                </w:tcPr>
                <w:p w14:paraId="75753CA6">
                  <w:pPr>
                    <w:pStyle w:val="40"/>
                    <w:bidi w:val="0"/>
                    <w:rPr>
                      <w:rFonts w:hint="eastAsia"/>
                      <w:lang w:val="en-US" w:eastAsia="zh-CN"/>
                    </w:rPr>
                  </w:pPr>
                  <w:r>
                    <w:rPr>
                      <w:rFonts w:hint="eastAsia"/>
                      <w:lang w:val="en-US" w:eastAsia="zh-CN"/>
                    </w:rPr>
                    <w:t>/</w:t>
                  </w:r>
                </w:p>
              </w:tc>
              <w:tc>
                <w:tcPr>
                  <w:tcW w:w="1373" w:type="dxa"/>
                  <w:vAlign w:val="center"/>
                </w:tcPr>
                <w:p w14:paraId="62E91A42">
                  <w:pPr>
                    <w:pStyle w:val="40"/>
                    <w:bidi w:val="0"/>
                    <w:rPr>
                      <w:rFonts w:hint="eastAsia"/>
                      <w:lang w:val="en-US" w:eastAsia="zh-CN"/>
                    </w:rPr>
                  </w:pPr>
                  <w:r>
                    <w:rPr>
                      <w:rFonts w:hint="eastAsia"/>
                      <w:lang w:val="en-US" w:eastAsia="zh-CN"/>
                    </w:rPr>
                    <w:t>仓顶自带脉冲式布袋除尘器</w:t>
                  </w:r>
                </w:p>
              </w:tc>
              <w:tc>
                <w:tcPr>
                  <w:tcW w:w="750" w:type="dxa"/>
                  <w:vAlign w:val="center"/>
                </w:tcPr>
                <w:p w14:paraId="07D0675B">
                  <w:pPr>
                    <w:pStyle w:val="40"/>
                    <w:bidi w:val="0"/>
                    <w:rPr>
                      <w:rFonts w:hint="eastAsia"/>
                      <w:lang w:val="en-US" w:eastAsia="zh-CN"/>
                    </w:rPr>
                  </w:pPr>
                  <w:r>
                    <w:rPr>
                      <w:rFonts w:hint="eastAsia"/>
                      <w:lang w:val="en-US" w:eastAsia="zh-CN"/>
                    </w:rPr>
                    <w:t>/</w:t>
                  </w:r>
                </w:p>
              </w:tc>
              <w:tc>
                <w:tcPr>
                  <w:tcW w:w="669" w:type="dxa"/>
                  <w:vAlign w:val="center"/>
                </w:tcPr>
                <w:p w14:paraId="0D8ABAE5">
                  <w:pPr>
                    <w:pStyle w:val="40"/>
                    <w:bidi w:val="0"/>
                    <w:rPr>
                      <w:rFonts w:hint="eastAsia"/>
                      <w:lang w:val="en-US" w:eastAsia="zh-CN"/>
                    </w:rPr>
                  </w:pPr>
                  <w:r>
                    <w:rPr>
                      <w:rFonts w:hint="eastAsia"/>
                      <w:lang w:val="en-US" w:eastAsia="zh-CN"/>
                    </w:rPr>
                    <w:t>100</w:t>
                  </w:r>
                </w:p>
              </w:tc>
              <w:tc>
                <w:tcPr>
                  <w:tcW w:w="704" w:type="dxa"/>
                  <w:vAlign w:val="center"/>
                </w:tcPr>
                <w:p w14:paraId="51F2DE6D">
                  <w:pPr>
                    <w:pStyle w:val="40"/>
                    <w:bidi w:val="0"/>
                    <w:rPr>
                      <w:rFonts w:hint="eastAsia"/>
                      <w:lang w:val="en-US" w:eastAsia="zh-CN"/>
                    </w:rPr>
                  </w:pPr>
                  <w:r>
                    <w:rPr>
                      <w:rFonts w:hint="eastAsia"/>
                      <w:lang w:val="en-US" w:eastAsia="zh-CN"/>
                    </w:rPr>
                    <w:t>99.7</w:t>
                  </w:r>
                </w:p>
              </w:tc>
              <w:tc>
                <w:tcPr>
                  <w:tcW w:w="727" w:type="dxa"/>
                  <w:vAlign w:val="center"/>
                </w:tcPr>
                <w:p w14:paraId="251BBFE5">
                  <w:pPr>
                    <w:pStyle w:val="40"/>
                    <w:bidi w:val="0"/>
                    <w:rPr>
                      <w:rFonts w:hint="eastAsia"/>
                      <w:lang w:val="en-US" w:eastAsia="zh-CN"/>
                    </w:rPr>
                  </w:pPr>
                  <w:r>
                    <w:rPr>
                      <w:rFonts w:hint="eastAsia"/>
                      <w:lang w:val="en-US" w:eastAsia="zh-CN"/>
                    </w:rPr>
                    <w:t>是</w:t>
                  </w:r>
                </w:p>
              </w:tc>
              <w:tc>
                <w:tcPr>
                  <w:tcW w:w="750" w:type="dxa"/>
                  <w:vAlign w:val="center"/>
                </w:tcPr>
                <w:p w14:paraId="27E3DBDB">
                  <w:pPr>
                    <w:pStyle w:val="40"/>
                    <w:bidi w:val="0"/>
                    <w:rPr>
                      <w:rFonts w:hint="eastAsia"/>
                      <w:lang w:val="en-US" w:eastAsia="zh-CN"/>
                    </w:rPr>
                  </w:pPr>
                  <w:r>
                    <w:rPr>
                      <w:rFonts w:hint="eastAsia"/>
                      <w:lang w:val="en-US" w:eastAsia="zh-CN"/>
                    </w:rPr>
                    <w:t>3.36</w:t>
                  </w:r>
                  <w:r>
                    <w:rPr>
                      <w:rFonts w:hint="default" w:ascii="Times New Roman" w:hAnsi="Times New Roman" w:cs="Times New Roman"/>
                      <w:lang w:val="en-US" w:eastAsia="zh-CN"/>
                    </w:rPr>
                    <w:t>×</w:t>
                  </w:r>
                  <w:r>
                    <w:rPr>
                      <w:rFonts w:hint="eastAsia"/>
                      <w:lang w:val="en-US" w:eastAsia="zh-CN"/>
                    </w:rPr>
                    <w:t>10</w:t>
                  </w:r>
                  <w:r>
                    <w:rPr>
                      <w:rFonts w:hint="eastAsia"/>
                      <w:vertAlign w:val="superscript"/>
                      <w:lang w:val="en-US" w:eastAsia="zh-CN"/>
                    </w:rPr>
                    <w:t>-3</w:t>
                  </w:r>
                </w:p>
              </w:tc>
              <w:tc>
                <w:tcPr>
                  <w:tcW w:w="738" w:type="dxa"/>
                  <w:vAlign w:val="center"/>
                </w:tcPr>
                <w:p w14:paraId="10A3D03E">
                  <w:pPr>
                    <w:pStyle w:val="40"/>
                    <w:bidi w:val="0"/>
                    <w:rPr>
                      <w:rFonts w:hint="eastAsia"/>
                      <w:lang w:val="en-US" w:eastAsia="zh-CN"/>
                    </w:rPr>
                  </w:pPr>
                  <w:r>
                    <w:rPr>
                      <w:rFonts w:hint="eastAsia"/>
                      <w:lang w:val="en-US" w:eastAsia="zh-CN"/>
                    </w:rPr>
                    <w:t>0.018</w:t>
                  </w:r>
                </w:p>
              </w:tc>
              <w:tc>
                <w:tcPr>
                  <w:tcW w:w="785" w:type="dxa"/>
                  <w:vAlign w:val="center"/>
                </w:tcPr>
                <w:p w14:paraId="755613CB">
                  <w:pPr>
                    <w:pStyle w:val="40"/>
                    <w:bidi w:val="0"/>
                    <w:rPr>
                      <w:rFonts w:hint="eastAsia"/>
                      <w:lang w:val="en-US" w:eastAsia="zh-CN"/>
                    </w:rPr>
                  </w:pPr>
                  <w:r>
                    <w:rPr>
                      <w:rFonts w:hint="eastAsia"/>
                      <w:lang w:val="en-US" w:eastAsia="zh-CN"/>
                    </w:rPr>
                    <w:t>/</w:t>
                  </w:r>
                </w:p>
              </w:tc>
              <w:tc>
                <w:tcPr>
                  <w:tcW w:w="750" w:type="dxa"/>
                  <w:vAlign w:val="center"/>
                </w:tcPr>
                <w:p w14:paraId="3F1BC9B1">
                  <w:pPr>
                    <w:pStyle w:val="40"/>
                    <w:bidi w:val="0"/>
                    <w:rPr>
                      <w:rFonts w:hint="eastAsia"/>
                      <w:lang w:val="en-US" w:eastAsia="zh-CN"/>
                    </w:rPr>
                  </w:pPr>
                  <w:r>
                    <w:rPr>
                      <w:rFonts w:hint="eastAsia"/>
                      <w:lang w:val="en-US" w:eastAsia="zh-CN"/>
                    </w:rPr>
                    <w:t>/</w:t>
                  </w:r>
                </w:p>
              </w:tc>
              <w:tc>
                <w:tcPr>
                  <w:tcW w:w="776" w:type="dxa"/>
                  <w:vAlign w:val="center"/>
                </w:tcPr>
                <w:p w14:paraId="4C1174F3">
                  <w:pPr>
                    <w:pStyle w:val="40"/>
                    <w:bidi w:val="0"/>
                    <w:rPr>
                      <w:rFonts w:hint="eastAsia"/>
                      <w:lang w:val="en-US" w:eastAsia="zh-CN"/>
                    </w:rPr>
                  </w:pPr>
                  <w:r>
                    <w:rPr>
                      <w:rFonts w:hint="eastAsia"/>
                      <w:lang w:val="en-US" w:eastAsia="zh-CN"/>
                    </w:rPr>
                    <w:t>0.5</w:t>
                  </w:r>
                </w:p>
              </w:tc>
            </w:tr>
            <w:tr w14:paraId="42419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41" w:type="dxa"/>
                  <w:vMerge w:val="continue"/>
                  <w:vAlign w:val="center"/>
                </w:tcPr>
                <w:p w14:paraId="0EEEE34A">
                  <w:pPr>
                    <w:pStyle w:val="40"/>
                    <w:bidi w:val="0"/>
                    <w:rPr>
                      <w:rFonts w:hint="eastAsia"/>
                      <w:lang w:val="en-US" w:eastAsia="zh-CN"/>
                    </w:rPr>
                  </w:pPr>
                </w:p>
              </w:tc>
              <w:tc>
                <w:tcPr>
                  <w:tcW w:w="900" w:type="dxa"/>
                  <w:vMerge w:val="restart"/>
                  <w:vAlign w:val="center"/>
                </w:tcPr>
                <w:p w14:paraId="0127C314">
                  <w:pPr>
                    <w:pStyle w:val="40"/>
                    <w:bidi w:val="0"/>
                    <w:rPr>
                      <w:rFonts w:hint="default"/>
                      <w:lang w:val="en-US" w:eastAsia="zh-CN"/>
                    </w:rPr>
                  </w:pPr>
                  <w:r>
                    <w:rPr>
                      <w:rFonts w:hint="eastAsia"/>
                      <w:lang w:val="en-US" w:eastAsia="zh-CN"/>
                    </w:rPr>
                    <w:t>焊接烟尘</w:t>
                  </w:r>
                </w:p>
              </w:tc>
              <w:tc>
                <w:tcPr>
                  <w:tcW w:w="554" w:type="dxa"/>
                  <w:vMerge w:val="continue"/>
                  <w:vAlign w:val="center"/>
                </w:tcPr>
                <w:p w14:paraId="663190C4">
                  <w:pPr>
                    <w:pStyle w:val="40"/>
                    <w:bidi w:val="0"/>
                    <w:rPr>
                      <w:rFonts w:hint="eastAsia"/>
                      <w:lang w:val="en-US" w:eastAsia="zh-CN"/>
                    </w:rPr>
                  </w:pPr>
                </w:p>
              </w:tc>
              <w:tc>
                <w:tcPr>
                  <w:tcW w:w="559" w:type="dxa"/>
                  <w:vMerge w:val="continue"/>
                  <w:vAlign w:val="center"/>
                </w:tcPr>
                <w:p w14:paraId="01C5B16B">
                  <w:pPr>
                    <w:pStyle w:val="40"/>
                    <w:bidi w:val="0"/>
                    <w:rPr>
                      <w:rFonts w:hint="eastAsia"/>
                      <w:lang w:val="en-US" w:eastAsia="zh-CN"/>
                    </w:rPr>
                  </w:pPr>
                </w:p>
              </w:tc>
              <w:tc>
                <w:tcPr>
                  <w:tcW w:w="745" w:type="dxa"/>
                  <w:vAlign w:val="center"/>
                </w:tcPr>
                <w:p w14:paraId="05CBFC3B">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1.84×10</w:t>
                  </w:r>
                  <w:r>
                    <w:rPr>
                      <w:rFonts w:hint="default" w:ascii="Times New Roman" w:hAnsi="Times New Roman" w:eastAsia="宋体" w:cs="Times New Roman"/>
                      <w:i w:val="0"/>
                      <w:iCs w:val="0"/>
                      <w:color w:val="000000"/>
                      <w:kern w:val="0"/>
                      <w:sz w:val="22"/>
                      <w:szCs w:val="22"/>
                      <w:u w:val="none"/>
                      <w:vertAlign w:val="superscript"/>
                      <w:lang w:val="en-US" w:eastAsia="zh-CN" w:bidi="ar"/>
                    </w:rPr>
                    <w:t>-</w:t>
                  </w:r>
                  <w:r>
                    <w:rPr>
                      <w:rFonts w:hint="eastAsia" w:ascii="Times New Roman" w:hAnsi="Times New Roman" w:eastAsia="宋体" w:cs="Times New Roman"/>
                      <w:i w:val="0"/>
                      <w:iCs w:val="0"/>
                      <w:color w:val="000000"/>
                      <w:kern w:val="0"/>
                      <w:sz w:val="22"/>
                      <w:szCs w:val="22"/>
                      <w:u w:val="none"/>
                      <w:vertAlign w:val="superscript"/>
                      <w:lang w:val="en-US" w:eastAsia="zh-CN" w:bidi="ar"/>
                    </w:rPr>
                    <w:t>2</w:t>
                  </w:r>
                </w:p>
              </w:tc>
              <w:tc>
                <w:tcPr>
                  <w:tcW w:w="738" w:type="dxa"/>
                  <w:vAlign w:val="center"/>
                </w:tcPr>
                <w:p w14:paraId="0949B3A4">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7.66×10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843" w:type="dxa"/>
                  <w:vAlign w:val="center"/>
                </w:tcPr>
                <w:p w14:paraId="40B992B6">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7.658</w:t>
                  </w:r>
                </w:p>
              </w:tc>
              <w:tc>
                <w:tcPr>
                  <w:tcW w:w="1373" w:type="dxa"/>
                  <w:vAlign w:val="center"/>
                </w:tcPr>
                <w:p w14:paraId="70DD91AD">
                  <w:pPr>
                    <w:pStyle w:val="40"/>
                    <w:bidi w:val="0"/>
                    <w:rPr>
                      <w:rFonts w:hint="eastAsia"/>
                      <w:lang w:val="en-US" w:eastAsia="zh-CN"/>
                    </w:rPr>
                  </w:pPr>
                  <w:r>
                    <w:rPr>
                      <w:rFonts w:hint="eastAsia"/>
                      <w:lang w:val="en-US" w:eastAsia="zh-CN"/>
                    </w:rPr>
                    <w:t>移动式烟尘净化器</w:t>
                  </w:r>
                </w:p>
              </w:tc>
              <w:tc>
                <w:tcPr>
                  <w:tcW w:w="750" w:type="dxa"/>
                  <w:vAlign w:val="center"/>
                </w:tcPr>
                <w:p w14:paraId="69C5658E">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669" w:type="dxa"/>
                  <w:vAlign w:val="center"/>
                </w:tcPr>
                <w:p w14:paraId="02BA2A4B">
                  <w:pPr>
                    <w:keepNext w:val="0"/>
                    <w:keepLines w:val="0"/>
                    <w:widowControl/>
                    <w:suppressLineNumbers w:val="0"/>
                    <w:jc w:val="center"/>
                    <w:textAlignment w:val="center"/>
                    <w:rPr>
                      <w:rFonts w:hint="eastAsia"/>
                      <w:lang w:val="en-US" w:eastAsia="zh-CN"/>
                    </w:rPr>
                  </w:pPr>
                  <w:r>
                    <w:rPr>
                      <w:rFonts w:hint="eastAsia" w:cs="Times New Roman"/>
                      <w:i w:val="0"/>
                      <w:iCs w:val="0"/>
                      <w:color w:val="000000"/>
                      <w:kern w:val="0"/>
                      <w:sz w:val="21"/>
                      <w:szCs w:val="21"/>
                      <w:u w:val="none"/>
                      <w:lang w:val="en-US" w:eastAsia="zh-CN" w:bidi="ar"/>
                    </w:rPr>
                    <w:t>80</w:t>
                  </w:r>
                </w:p>
              </w:tc>
              <w:tc>
                <w:tcPr>
                  <w:tcW w:w="704" w:type="dxa"/>
                  <w:vAlign w:val="center"/>
                </w:tcPr>
                <w:p w14:paraId="0252B6E8">
                  <w:pPr>
                    <w:keepNext w:val="0"/>
                    <w:keepLines w:val="0"/>
                    <w:widowControl/>
                    <w:suppressLineNumbers w:val="0"/>
                    <w:jc w:val="center"/>
                    <w:textAlignment w:val="center"/>
                    <w:rPr>
                      <w:rFonts w:hint="eastAsia"/>
                      <w:lang w:val="en-US" w:eastAsia="zh-CN"/>
                    </w:rPr>
                  </w:pPr>
                  <w:r>
                    <w:rPr>
                      <w:rFonts w:hint="eastAsia" w:cs="Times New Roman"/>
                      <w:i w:val="0"/>
                      <w:iCs w:val="0"/>
                      <w:color w:val="000000"/>
                      <w:kern w:val="0"/>
                      <w:sz w:val="21"/>
                      <w:szCs w:val="21"/>
                      <w:u w:val="none"/>
                      <w:lang w:val="en-US" w:eastAsia="zh-CN" w:bidi="ar"/>
                    </w:rPr>
                    <w:t>95</w:t>
                  </w:r>
                </w:p>
              </w:tc>
              <w:tc>
                <w:tcPr>
                  <w:tcW w:w="727" w:type="dxa"/>
                  <w:vAlign w:val="center"/>
                </w:tcPr>
                <w:p w14:paraId="7DCFED5E">
                  <w:pPr>
                    <w:pStyle w:val="40"/>
                    <w:bidi w:val="0"/>
                    <w:rPr>
                      <w:rFonts w:hint="eastAsia"/>
                      <w:lang w:val="en-US" w:eastAsia="zh-CN"/>
                    </w:rPr>
                  </w:pPr>
                  <w:r>
                    <w:rPr>
                      <w:rFonts w:hint="eastAsia"/>
                      <w:lang w:val="en-US" w:eastAsia="zh-CN"/>
                    </w:rPr>
                    <w:t>是</w:t>
                  </w:r>
                </w:p>
              </w:tc>
              <w:tc>
                <w:tcPr>
                  <w:tcW w:w="750" w:type="dxa"/>
                  <w:vAlign w:val="center"/>
                </w:tcPr>
                <w:p w14:paraId="17015760">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9.190×10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ascii="Times New Roman" w:hAnsi="Times New Roman" w:eastAsia="宋体" w:cs="Times New Roman"/>
                      <w:i w:val="0"/>
                      <w:iCs w:val="0"/>
                      <w:color w:val="000000"/>
                      <w:kern w:val="0"/>
                      <w:sz w:val="21"/>
                      <w:szCs w:val="21"/>
                      <w:u w:val="none"/>
                      <w:vertAlign w:val="superscript"/>
                      <w:lang w:val="en-US" w:eastAsia="zh-CN" w:bidi="ar"/>
                    </w:rPr>
                    <w:t>4</w:t>
                  </w:r>
                </w:p>
              </w:tc>
              <w:tc>
                <w:tcPr>
                  <w:tcW w:w="738" w:type="dxa"/>
                  <w:vAlign w:val="center"/>
                </w:tcPr>
                <w:p w14:paraId="29D9FD76">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3.829×10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ascii="Times New Roman" w:hAnsi="Times New Roman" w:eastAsia="宋体" w:cs="Times New Roman"/>
                      <w:i w:val="0"/>
                      <w:iCs w:val="0"/>
                      <w:color w:val="000000"/>
                      <w:kern w:val="0"/>
                      <w:sz w:val="21"/>
                      <w:szCs w:val="21"/>
                      <w:u w:val="none"/>
                      <w:vertAlign w:val="superscript"/>
                      <w:lang w:val="en-US" w:eastAsia="zh-CN" w:bidi="ar"/>
                    </w:rPr>
                    <w:t>4</w:t>
                  </w:r>
                </w:p>
              </w:tc>
              <w:tc>
                <w:tcPr>
                  <w:tcW w:w="785" w:type="dxa"/>
                  <w:shd w:val="clear" w:color="auto" w:fill="auto"/>
                  <w:vAlign w:val="center"/>
                </w:tcPr>
                <w:p w14:paraId="0A43C70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0.383</w:t>
                  </w:r>
                </w:p>
              </w:tc>
              <w:tc>
                <w:tcPr>
                  <w:tcW w:w="750" w:type="dxa"/>
                  <w:vAlign w:val="center"/>
                </w:tcPr>
                <w:p w14:paraId="3681A2E6">
                  <w:pPr>
                    <w:pStyle w:val="40"/>
                    <w:bidi w:val="0"/>
                    <w:rPr>
                      <w:rFonts w:hint="eastAsia"/>
                      <w:lang w:val="en-US" w:eastAsia="zh-CN"/>
                    </w:rPr>
                  </w:pPr>
                  <w:r>
                    <w:rPr>
                      <w:rFonts w:hint="eastAsia"/>
                      <w:lang w:val="en-US" w:eastAsia="zh-CN"/>
                    </w:rPr>
                    <w:t>/</w:t>
                  </w:r>
                </w:p>
              </w:tc>
              <w:tc>
                <w:tcPr>
                  <w:tcW w:w="776" w:type="dxa"/>
                  <w:vAlign w:val="center"/>
                </w:tcPr>
                <w:p w14:paraId="1A2B0851">
                  <w:pPr>
                    <w:pStyle w:val="40"/>
                    <w:bidi w:val="0"/>
                    <w:rPr>
                      <w:rFonts w:hint="eastAsia"/>
                      <w:lang w:val="en-US" w:eastAsia="zh-CN"/>
                    </w:rPr>
                  </w:pPr>
                  <w:r>
                    <w:rPr>
                      <w:rFonts w:hint="eastAsia"/>
                      <w:lang w:val="en-US" w:eastAsia="zh-CN"/>
                    </w:rPr>
                    <w:t>/</w:t>
                  </w:r>
                </w:p>
              </w:tc>
            </w:tr>
            <w:tr w14:paraId="4A16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continue"/>
                  <w:vAlign w:val="center"/>
                </w:tcPr>
                <w:p w14:paraId="5634D391">
                  <w:pPr>
                    <w:pStyle w:val="40"/>
                    <w:bidi w:val="0"/>
                    <w:rPr>
                      <w:rFonts w:hint="eastAsia"/>
                      <w:lang w:val="en-US" w:eastAsia="zh-CN"/>
                    </w:rPr>
                  </w:pPr>
                </w:p>
              </w:tc>
              <w:tc>
                <w:tcPr>
                  <w:tcW w:w="900" w:type="dxa"/>
                  <w:vMerge w:val="continue"/>
                  <w:vAlign w:val="center"/>
                </w:tcPr>
                <w:p w14:paraId="59FD5390">
                  <w:pPr>
                    <w:pStyle w:val="40"/>
                    <w:bidi w:val="0"/>
                    <w:rPr>
                      <w:rFonts w:hint="eastAsia"/>
                      <w:lang w:val="en-US" w:eastAsia="zh-CN"/>
                    </w:rPr>
                  </w:pPr>
                </w:p>
              </w:tc>
              <w:tc>
                <w:tcPr>
                  <w:tcW w:w="554" w:type="dxa"/>
                  <w:vMerge w:val="continue"/>
                  <w:vAlign w:val="center"/>
                </w:tcPr>
                <w:p w14:paraId="23384CF4">
                  <w:pPr>
                    <w:pStyle w:val="40"/>
                    <w:bidi w:val="0"/>
                    <w:rPr>
                      <w:rFonts w:hint="eastAsia"/>
                      <w:lang w:val="en-US" w:eastAsia="zh-CN"/>
                    </w:rPr>
                  </w:pPr>
                </w:p>
              </w:tc>
              <w:tc>
                <w:tcPr>
                  <w:tcW w:w="559" w:type="dxa"/>
                  <w:vMerge w:val="continue"/>
                  <w:vAlign w:val="center"/>
                </w:tcPr>
                <w:p w14:paraId="27FA1428">
                  <w:pPr>
                    <w:pStyle w:val="40"/>
                    <w:bidi w:val="0"/>
                    <w:rPr>
                      <w:rFonts w:hint="eastAsia"/>
                      <w:lang w:val="en-US" w:eastAsia="zh-CN"/>
                    </w:rPr>
                  </w:pPr>
                </w:p>
              </w:tc>
              <w:tc>
                <w:tcPr>
                  <w:tcW w:w="745" w:type="dxa"/>
                  <w:vAlign w:val="center"/>
                </w:tcPr>
                <w:p w14:paraId="29CEECB3">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2"/>
                      <w:szCs w:val="22"/>
                      <w:u w:val="none"/>
                      <w:lang w:val="en-US" w:eastAsia="zh-CN" w:bidi="ar"/>
                    </w:rPr>
                    <w:t>4.</w:t>
                  </w:r>
                  <w:r>
                    <w:rPr>
                      <w:rFonts w:hint="eastAsia" w:cs="Times New Roman"/>
                      <w:i w:val="0"/>
                      <w:iCs w:val="0"/>
                      <w:color w:val="000000"/>
                      <w:kern w:val="0"/>
                      <w:sz w:val="22"/>
                      <w:szCs w:val="22"/>
                      <w:u w:val="none"/>
                      <w:lang w:val="en-US" w:eastAsia="zh-CN" w:bidi="ar"/>
                    </w:rPr>
                    <w:t>595</w:t>
                  </w:r>
                  <w:r>
                    <w:rPr>
                      <w:rFonts w:hint="default" w:ascii="Times New Roman" w:hAnsi="Times New Roman" w:eastAsia="宋体" w:cs="Times New Roman"/>
                      <w:i w:val="0"/>
                      <w:iCs w:val="0"/>
                      <w:color w:val="000000"/>
                      <w:kern w:val="0"/>
                      <w:sz w:val="22"/>
                      <w:szCs w:val="22"/>
                      <w:u w:val="none"/>
                      <w:lang w:val="en-US" w:eastAsia="zh-CN" w:bidi="ar"/>
                    </w:rPr>
                    <w:t>×10</w:t>
                  </w:r>
                  <w:r>
                    <w:rPr>
                      <w:rFonts w:hint="default" w:ascii="Times New Roman" w:hAnsi="Times New Roman" w:eastAsia="宋体" w:cs="Times New Roman"/>
                      <w:i w:val="0"/>
                      <w:iCs w:val="0"/>
                      <w:color w:val="000000"/>
                      <w:kern w:val="0"/>
                      <w:sz w:val="22"/>
                      <w:szCs w:val="22"/>
                      <w:u w:val="none"/>
                      <w:vertAlign w:val="superscript"/>
                      <w:lang w:val="en-US" w:eastAsia="zh-CN" w:bidi="ar"/>
                    </w:rPr>
                    <w:t>-3</w:t>
                  </w:r>
                </w:p>
              </w:tc>
              <w:tc>
                <w:tcPr>
                  <w:tcW w:w="738" w:type="dxa"/>
                  <w:vAlign w:val="center"/>
                </w:tcPr>
                <w:p w14:paraId="5508CA95">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1.91</w:t>
                  </w:r>
                  <w:r>
                    <w:rPr>
                      <w:rFonts w:hint="eastAsia"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843" w:type="dxa"/>
                  <w:vAlign w:val="center"/>
                </w:tcPr>
                <w:p w14:paraId="13F6B6D5">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373" w:type="dxa"/>
                  <w:vAlign w:val="center"/>
                </w:tcPr>
                <w:p w14:paraId="653D5356">
                  <w:pPr>
                    <w:pStyle w:val="40"/>
                    <w:bidi w:val="0"/>
                    <w:rPr>
                      <w:rFonts w:hint="eastAsia"/>
                      <w:lang w:val="en-US" w:eastAsia="zh-CN"/>
                    </w:rPr>
                  </w:pPr>
                  <w:r>
                    <w:rPr>
                      <w:rFonts w:hint="eastAsia"/>
                      <w:lang w:val="en-US" w:eastAsia="zh-CN"/>
                    </w:rPr>
                    <w:t>/</w:t>
                  </w:r>
                </w:p>
              </w:tc>
              <w:tc>
                <w:tcPr>
                  <w:tcW w:w="750" w:type="dxa"/>
                  <w:vAlign w:val="center"/>
                </w:tcPr>
                <w:p w14:paraId="1ACAC93F">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69" w:type="dxa"/>
                  <w:vAlign w:val="center"/>
                </w:tcPr>
                <w:p w14:paraId="544083A7">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04" w:type="dxa"/>
                  <w:vAlign w:val="center"/>
                </w:tcPr>
                <w:p w14:paraId="7216B1D2">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27" w:type="dxa"/>
                  <w:vAlign w:val="center"/>
                </w:tcPr>
                <w:p w14:paraId="1C20CFFB">
                  <w:pPr>
                    <w:pStyle w:val="40"/>
                    <w:bidi w:val="0"/>
                    <w:rPr>
                      <w:rFonts w:hint="eastAsia"/>
                      <w:lang w:val="en-US" w:eastAsia="zh-CN"/>
                    </w:rPr>
                  </w:pPr>
                  <w:r>
                    <w:rPr>
                      <w:rFonts w:hint="eastAsia"/>
                      <w:lang w:val="en-US" w:eastAsia="zh-CN"/>
                    </w:rPr>
                    <w:t>/</w:t>
                  </w:r>
                </w:p>
              </w:tc>
              <w:tc>
                <w:tcPr>
                  <w:tcW w:w="750" w:type="dxa"/>
                  <w:vAlign w:val="center"/>
                </w:tcPr>
                <w:p w14:paraId="7378004E">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4.595×10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38" w:type="dxa"/>
                  <w:vAlign w:val="center"/>
                </w:tcPr>
                <w:p w14:paraId="65DBA284">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1.915×10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785" w:type="dxa"/>
                  <w:vAlign w:val="center"/>
                </w:tcPr>
                <w:p w14:paraId="6F797F5E">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50" w:type="dxa"/>
                  <w:vAlign w:val="center"/>
                </w:tcPr>
                <w:p w14:paraId="2A6DEBA0">
                  <w:pPr>
                    <w:pStyle w:val="40"/>
                    <w:bidi w:val="0"/>
                    <w:rPr>
                      <w:rFonts w:hint="eastAsia"/>
                      <w:lang w:val="en-US" w:eastAsia="zh-CN"/>
                    </w:rPr>
                  </w:pPr>
                  <w:r>
                    <w:rPr>
                      <w:rFonts w:hint="eastAsia"/>
                      <w:lang w:val="en-US" w:eastAsia="zh-CN"/>
                    </w:rPr>
                    <w:t>/</w:t>
                  </w:r>
                </w:p>
              </w:tc>
              <w:tc>
                <w:tcPr>
                  <w:tcW w:w="776" w:type="dxa"/>
                  <w:vAlign w:val="center"/>
                </w:tcPr>
                <w:p w14:paraId="712A0526">
                  <w:pPr>
                    <w:pStyle w:val="40"/>
                    <w:bidi w:val="0"/>
                    <w:rPr>
                      <w:rFonts w:hint="eastAsia"/>
                      <w:lang w:val="en-US" w:eastAsia="zh-CN"/>
                    </w:rPr>
                  </w:pPr>
                  <w:r>
                    <w:rPr>
                      <w:rFonts w:hint="eastAsia"/>
                      <w:lang w:val="en-US" w:eastAsia="zh-CN"/>
                    </w:rPr>
                    <w:t>/</w:t>
                  </w:r>
                </w:p>
              </w:tc>
            </w:tr>
            <w:tr w14:paraId="6156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41" w:type="dxa"/>
                  <w:vMerge w:val="continue"/>
                  <w:vAlign w:val="center"/>
                </w:tcPr>
                <w:p w14:paraId="26F3E907">
                  <w:pPr>
                    <w:pStyle w:val="40"/>
                    <w:bidi w:val="0"/>
                    <w:rPr>
                      <w:rFonts w:hint="eastAsia"/>
                      <w:lang w:val="en-US" w:eastAsia="zh-CN"/>
                    </w:rPr>
                  </w:pPr>
                </w:p>
              </w:tc>
              <w:tc>
                <w:tcPr>
                  <w:tcW w:w="900" w:type="dxa"/>
                  <w:vMerge w:val="restart"/>
                  <w:shd w:val="clear" w:color="auto" w:fill="auto"/>
                  <w:vAlign w:val="center"/>
                </w:tcPr>
                <w:p w14:paraId="6AE50584">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现代化加气块生产线投料粉尘</w:t>
                  </w:r>
                </w:p>
              </w:tc>
              <w:tc>
                <w:tcPr>
                  <w:tcW w:w="554" w:type="dxa"/>
                  <w:vMerge w:val="restart"/>
                  <w:shd w:val="clear" w:color="auto" w:fill="auto"/>
                  <w:vAlign w:val="center"/>
                </w:tcPr>
                <w:p w14:paraId="7AAAE539">
                  <w:pPr>
                    <w:pStyle w:val="40"/>
                    <w:bidi w:val="0"/>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颗粒物</w:t>
                  </w:r>
                </w:p>
              </w:tc>
              <w:tc>
                <w:tcPr>
                  <w:tcW w:w="559" w:type="dxa"/>
                  <w:shd w:val="clear" w:color="auto" w:fill="auto"/>
                  <w:vAlign w:val="center"/>
                </w:tcPr>
                <w:p w14:paraId="01601742">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有组织</w:t>
                  </w:r>
                </w:p>
              </w:tc>
              <w:tc>
                <w:tcPr>
                  <w:tcW w:w="745" w:type="dxa"/>
                  <w:shd w:val="clear" w:color="auto" w:fill="auto"/>
                  <w:vAlign w:val="center"/>
                </w:tcPr>
                <w:p w14:paraId="16C72FA1">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i w:val="0"/>
                      <w:iCs w:val="0"/>
                      <w:color w:val="000000"/>
                      <w:kern w:val="0"/>
                      <w:sz w:val="21"/>
                      <w:szCs w:val="21"/>
                      <w:u w:val="none"/>
                      <w:lang w:val="en-US" w:eastAsia="zh-CN" w:bidi="ar"/>
                    </w:rPr>
                    <w:t>5.467</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738" w:type="dxa"/>
                  <w:shd w:val="clear" w:color="auto" w:fill="auto"/>
                  <w:vAlign w:val="center"/>
                </w:tcPr>
                <w:p w14:paraId="41D540A9">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i w:val="0"/>
                      <w:iCs w:val="0"/>
                      <w:color w:val="000000"/>
                      <w:kern w:val="0"/>
                      <w:sz w:val="21"/>
                      <w:szCs w:val="21"/>
                      <w:u w:val="none"/>
                      <w:lang w:val="en-US" w:eastAsia="zh-CN" w:bidi="ar"/>
                    </w:rPr>
                    <w:t>0.364</w:t>
                  </w:r>
                </w:p>
              </w:tc>
              <w:tc>
                <w:tcPr>
                  <w:tcW w:w="843" w:type="dxa"/>
                  <w:shd w:val="clear" w:color="auto" w:fill="auto"/>
                  <w:vAlign w:val="center"/>
                </w:tcPr>
                <w:p w14:paraId="5498932C">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i w:val="0"/>
                      <w:iCs w:val="0"/>
                      <w:color w:val="000000"/>
                      <w:kern w:val="0"/>
                      <w:sz w:val="21"/>
                      <w:szCs w:val="21"/>
                      <w:u w:val="none"/>
                      <w:lang w:val="en-US" w:eastAsia="zh-CN" w:bidi="ar"/>
                    </w:rPr>
                    <w:t>364.433</w:t>
                  </w:r>
                </w:p>
              </w:tc>
              <w:tc>
                <w:tcPr>
                  <w:tcW w:w="1373" w:type="dxa"/>
                  <w:shd w:val="clear" w:color="auto" w:fill="auto"/>
                  <w:vAlign w:val="center"/>
                </w:tcPr>
                <w:p w14:paraId="549AD1EC">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布袋除尘器+15m排气筒</w:t>
                  </w:r>
                </w:p>
              </w:tc>
              <w:tc>
                <w:tcPr>
                  <w:tcW w:w="750" w:type="dxa"/>
                  <w:shd w:val="clear" w:color="auto" w:fill="auto"/>
                  <w:vAlign w:val="center"/>
                </w:tcPr>
                <w:p w14:paraId="0DFFA73D">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1000</w:t>
                  </w:r>
                </w:p>
              </w:tc>
              <w:tc>
                <w:tcPr>
                  <w:tcW w:w="669" w:type="dxa"/>
                  <w:shd w:val="clear" w:color="auto" w:fill="auto"/>
                  <w:vAlign w:val="center"/>
                </w:tcPr>
                <w:p w14:paraId="37B7B6D1">
                  <w:pPr>
                    <w:pStyle w:val="40"/>
                    <w:bidi w:val="0"/>
                    <w:rPr>
                      <w:rFonts w:hint="default" w:ascii="Times New Roman" w:hAnsi="Times New Roman" w:eastAsia="宋体" w:cs="Times New Roman"/>
                      <w:kern w:val="2"/>
                      <w:sz w:val="21"/>
                      <w:szCs w:val="21"/>
                      <w:lang w:val="en-US" w:eastAsia="zh-CN" w:bidi="ar-SA"/>
                    </w:rPr>
                  </w:pPr>
                  <w:r>
                    <w:rPr>
                      <w:rFonts w:hint="eastAsia"/>
                      <w:lang w:val="en-US" w:eastAsia="zh-CN"/>
                    </w:rPr>
                    <w:t>65</w:t>
                  </w:r>
                </w:p>
              </w:tc>
              <w:tc>
                <w:tcPr>
                  <w:tcW w:w="704" w:type="dxa"/>
                  <w:shd w:val="clear" w:color="auto" w:fill="auto"/>
                  <w:vAlign w:val="center"/>
                </w:tcPr>
                <w:p w14:paraId="5D309299">
                  <w:pPr>
                    <w:pStyle w:val="40"/>
                    <w:bidi w:val="0"/>
                    <w:rPr>
                      <w:rFonts w:hint="default" w:ascii="Times New Roman" w:hAnsi="Times New Roman" w:eastAsia="宋体" w:cs="Times New Roman"/>
                      <w:kern w:val="2"/>
                      <w:sz w:val="21"/>
                      <w:szCs w:val="21"/>
                      <w:lang w:val="en-US" w:eastAsia="zh-CN" w:bidi="ar-SA"/>
                    </w:rPr>
                  </w:pPr>
                  <w:r>
                    <w:rPr>
                      <w:rFonts w:hint="eastAsia"/>
                      <w:lang w:val="en-US" w:eastAsia="zh-CN"/>
                    </w:rPr>
                    <w:t>99.7</w:t>
                  </w:r>
                </w:p>
              </w:tc>
              <w:tc>
                <w:tcPr>
                  <w:tcW w:w="727" w:type="dxa"/>
                  <w:shd w:val="clear" w:color="auto" w:fill="auto"/>
                  <w:vAlign w:val="center"/>
                </w:tcPr>
                <w:p w14:paraId="09DA1B41">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是</w:t>
                  </w:r>
                </w:p>
              </w:tc>
              <w:tc>
                <w:tcPr>
                  <w:tcW w:w="750" w:type="dxa"/>
                  <w:shd w:val="clear" w:color="auto" w:fill="auto"/>
                  <w:vAlign w:val="center"/>
                </w:tcPr>
                <w:p w14:paraId="054CAC7A">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i w:val="0"/>
                      <w:iCs w:val="0"/>
                      <w:color w:val="000000"/>
                      <w:kern w:val="0"/>
                      <w:sz w:val="21"/>
                      <w:szCs w:val="21"/>
                      <w:u w:val="none"/>
                      <w:lang w:val="en-US" w:eastAsia="zh-CN" w:bidi="ar"/>
                    </w:rPr>
                    <w:t>1.64</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cs="Times New Roman"/>
                      <w:i w:val="0"/>
                      <w:iCs w:val="0"/>
                      <w:color w:val="000000"/>
                      <w:kern w:val="0"/>
                      <w:sz w:val="21"/>
                      <w:szCs w:val="21"/>
                      <w:u w:val="none"/>
                      <w:vertAlign w:val="superscript"/>
                      <w:lang w:val="en-US" w:eastAsia="zh-CN" w:bidi="ar"/>
                    </w:rPr>
                    <w:t>4</w:t>
                  </w:r>
                </w:p>
              </w:tc>
              <w:tc>
                <w:tcPr>
                  <w:tcW w:w="738" w:type="dxa"/>
                  <w:shd w:val="clear" w:color="auto" w:fill="auto"/>
                  <w:vAlign w:val="center"/>
                </w:tcPr>
                <w:p w14:paraId="7B5E5DC1">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i w:val="0"/>
                      <w:iCs w:val="0"/>
                      <w:color w:val="000000"/>
                      <w:kern w:val="0"/>
                      <w:sz w:val="21"/>
                      <w:szCs w:val="21"/>
                      <w:u w:val="none"/>
                      <w:lang w:val="en-US" w:eastAsia="zh-CN" w:bidi="ar"/>
                    </w:rPr>
                    <w:t>1.093</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cs="Times New Roman"/>
                      <w:i w:val="0"/>
                      <w:iCs w:val="0"/>
                      <w:color w:val="000000"/>
                      <w:kern w:val="0"/>
                      <w:sz w:val="21"/>
                      <w:szCs w:val="21"/>
                      <w:u w:val="none"/>
                      <w:vertAlign w:val="superscript"/>
                      <w:lang w:val="en-US" w:eastAsia="zh-CN" w:bidi="ar"/>
                    </w:rPr>
                    <w:t>3</w:t>
                  </w:r>
                </w:p>
              </w:tc>
              <w:tc>
                <w:tcPr>
                  <w:tcW w:w="785" w:type="dxa"/>
                  <w:shd w:val="clear" w:color="auto" w:fill="auto"/>
                  <w:vAlign w:val="center"/>
                </w:tcPr>
                <w:p w14:paraId="1EB49690">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i w:val="0"/>
                      <w:iCs w:val="0"/>
                      <w:color w:val="000000"/>
                      <w:kern w:val="0"/>
                      <w:sz w:val="21"/>
                      <w:szCs w:val="21"/>
                      <w:u w:val="none"/>
                      <w:lang w:val="en-US" w:eastAsia="zh-CN" w:bidi="ar"/>
                    </w:rPr>
                    <w:t>1.093</w:t>
                  </w:r>
                </w:p>
              </w:tc>
              <w:tc>
                <w:tcPr>
                  <w:tcW w:w="750" w:type="dxa"/>
                  <w:shd w:val="clear" w:color="auto" w:fill="auto"/>
                  <w:vAlign w:val="center"/>
                </w:tcPr>
                <w:p w14:paraId="70C5FC33">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DA001</w:t>
                  </w:r>
                </w:p>
              </w:tc>
              <w:tc>
                <w:tcPr>
                  <w:tcW w:w="776" w:type="dxa"/>
                  <w:shd w:val="clear" w:color="auto" w:fill="auto"/>
                  <w:vAlign w:val="center"/>
                </w:tcPr>
                <w:p w14:paraId="1951A38A">
                  <w:pPr>
                    <w:pStyle w:val="40"/>
                    <w:bidi w:val="0"/>
                    <w:rPr>
                      <w:rFonts w:hint="default" w:ascii="Times New Roman" w:hAnsi="Times New Roman" w:eastAsia="宋体" w:cs="Times New Roman"/>
                      <w:kern w:val="2"/>
                      <w:sz w:val="21"/>
                      <w:szCs w:val="21"/>
                      <w:lang w:val="en-US" w:eastAsia="zh-CN" w:bidi="ar-SA"/>
                    </w:rPr>
                  </w:pPr>
                  <w:r>
                    <w:rPr>
                      <w:rFonts w:hint="eastAsia"/>
                      <w:lang w:val="en-US" w:eastAsia="zh-CN"/>
                    </w:rPr>
                    <w:t>20</w:t>
                  </w:r>
                </w:p>
              </w:tc>
            </w:tr>
            <w:tr w14:paraId="0E652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41" w:type="dxa"/>
                  <w:vMerge w:val="continue"/>
                  <w:vAlign w:val="center"/>
                </w:tcPr>
                <w:p w14:paraId="1A9B0E90">
                  <w:pPr>
                    <w:pStyle w:val="40"/>
                    <w:bidi w:val="0"/>
                    <w:rPr>
                      <w:rFonts w:hint="eastAsia"/>
                      <w:lang w:val="en-US" w:eastAsia="zh-CN"/>
                    </w:rPr>
                  </w:pPr>
                </w:p>
              </w:tc>
              <w:tc>
                <w:tcPr>
                  <w:tcW w:w="900" w:type="dxa"/>
                  <w:vMerge w:val="continue"/>
                  <w:vAlign w:val="center"/>
                </w:tcPr>
                <w:p w14:paraId="6893B7C3">
                  <w:pPr>
                    <w:pStyle w:val="40"/>
                    <w:bidi w:val="0"/>
                    <w:rPr>
                      <w:rFonts w:hint="eastAsia"/>
                      <w:lang w:val="en-US" w:eastAsia="zh-CN"/>
                    </w:rPr>
                  </w:pPr>
                </w:p>
              </w:tc>
              <w:tc>
                <w:tcPr>
                  <w:tcW w:w="554" w:type="dxa"/>
                  <w:vMerge w:val="continue"/>
                  <w:shd w:val="clear" w:color="auto" w:fill="auto"/>
                  <w:vAlign w:val="center"/>
                </w:tcPr>
                <w:p w14:paraId="583BD325">
                  <w:pPr>
                    <w:pStyle w:val="40"/>
                    <w:bidi w:val="0"/>
                    <w:rPr>
                      <w:rFonts w:hint="eastAsia" w:ascii="Times New Roman" w:hAnsi="Times New Roman" w:eastAsia="宋体" w:cs="Times New Roman"/>
                      <w:kern w:val="2"/>
                      <w:sz w:val="21"/>
                      <w:szCs w:val="21"/>
                      <w:lang w:val="en-US" w:eastAsia="zh-CN" w:bidi="ar-SA"/>
                    </w:rPr>
                  </w:pPr>
                </w:p>
              </w:tc>
              <w:tc>
                <w:tcPr>
                  <w:tcW w:w="559" w:type="dxa"/>
                  <w:shd w:val="clear" w:color="auto" w:fill="auto"/>
                  <w:vAlign w:val="center"/>
                </w:tcPr>
                <w:p w14:paraId="2F733BD3">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无组织</w:t>
                  </w:r>
                </w:p>
              </w:tc>
              <w:tc>
                <w:tcPr>
                  <w:tcW w:w="745" w:type="dxa"/>
                  <w:shd w:val="clear" w:color="auto" w:fill="auto"/>
                  <w:vAlign w:val="center"/>
                </w:tcPr>
                <w:p w14:paraId="2D18B472">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cs="Times New Roman"/>
                      <w:i w:val="0"/>
                      <w:iCs w:val="0"/>
                      <w:color w:val="000000"/>
                      <w:kern w:val="0"/>
                      <w:sz w:val="21"/>
                      <w:szCs w:val="21"/>
                      <w:u w:val="none"/>
                      <w:lang w:val="en-US" w:eastAsia="zh-CN" w:bidi="ar"/>
                    </w:rPr>
                    <w:t>2.944</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cs="Times New Roman"/>
                      <w:i w:val="0"/>
                      <w:iCs w:val="0"/>
                      <w:color w:val="000000"/>
                      <w:kern w:val="0"/>
                      <w:sz w:val="21"/>
                      <w:szCs w:val="21"/>
                      <w:u w:val="none"/>
                      <w:vertAlign w:val="superscript"/>
                      <w:lang w:val="en-US" w:eastAsia="zh-CN" w:bidi="ar"/>
                    </w:rPr>
                    <w:t>2</w:t>
                  </w:r>
                </w:p>
              </w:tc>
              <w:tc>
                <w:tcPr>
                  <w:tcW w:w="738" w:type="dxa"/>
                  <w:shd w:val="clear" w:color="auto" w:fill="auto"/>
                  <w:vAlign w:val="center"/>
                </w:tcPr>
                <w:p w14:paraId="4336BB58">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i w:val="0"/>
                      <w:iCs w:val="0"/>
                      <w:color w:val="000000"/>
                      <w:kern w:val="0"/>
                      <w:sz w:val="21"/>
                      <w:szCs w:val="21"/>
                      <w:u w:val="none"/>
                      <w:lang w:val="en-US" w:eastAsia="zh-CN" w:bidi="ar"/>
                    </w:rPr>
                    <w:t>0.196</w:t>
                  </w:r>
                </w:p>
              </w:tc>
              <w:tc>
                <w:tcPr>
                  <w:tcW w:w="843" w:type="dxa"/>
                  <w:shd w:val="clear" w:color="auto" w:fill="auto"/>
                  <w:vAlign w:val="center"/>
                </w:tcPr>
                <w:p w14:paraId="052A289E">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73" w:type="dxa"/>
                  <w:shd w:val="clear" w:color="auto" w:fill="auto"/>
                  <w:vAlign w:val="center"/>
                </w:tcPr>
                <w:p w14:paraId="1AE2B9E1">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w:t>
                  </w:r>
                </w:p>
              </w:tc>
              <w:tc>
                <w:tcPr>
                  <w:tcW w:w="750" w:type="dxa"/>
                  <w:shd w:val="clear" w:color="auto" w:fill="auto"/>
                  <w:vAlign w:val="center"/>
                </w:tcPr>
                <w:p w14:paraId="6D5ADECF">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w:t>
                  </w:r>
                </w:p>
              </w:tc>
              <w:tc>
                <w:tcPr>
                  <w:tcW w:w="669" w:type="dxa"/>
                  <w:shd w:val="clear" w:color="auto" w:fill="auto"/>
                  <w:vAlign w:val="center"/>
                </w:tcPr>
                <w:p w14:paraId="2E901ED0">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w:t>
                  </w:r>
                </w:p>
              </w:tc>
              <w:tc>
                <w:tcPr>
                  <w:tcW w:w="704" w:type="dxa"/>
                  <w:shd w:val="clear" w:color="auto" w:fill="auto"/>
                  <w:vAlign w:val="center"/>
                </w:tcPr>
                <w:p w14:paraId="441772B5">
                  <w:pPr>
                    <w:pStyle w:val="40"/>
                    <w:bidi w:val="0"/>
                    <w:rPr>
                      <w:rFonts w:hint="default" w:ascii="Times New Roman" w:hAnsi="Times New Roman" w:eastAsia="宋体" w:cs="Times New Roman"/>
                      <w:kern w:val="2"/>
                      <w:sz w:val="21"/>
                      <w:szCs w:val="21"/>
                      <w:lang w:val="en-US" w:eastAsia="zh-CN" w:bidi="ar-SA"/>
                    </w:rPr>
                  </w:pPr>
                  <w:r>
                    <w:rPr>
                      <w:rFonts w:hint="eastAsia"/>
                      <w:lang w:val="en-US" w:eastAsia="zh-CN"/>
                    </w:rPr>
                    <w:t>/</w:t>
                  </w:r>
                </w:p>
              </w:tc>
              <w:tc>
                <w:tcPr>
                  <w:tcW w:w="727" w:type="dxa"/>
                  <w:shd w:val="clear" w:color="auto" w:fill="auto"/>
                  <w:vAlign w:val="center"/>
                </w:tcPr>
                <w:p w14:paraId="25503658">
                  <w:pPr>
                    <w:pStyle w:val="40"/>
                    <w:bidi w:val="0"/>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c>
                <w:tcPr>
                  <w:tcW w:w="750" w:type="dxa"/>
                  <w:shd w:val="clear" w:color="auto" w:fill="auto"/>
                  <w:vAlign w:val="center"/>
                </w:tcPr>
                <w:p w14:paraId="1A919228">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cs="Times New Roman"/>
                      <w:i w:val="0"/>
                      <w:iCs w:val="0"/>
                      <w:color w:val="000000"/>
                      <w:kern w:val="0"/>
                      <w:sz w:val="21"/>
                      <w:szCs w:val="21"/>
                      <w:u w:val="none"/>
                      <w:lang w:val="en-US" w:eastAsia="zh-CN" w:bidi="ar"/>
                    </w:rPr>
                    <w:t>2.944</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cs="Times New Roman"/>
                      <w:i w:val="0"/>
                      <w:iCs w:val="0"/>
                      <w:color w:val="000000"/>
                      <w:kern w:val="0"/>
                      <w:sz w:val="21"/>
                      <w:szCs w:val="21"/>
                      <w:u w:val="none"/>
                      <w:vertAlign w:val="superscript"/>
                      <w:lang w:val="en-US" w:eastAsia="zh-CN" w:bidi="ar"/>
                    </w:rPr>
                    <w:t>2</w:t>
                  </w:r>
                </w:p>
              </w:tc>
              <w:tc>
                <w:tcPr>
                  <w:tcW w:w="738" w:type="dxa"/>
                  <w:shd w:val="clear" w:color="auto" w:fill="auto"/>
                  <w:vAlign w:val="center"/>
                </w:tcPr>
                <w:p w14:paraId="5820F636">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i w:val="0"/>
                      <w:iCs w:val="0"/>
                      <w:color w:val="000000"/>
                      <w:kern w:val="0"/>
                      <w:sz w:val="21"/>
                      <w:szCs w:val="21"/>
                      <w:u w:val="none"/>
                      <w:lang w:val="en-US" w:eastAsia="zh-CN" w:bidi="ar"/>
                    </w:rPr>
                    <w:t>0.196</w:t>
                  </w:r>
                </w:p>
              </w:tc>
              <w:tc>
                <w:tcPr>
                  <w:tcW w:w="785" w:type="dxa"/>
                  <w:shd w:val="clear" w:color="auto" w:fill="auto"/>
                  <w:vAlign w:val="center"/>
                </w:tcPr>
                <w:p w14:paraId="43AE143E">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50" w:type="dxa"/>
                  <w:shd w:val="clear" w:color="auto" w:fill="auto"/>
                  <w:vAlign w:val="center"/>
                </w:tcPr>
                <w:p w14:paraId="53AC7540">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w:t>
                  </w:r>
                </w:p>
              </w:tc>
              <w:tc>
                <w:tcPr>
                  <w:tcW w:w="776" w:type="dxa"/>
                  <w:shd w:val="clear" w:color="auto" w:fill="auto"/>
                  <w:vAlign w:val="center"/>
                </w:tcPr>
                <w:p w14:paraId="3B788662">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0.5</w:t>
                  </w:r>
                </w:p>
              </w:tc>
            </w:tr>
            <w:tr w14:paraId="0F96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41" w:type="dxa"/>
                  <w:vMerge w:val="continue"/>
                  <w:vAlign w:val="center"/>
                </w:tcPr>
                <w:p w14:paraId="38F9FC26">
                  <w:pPr>
                    <w:pStyle w:val="40"/>
                    <w:bidi w:val="0"/>
                    <w:rPr>
                      <w:rFonts w:hint="eastAsia"/>
                      <w:lang w:val="en-US" w:eastAsia="zh-CN"/>
                    </w:rPr>
                  </w:pPr>
                </w:p>
              </w:tc>
              <w:tc>
                <w:tcPr>
                  <w:tcW w:w="900" w:type="dxa"/>
                  <w:vMerge w:val="restart"/>
                  <w:vAlign w:val="center"/>
                </w:tcPr>
                <w:p w14:paraId="77949D64">
                  <w:pPr>
                    <w:pStyle w:val="40"/>
                    <w:bidi w:val="0"/>
                    <w:rPr>
                      <w:rFonts w:hint="eastAsia"/>
                      <w:lang w:val="en-US" w:eastAsia="zh-CN"/>
                    </w:rPr>
                  </w:pPr>
                  <w:r>
                    <w:rPr>
                      <w:rFonts w:hint="eastAsia"/>
                      <w:lang w:val="en-US" w:eastAsia="zh-CN"/>
                    </w:rPr>
                    <w:t>砼预制房一体浇筑生产线投料粉尘</w:t>
                  </w:r>
                </w:p>
              </w:tc>
              <w:tc>
                <w:tcPr>
                  <w:tcW w:w="554" w:type="dxa"/>
                  <w:vMerge w:val="restart"/>
                  <w:vAlign w:val="center"/>
                </w:tcPr>
                <w:p w14:paraId="6C7D1ED7">
                  <w:pPr>
                    <w:pStyle w:val="40"/>
                    <w:bidi w:val="0"/>
                    <w:rPr>
                      <w:rFonts w:hint="eastAsia"/>
                      <w:lang w:val="en-US" w:eastAsia="zh-CN"/>
                    </w:rPr>
                  </w:pPr>
                  <w:r>
                    <w:rPr>
                      <w:rFonts w:hint="eastAsia" w:cs="Times New Roman"/>
                      <w:kern w:val="2"/>
                      <w:sz w:val="21"/>
                      <w:szCs w:val="21"/>
                      <w:lang w:val="en-US" w:eastAsia="zh-CN" w:bidi="ar-SA"/>
                    </w:rPr>
                    <w:t>颗粒物</w:t>
                  </w:r>
                </w:p>
              </w:tc>
              <w:tc>
                <w:tcPr>
                  <w:tcW w:w="559" w:type="dxa"/>
                  <w:vAlign w:val="center"/>
                </w:tcPr>
                <w:p w14:paraId="0F24F393">
                  <w:pPr>
                    <w:pStyle w:val="40"/>
                    <w:bidi w:val="0"/>
                    <w:rPr>
                      <w:rFonts w:hint="eastAsia"/>
                      <w:lang w:val="en-US" w:eastAsia="zh-CN"/>
                    </w:rPr>
                  </w:pPr>
                  <w:r>
                    <w:rPr>
                      <w:rFonts w:hint="eastAsia"/>
                      <w:lang w:val="en-US" w:eastAsia="zh-CN"/>
                    </w:rPr>
                    <w:t>有组织</w:t>
                  </w:r>
                </w:p>
              </w:tc>
              <w:tc>
                <w:tcPr>
                  <w:tcW w:w="745" w:type="dxa"/>
                  <w:vAlign w:val="center"/>
                </w:tcPr>
                <w:p w14:paraId="24017410">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0.962 </w:t>
                  </w:r>
                </w:p>
              </w:tc>
              <w:tc>
                <w:tcPr>
                  <w:tcW w:w="738" w:type="dxa"/>
                  <w:vAlign w:val="center"/>
                </w:tcPr>
                <w:p w14:paraId="2BF41D11">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6.413 </w:t>
                  </w:r>
                </w:p>
              </w:tc>
              <w:tc>
                <w:tcPr>
                  <w:tcW w:w="843" w:type="dxa"/>
                  <w:vAlign w:val="center"/>
                </w:tcPr>
                <w:p w14:paraId="32B86128">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3206.667 </w:t>
                  </w:r>
                </w:p>
              </w:tc>
              <w:tc>
                <w:tcPr>
                  <w:tcW w:w="1373" w:type="dxa"/>
                  <w:vAlign w:val="center"/>
                </w:tcPr>
                <w:p w14:paraId="13E3B05A">
                  <w:pPr>
                    <w:pStyle w:val="40"/>
                    <w:bidi w:val="0"/>
                    <w:rPr>
                      <w:rFonts w:hint="eastAsia"/>
                      <w:lang w:val="en-US" w:eastAsia="zh-CN"/>
                    </w:rPr>
                  </w:pPr>
                  <w:r>
                    <w:rPr>
                      <w:rFonts w:hint="eastAsia"/>
                      <w:lang w:val="en-US" w:eastAsia="zh-CN"/>
                    </w:rPr>
                    <w:t>布袋除尘器+15m排气筒</w:t>
                  </w:r>
                </w:p>
              </w:tc>
              <w:tc>
                <w:tcPr>
                  <w:tcW w:w="750" w:type="dxa"/>
                  <w:vAlign w:val="center"/>
                </w:tcPr>
                <w:p w14:paraId="78E17C93">
                  <w:pPr>
                    <w:pStyle w:val="40"/>
                    <w:bidi w:val="0"/>
                    <w:rPr>
                      <w:rFonts w:hint="eastAsia"/>
                      <w:lang w:val="en-US" w:eastAsia="zh-CN"/>
                    </w:rPr>
                  </w:pPr>
                  <w:r>
                    <w:rPr>
                      <w:rFonts w:hint="eastAsia"/>
                      <w:lang w:val="en-US" w:eastAsia="zh-CN"/>
                    </w:rPr>
                    <w:t>2000</w:t>
                  </w:r>
                </w:p>
              </w:tc>
              <w:tc>
                <w:tcPr>
                  <w:tcW w:w="669" w:type="dxa"/>
                  <w:vAlign w:val="center"/>
                </w:tcPr>
                <w:p w14:paraId="6F4A0593">
                  <w:pPr>
                    <w:pStyle w:val="40"/>
                    <w:bidi w:val="0"/>
                    <w:rPr>
                      <w:rFonts w:hint="default"/>
                      <w:lang w:val="en-US" w:eastAsia="zh-CN"/>
                    </w:rPr>
                  </w:pPr>
                  <w:r>
                    <w:rPr>
                      <w:rFonts w:hint="eastAsia"/>
                      <w:lang w:val="en-US" w:eastAsia="zh-CN"/>
                    </w:rPr>
                    <w:t>65</w:t>
                  </w:r>
                </w:p>
              </w:tc>
              <w:tc>
                <w:tcPr>
                  <w:tcW w:w="704" w:type="dxa"/>
                  <w:vAlign w:val="center"/>
                </w:tcPr>
                <w:p w14:paraId="220FF98E">
                  <w:pPr>
                    <w:pStyle w:val="40"/>
                    <w:bidi w:val="0"/>
                    <w:rPr>
                      <w:rFonts w:hint="default"/>
                      <w:lang w:val="en-US" w:eastAsia="zh-CN"/>
                    </w:rPr>
                  </w:pPr>
                  <w:r>
                    <w:rPr>
                      <w:rFonts w:hint="eastAsia"/>
                      <w:lang w:val="en-US" w:eastAsia="zh-CN"/>
                    </w:rPr>
                    <w:t>99.7</w:t>
                  </w:r>
                </w:p>
              </w:tc>
              <w:tc>
                <w:tcPr>
                  <w:tcW w:w="727" w:type="dxa"/>
                  <w:vAlign w:val="center"/>
                </w:tcPr>
                <w:p w14:paraId="5DB5B572">
                  <w:pPr>
                    <w:pStyle w:val="40"/>
                    <w:bidi w:val="0"/>
                    <w:rPr>
                      <w:rFonts w:hint="eastAsia"/>
                      <w:lang w:val="en-US" w:eastAsia="zh-CN"/>
                    </w:rPr>
                  </w:pPr>
                  <w:r>
                    <w:rPr>
                      <w:rFonts w:hint="eastAsia"/>
                      <w:lang w:val="en-US" w:eastAsia="zh-CN"/>
                    </w:rPr>
                    <w:t>是</w:t>
                  </w:r>
                </w:p>
              </w:tc>
              <w:tc>
                <w:tcPr>
                  <w:tcW w:w="750" w:type="dxa"/>
                  <w:vAlign w:val="center"/>
                </w:tcPr>
                <w:p w14:paraId="5ABFAF1D">
                  <w:pPr>
                    <w:keepNext w:val="0"/>
                    <w:keepLines w:val="0"/>
                    <w:widowControl/>
                    <w:suppressLineNumbers w:val="0"/>
                    <w:jc w:val="center"/>
                    <w:textAlignment w:val="center"/>
                    <w:rPr>
                      <w:rFonts w:hint="eastAsia"/>
                      <w:lang w:val="en-US" w:eastAsia="zh-CN"/>
                    </w:rPr>
                  </w:pPr>
                  <w:r>
                    <w:rPr>
                      <w:rFonts w:hint="eastAsia" w:cs="Times New Roman"/>
                      <w:i w:val="0"/>
                      <w:iCs w:val="0"/>
                      <w:color w:val="000000"/>
                      <w:kern w:val="0"/>
                      <w:sz w:val="21"/>
                      <w:szCs w:val="21"/>
                      <w:u w:val="none"/>
                      <w:lang w:val="en-US" w:eastAsia="zh-CN" w:bidi="ar"/>
                    </w:rPr>
                    <w:t>2.886</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cs="Times New Roman"/>
                      <w:i w:val="0"/>
                      <w:iCs w:val="0"/>
                      <w:color w:val="000000"/>
                      <w:kern w:val="0"/>
                      <w:sz w:val="21"/>
                      <w:szCs w:val="21"/>
                      <w:u w:val="none"/>
                      <w:vertAlign w:val="superscript"/>
                      <w:lang w:val="en-US" w:eastAsia="zh-CN" w:bidi="ar"/>
                    </w:rPr>
                    <w:t>3</w:t>
                  </w:r>
                </w:p>
              </w:tc>
              <w:tc>
                <w:tcPr>
                  <w:tcW w:w="738" w:type="dxa"/>
                  <w:vAlign w:val="center"/>
                </w:tcPr>
                <w:p w14:paraId="4DED3388">
                  <w:pPr>
                    <w:keepNext w:val="0"/>
                    <w:keepLines w:val="0"/>
                    <w:widowControl/>
                    <w:suppressLineNumbers w:val="0"/>
                    <w:jc w:val="center"/>
                    <w:textAlignment w:val="center"/>
                    <w:rPr>
                      <w:rFonts w:hint="eastAsia"/>
                      <w:lang w:val="en-US" w:eastAsia="zh-CN"/>
                    </w:rPr>
                  </w:pPr>
                  <w:r>
                    <w:rPr>
                      <w:rFonts w:hint="eastAsia" w:cs="Times New Roman"/>
                      <w:i w:val="0"/>
                      <w:iCs w:val="0"/>
                      <w:color w:val="000000"/>
                      <w:kern w:val="0"/>
                      <w:sz w:val="21"/>
                      <w:szCs w:val="21"/>
                      <w:u w:val="none"/>
                      <w:lang w:val="en-US" w:eastAsia="zh-CN" w:bidi="ar"/>
                    </w:rPr>
                    <w:t>1.924</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cs="Times New Roman"/>
                      <w:i w:val="0"/>
                      <w:iCs w:val="0"/>
                      <w:color w:val="000000"/>
                      <w:kern w:val="0"/>
                      <w:sz w:val="21"/>
                      <w:szCs w:val="21"/>
                      <w:u w:val="none"/>
                      <w:vertAlign w:val="superscript"/>
                      <w:lang w:val="en-US" w:eastAsia="zh-CN" w:bidi="ar"/>
                    </w:rPr>
                    <w:t>2</w:t>
                  </w:r>
                </w:p>
              </w:tc>
              <w:tc>
                <w:tcPr>
                  <w:tcW w:w="785" w:type="dxa"/>
                  <w:vAlign w:val="center"/>
                </w:tcPr>
                <w:p w14:paraId="258C971D">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9.620 </w:t>
                  </w:r>
                </w:p>
              </w:tc>
              <w:tc>
                <w:tcPr>
                  <w:tcW w:w="750" w:type="dxa"/>
                  <w:vAlign w:val="center"/>
                </w:tcPr>
                <w:p w14:paraId="23D8ACF9">
                  <w:pPr>
                    <w:pStyle w:val="40"/>
                    <w:bidi w:val="0"/>
                    <w:rPr>
                      <w:rFonts w:hint="eastAsia"/>
                      <w:lang w:val="en-US" w:eastAsia="zh-CN"/>
                    </w:rPr>
                  </w:pPr>
                  <w:r>
                    <w:rPr>
                      <w:rFonts w:hint="eastAsia"/>
                      <w:lang w:val="en-US" w:eastAsia="zh-CN"/>
                    </w:rPr>
                    <w:t>DA002</w:t>
                  </w:r>
                </w:p>
              </w:tc>
              <w:tc>
                <w:tcPr>
                  <w:tcW w:w="776" w:type="dxa"/>
                  <w:vAlign w:val="center"/>
                </w:tcPr>
                <w:p w14:paraId="66FBABFE">
                  <w:pPr>
                    <w:pStyle w:val="40"/>
                    <w:bidi w:val="0"/>
                    <w:rPr>
                      <w:rFonts w:hint="eastAsia"/>
                      <w:lang w:val="en-US" w:eastAsia="zh-CN"/>
                    </w:rPr>
                  </w:pPr>
                  <w:r>
                    <w:rPr>
                      <w:rFonts w:hint="eastAsia"/>
                      <w:lang w:val="en-US" w:eastAsia="zh-CN"/>
                    </w:rPr>
                    <w:t>20</w:t>
                  </w:r>
                </w:p>
              </w:tc>
            </w:tr>
            <w:tr w14:paraId="543FE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641" w:type="dxa"/>
                  <w:vMerge w:val="continue"/>
                  <w:vAlign w:val="center"/>
                </w:tcPr>
                <w:p w14:paraId="6C4B68EA">
                  <w:pPr>
                    <w:pStyle w:val="40"/>
                    <w:bidi w:val="0"/>
                    <w:rPr>
                      <w:rFonts w:hint="eastAsia"/>
                      <w:lang w:val="en-US" w:eastAsia="zh-CN"/>
                    </w:rPr>
                  </w:pPr>
                </w:p>
              </w:tc>
              <w:tc>
                <w:tcPr>
                  <w:tcW w:w="900" w:type="dxa"/>
                  <w:vMerge w:val="continue"/>
                  <w:vAlign w:val="center"/>
                </w:tcPr>
                <w:p w14:paraId="409D3A22">
                  <w:pPr>
                    <w:pStyle w:val="40"/>
                    <w:bidi w:val="0"/>
                    <w:rPr>
                      <w:rFonts w:hint="eastAsia"/>
                      <w:lang w:val="en-US" w:eastAsia="zh-CN"/>
                    </w:rPr>
                  </w:pPr>
                </w:p>
              </w:tc>
              <w:tc>
                <w:tcPr>
                  <w:tcW w:w="554" w:type="dxa"/>
                  <w:vMerge w:val="continue"/>
                  <w:vAlign w:val="center"/>
                </w:tcPr>
                <w:p w14:paraId="3F70E168">
                  <w:pPr>
                    <w:pStyle w:val="40"/>
                    <w:bidi w:val="0"/>
                    <w:rPr>
                      <w:rFonts w:hint="eastAsia"/>
                      <w:lang w:val="en-US" w:eastAsia="zh-CN"/>
                    </w:rPr>
                  </w:pPr>
                </w:p>
              </w:tc>
              <w:tc>
                <w:tcPr>
                  <w:tcW w:w="559" w:type="dxa"/>
                  <w:vAlign w:val="center"/>
                </w:tcPr>
                <w:p w14:paraId="427A7CBA">
                  <w:pPr>
                    <w:pStyle w:val="40"/>
                    <w:bidi w:val="0"/>
                    <w:rPr>
                      <w:rFonts w:hint="eastAsia"/>
                      <w:lang w:val="en-US" w:eastAsia="zh-CN"/>
                    </w:rPr>
                  </w:pPr>
                  <w:r>
                    <w:rPr>
                      <w:rFonts w:hint="eastAsia"/>
                      <w:lang w:val="en-US" w:eastAsia="zh-CN"/>
                    </w:rPr>
                    <w:t>无组织</w:t>
                  </w:r>
                </w:p>
              </w:tc>
              <w:tc>
                <w:tcPr>
                  <w:tcW w:w="745" w:type="dxa"/>
                  <w:vAlign w:val="center"/>
                </w:tcPr>
                <w:p w14:paraId="04AB59B9">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0.518 </w:t>
                  </w:r>
                </w:p>
              </w:tc>
              <w:tc>
                <w:tcPr>
                  <w:tcW w:w="738" w:type="dxa"/>
                  <w:vAlign w:val="center"/>
                </w:tcPr>
                <w:p w14:paraId="75FEA6D3">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3.453 </w:t>
                  </w:r>
                </w:p>
              </w:tc>
              <w:tc>
                <w:tcPr>
                  <w:tcW w:w="843" w:type="dxa"/>
                  <w:vAlign w:val="center"/>
                </w:tcPr>
                <w:p w14:paraId="34FE70F6">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73" w:type="dxa"/>
                  <w:vAlign w:val="center"/>
                </w:tcPr>
                <w:p w14:paraId="0FB8B772">
                  <w:pPr>
                    <w:pStyle w:val="40"/>
                    <w:bidi w:val="0"/>
                    <w:rPr>
                      <w:rFonts w:hint="eastAsia"/>
                      <w:lang w:val="en-US" w:eastAsia="zh-CN"/>
                    </w:rPr>
                  </w:pPr>
                  <w:r>
                    <w:rPr>
                      <w:rFonts w:hint="eastAsia"/>
                      <w:lang w:val="en-US" w:eastAsia="zh-CN"/>
                    </w:rPr>
                    <w:t>/</w:t>
                  </w:r>
                </w:p>
              </w:tc>
              <w:tc>
                <w:tcPr>
                  <w:tcW w:w="750" w:type="dxa"/>
                  <w:vAlign w:val="center"/>
                </w:tcPr>
                <w:p w14:paraId="0A012B46">
                  <w:pPr>
                    <w:pStyle w:val="40"/>
                    <w:bidi w:val="0"/>
                    <w:rPr>
                      <w:rFonts w:hint="eastAsia"/>
                      <w:lang w:val="en-US" w:eastAsia="zh-CN"/>
                    </w:rPr>
                  </w:pPr>
                  <w:r>
                    <w:rPr>
                      <w:rFonts w:hint="eastAsia"/>
                      <w:lang w:val="en-US" w:eastAsia="zh-CN"/>
                    </w:rPr>
                    <w:t>/</w:t>
                  </w:r>
                </w:p>
              </w:tc>
              <w:tc>
                <w:tcPr>
                  <w:tcW w:w="669" w:type="dxa"/>
                  <w:vAlign w:val="center"/>
                </w:tcPr>
                <w:p w14:paraId="36FDE634">
                  <w:pPr>
                    <w:pStyle w:val="40"/>
                    <w:bidi w:val="0"/>
                    <w:rPr>
                      <w:rFonts w:hint="eastAsia"/>
                      <w:lang w:val="en-US" w:eastAsia="zh-CN"/>
                    </w:rPr>
                  </w:pPr>
                  <w:r>
                    <w:rPr>
                      <w:rFonts w:hint="eastAsia"/>
                      <w:lang w:val="en-US" w:eastAsia="zh-CN"/>
                    </w:rPr>
                    <w:t>/</w:t>
                  </w:r>
                </w:p>
              </w:tc>
              <w:tc>
                <w:tcPr>
                  <w:tcW w:w="704" w:type="dxa"/>
                  <w:vAlign w:val="center"/>
                </w:tcPr>
                <w:p w14:paraId="1B71658F">
                  <w:pPr>
                    <w:pStyle w:val="40"/>
                    <w:bidi w:val="0"/>
                    <w:rPr>
                      <w:rFonts w:hint="eastAsia"/>
                      <w:lang w:val="en-US" w:eastAsia="zh-CN"/>
                    </w:rPr>
                  </w:pPr>
                  <w:r>
                    <w:rPr>
                      <w:rFonts w:hint="eastAsia"/>
                      <w:lang w:val="en-US" w:eastAsia="zh-CN"/>
                    </w:rPr>
                    <w:t>/</w:t>
                  </w:r>
                </w:p>
              </w:tc>
              <w:tc>
                <w:tcPr>
                  <w:tcW w:w="727" w:type="dxa"/>
                  <w:vAlign w:val="center"/>
                </w:tcPr>
                <w:p w14:paraId="3FD8C219">
                  <w:pPr>
                    <w:pStyle w:val="40"/>
                    <w:bidi w:val="0"/>
                    <w:rPr>
                      <w:rFonts w:hint="eastAsia"/>
                      <w:lang w:val="en-US" w:eastAsia="zh-CN"/>
                    </w:rPr>
                  </w:pPr>
                  <w:r>
                    <w:rPr>
                      <w:rFonts w:hint="eastAsia" w:cs="Times New Roman"/>
                      <w:kern w:val="2"/>
                      <w:sz w:val="21"/>
                      <w:szCs w:val="21"/>
                      <w:lang w:val="en-US" w:eastAsia="zh-CN" w:bidi="ar-SA"/>
                    </w:rPr>
                    <w:t>/</w:t>
                  </w:r>
                </w:p>
              </w:tc>
              <w:tc>
                <w:tcPr>
                  <w:tcW w:w="750" w:type="dxa"/>
                  <w:vAlign w:val="center"/>
                </w:tcPr>
                <w:p w14:paraId="1F61A50B">
                  <w:pPr>
                    <w:keepNext w:val="0"/>
                    <w:keepLines w:val="0"/>
                    <w:widowControl/>
                    <w:suppressLineNumbers w:val="0"/>
                    <w:jc w:val="center"/>
                    <w:textAlignment w:val="center"/>
                    <w:rPr>
                      <w:rFonts w:hint="default"/>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518</w:t>
                  </w:r>
                </w:p>
              </w:tc>
              <w:tc>
                <w:tcPr>
                  <w:tcW w:w="738" w:type="dxa"/>
                  <w:vAlign w:val="center"/>
                </w:tcPr>
                <w:p w14:paraId="3BADDEDE">
                  <w:pPr>
                    <w:keepNext w:val="0"/>
                    <w:keepLines w:val="0"/>
                    <w:widowControl/>
                    <w:suppressLineNumbers w:val="0"/>
                    <w:jc w:val="center"/>
                    <w:textAlignment w:val="center"/>
                    <w:rPr>
                      <w:rFonts w:hint="default"/>
                      <w:lang w:val="en-US" w:eastAsia="zh-CN"/>
                    </w:rPr>
                  </w:pPr>
                  <w:r>
                    <w:rPr>
                      <w:rFonts w:hint="eastAsia" w:cs="Times New Roman"/>
                      <w:i w:val="0"/>
                      <w:iCs w:val="0"/>
                      <w:color w:val="000000"/>
                      <w:kern w:val="0"/>
                      <w:sz w:val="21"/>
                      <w:szCs w:val="21"/>
                      <w:u w:val="none"/>
                      <w:lang w:val="en-US" w:eastAsia="zh-CN" w:bidi="ar"/>
                    </w:rPr>
                    <w:t>3.453</w:t>
                  </w:r>
                </w:p>
              </w:tc>
              <w:tc>
                <w:tcPr>
                  <w:tcW w:w="785" w:type="dxa"/>
                  <w:vAlign w:val="center"/>
                </w:tcPr>
                <w:p w14:paraId="67ADD1D4">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50" w:type="dxa"/>
                  <w:vAlign w:val="center"/>
                </w:tcPr>
                <w:p w14:paraId="4D91A818">
                  <w:pPr>
                    <w:pStyle w:val="40"/>
                    <w:bidi w:val="0"/>
                    <w:rPr>
                      <w:rFonts w:hint="eastAsia"/>
                      <w:lang w:val="en-US" w:eastAsia="zh-CN"/>
                    </w:rPr>
                  </w:pPr>
                  <w:r>
                    <w:rPr>
                      <w:rFonts w:hint="eastAsia"/>
                      <w:lang w:val="en-US" w:eastAsia="zh-CN"/>
                    </w:rPr>
                    <w:t>/</w:t>
                  </w:r>
                </w:p>
              </w:tc>
              <w:tc>
                <w:tcPr>
                  <w:tcW w:w="776" w:type="dxa"/>
                  <w:vAlign w:val="center"/>
                </w:tcPr>
                <w:p w14:paraId="39387BBA">
                  <w:pPr>
                    <w:pStyle w:val="40"/>
                    <w:bidi w:val="0"/>
                    <w:rPr>
                      <w:rFonts w:hint="eastAsia"/>
                      <w:lang w:val="en-US" w:eastAsia="zh-CN"/>
                    </w:rPr>
                  </w:pPr>
                  <w:r>
                    <w:rPr>
                      <w:rFonts w:hint="eastAsia"/>
                      <w:lang w:val="en-US" w:eastAsia="zh-CN"/>
                    </w:rPr>
                    <w:t>0.5</w:t>
                  </w:r>
                </w:p>
              </w:tc>
            </w:tr>
            <w:tr w14:paraId="64D0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41" w:type="dxa"/>
                  <w:vMerge w:val="continue"/>
                  <w:vAlign w:val="center"/>
                </w:tcPr>
                <w:p w14:paraId="6EC0422E">
                  <w:pPr>
                    <w:pStyle w:val="40"/>
                    <w:bidi w:val="0"/>
                    <w:rPr>
                      <w:rFonts w:hint="eastAsia"/>
                      <w:lang w:val="en-US" w:eastAsia="zh-CN"/>
                    </w:rPr>
                  </w:pPr>
                </w:p>
              </w:tc>
              <w:tc>
                <w:tcPr>
                  <w:tcW w:w="900" w:type="dxa"/>
                  <w:vMerge w:val="restart"/>
                  <w:vAlign w:val="center"/>
                </w:tcPr>
                <w:p w14:paraId="228E4A96">
                  <w:pPr>
                    <w:pStyle w:val="40"/>
                    <w:bidi w:val="0"/>
                    <w:rPr>
                      <w:rFonts w:hint="eastAsia"/>
                      <w:lang w:val="en-US" w:eastAsia="zh-CN"/>
                    </w:rPr>
                  </w:pPr>
                  <w:r>
                    <w:rPr>
                      <w:rFonts w:hint="eastAsia"/>
                      <w:lang w:val="en-US" w:eastAsia="zh-CN"/>
                    </w:rPr>
                    <w:t>水泥砖生产线投料粉尘</w:t>
                  </w:r>
                </w:p>
              </w:tc>
              <w:tc>
                <w:tcPr>
                  <w:tcW w:w="554" w:type="dxa"/>
                  <w:vMerge w:val="restart"/>
                  <w:vAlign w:val="center"/>
                </w:tcPr>
                <w:p w14:paraId="6D8F946D">
                  <w:pPr>
                    <w:pStyle w:val="40"/>
                    <w:bidi w:val="0"/>
                    <w:rPr>
                      <w:rFonts w:hint="eastAsia"/>
                      <w:lang w:val="en-US" w:eastAsia="zh-CN"/>
                    </w:rPr>
                  </w:pPr>
                  <w:r>
                    <w:rPr>
                      <w:rFonts w:hint="eastAsia" w:cs="Times New Roman"/>
                      <w:kern w:val="2"/>
                      <w:sz w:val="21"/>
                      <w:szCs w:val="21"/>
                      <w:lang w:val="en-US" w:eastAsia="zh-CN" w:bidi="ar-SA"/>
                    </w:rPr>
                    <w:t>颗粒物</w:t>
                  </w:r>
                </w:p>
              </w:tc>
              <w:tc>
                <w:tcPr>
                  <w:tcW w:w="559" w:type="dxa"/>
                  <w:vAlign w:val="center"/>
                </w:tcPr>
                <w:p w14:paraId="6D990277">
                  <w:pPr>
                    <w:pStyle w:val="40"/>
                    <w:bidi w:val="0"/>
                    <w:rPr>
                      <w:rFonts w:hint="eastAsia"/>
                      <w:lang w:val="en-US" w:eastAsia="zh-CN"/>
                    </w:rPr>
                  </w:pPr>
                  <w:r>
                    <w:rPr>
                      <w:rFonts w:hint="eastAsia"/>
                      <w:lang w:val="en-US" w:eastAsia="zh-CN"/>
                    </w:rPr>
                    <w:t>有组织</w:t>
                  </w:r>
                </w:p>
              </w:tc>
              <w:tc>
                <w:tcPr>
                  <w:tcW w:w="745" w:type="dxa"/>
                  <w:vAlign w:val="center"/>
                </w:tcPr>
                <w:p w14:paraId="68758EFF">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0.135 </w:t>
                  </w:r>
                </w:p>
              </w:tc>
              <w:tc>
                <w:tcPr>
                  <w:tcW w:w="738" w:type="dxa"/>
                  <w:vAlign w:val="center"/>
                </w:tcPr>
                <w:p w14:paraId="43717FCA">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0.897 </w:t>
                  </w:r>
                </w:p>
              </w:tc>
              <w:tc>
                <w:tcPr>
                  <w:tcW w:w="843" w:type="dxa"/>
                  <w:vAlign w:val="center"/>
                </w:tcPr>
                <w:p w14:paraId="23B5710D">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897.000 </w:t>
                  </w:r>
                </w:p>
              </w:tc>
              <w:tc>
                <w:tcPr>
                  <w:tcW w:w="1373" w:type="dxa"/>
                  <w:vAlign w:val="center"/>
                </w:tcPr>
                <w:p w14:paraId="04D35387">
                  <w:pPr>
                    <w:pStyle w:val="40"/>
                    <w:bidi w:val="0"/>
                    <w:rPr>
                      <w:rFonts w:hint="eastAsia"/>
                      <w:lang w:val="en-US" w:eastAsia="zh-CN"/>
                    </w:rPr>
                  </w:pPr>
                  <w:r>
                    <w:rPr>
                      <w:rFonts w:hint="eastAsia"/>
                      <w:lang w:val="en-US" w:eastAsia="zh-CN"/>
                    </w:rPr>
                    <w:t>布袋除尘器+15m排气筒</w:t>
                  </w:r>
                </w:p>
              </w:tc>
              <w:tc>
                <w:tcPr>
                  <w:tcW w:w="750" w:type="dxa"/>
                  <w:vAlign w:val="center"/>
                </w:tcPr>
                <w:p w14:paraId="49AFD0FA">
                  <w:pPr>
                    <w:pStyle w:val="40"/>
                    <w:bidi w:val="0"/>
                    <w:rPr>
                      <w:rFonts w:hint="eastAsia"/>
                      <w:lang w:val="en-US" w:eastAsia="zh-CN"/>
                    </w:rPr>
                  </w:pPr>
                  <w:r>
                    <w:rPr>
                      <w:rFonts w:hint="eastAsia"/>
                      <w:lang w:val="en-US" w:eastAsia="zh-CN"/>
                    </w:rPr>
                    <w:t>1000</w:t>
                  </w:r>
                </w:p>
              </w:tc>
              <w:tc>
                <w:tcPr>
                  <w:tcW w:w="669" w:type="dxa"/>
                  <w:vAlign w:val="center"/>
                </w:tcPr>
                <w:p w14:paraId="4C124C9C">
                  <w:pPr>
                    <w:pStyle w:val="40"/>
                    <w:bidi w:val="0"/>
                    <w:rPr>
                      <w:rFonts w:hint="default"/>
                      <w:lang w:val="en-US" w:eastAsia="zh-CN"/>
                    </w:rPr>
                  </w:pPr>
                  <w:r>
                    <w:rPr>
                      <w:rFonts w:hint="eastAsia"/>
                      <w:lang w:val="en-US" w:eastAsia="zh-CN"/>
                    </w:rPr>
                    <w:t>65</w:t>
                  </w:r>
                </w:p>
              </w:tc>
              <w:tc>
                <w:tcPr>
                  <w:tcW w:w="704" w:type="dxa"/>
                  <w:vAlign w:val="center"/>
                </w:tcPr>
                <w:p w14:paraId="62C68BBF">
                  <w:pPr>
                    <w:pStyle w:val="40"/>
                    <w:bidi w:val="0"/>
                    <w:rPr>
                      <w:rFonts w:hint="default"/>
                      <w:lang w:val="en-US" w:eastAsia="zh-CN"/>
                    </w:rPr>
                  </w:pPr>
                  <w:r>
                    <w:rPr>
                      <w:rFonts w:hint="eastAsia"/>
                      <w:lang w:val="en-US" w:eastAsia="zh-CN"/>
                    </w:rPr>
                    <w:t>99.7</w:t>
                  </w:r>
                </w:p>
              </w:tc>
              <w:tc>
                <w:tcPr>
                  <w:tcW w:w="727" w:type="dxa"/>
                  <w:vAlign w:val="center"/>
                </w:tcPr>
                <w:p w14:paraId="0FD995FD">
                  <w:pPr>
                    <w:pStyle w:val="40"/>
                    <w:bidi w:val="0"/>
                    <w:rPr>
                      <w:rFonts w:hint="eastAsia"/>
                      <w:lang w:val="en-US" w:eastAsia="zh-CN"/>
                    </w:rPr>
                  </w:pPr>
                  <w:r>
                    <w:rPr>
                      <w:rFonts w:hint="eastAsia"/>
                      <w:lang w:val="en-US" w:eastAsia="zh-CN"/>
                    </w:rPr>
                    <w:t>是</w:t>
                  </w:r>
                </w:p>
              </w:tc>
              <w:tc>
                <w:tcPr>
                  <w:tcW w:w="750" w:type="dxa"/>
                  <w:vAlign w:val="center"/>
                </w:tcPr>
                <w:p w14:paraId="02E5E276">
                  <w:pPr>
                    <w:keepNext w:val="0"/>
                    <w:keepLines w:val="0"/>
                    <w:widowControl/>
                    <w:suppressLineNumbers w:val="0"/>
                    <w:jc w:val="center"/>
                    <w:textAlignment w:val="center"/>
                    <w:rPr>
                      <w:rFonts w:hint="eastAsia"/>
                      <w:lang w:val="en-US" w:eastAsia="zh-CN"/>
                    </w:rPr>
                  </w:pPr>
                  <w:r>
                    <w:rPr>
                      <w:rFonts w:hint="eastAsia" w:cs="Times New Roman"/>
                      <w:i w:val="0"/>
                      <w:iCs w:val="0"/>
                      <w:color w:val="000000"/>
                      <w:kern w:val="0"/>
                      <w:sz w:val="21"/>
                      <w:szCs w:val="21"/>
                      <w:u w:val="none"/>
                      <w:lang w:val="en-US" w:eastAsia="zh-CN" w:bidi="ar"/>
                    </w:rPr>
                    <w:t>4.037</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cs="Times New Roman"/>
                      <w:i w:val="0"/>
                      <w:iCs w:val="0"/>
                      <w:color w:val="000000"/>
                      <w:kern w:val="0"/>
                      <w:sz w:val="21"/>
                      <w:szCs w:val="21"/>
                      <w:u w:val="none"/>
                      <w:vertAlign w:val="superscript"/>
                      <w:lang w:val="en-US" w:eastAsia="zh-CN" w:bidi="ar"/>
                    </w:rPr>
                    <w:t>4</w:t>
                  </w:r>
                </w:p>
              </w:tc>
              <w:tc>
                <w:tcPr>
                  <w:tcW w:w="738" w:type="dxa"/>
                  <w:vAlign w:val="center"/>
                </w:tcPr>
                <w:p w14:paraId="146FA67B">
                  <w:pPr>
                    <w:keepNext w:val="0"/>
                    <w:keepLines w:val="0"/>
                    <w:widowControl/>
                    <w:suppressLineNumbers w:val="0"/>
                    <w:jc w:val="center"/>
                    <w:textAlignment w:val="center"/>
                    <w:rPr>
                      <w:rFonts w:hint="default"/>
                      <w:lang w:val="en-US" w:eastAsia="zh-CN"/>
                    </w:rPr>
                  </w:pPr>
                  <w:r>
                    <w:rPr>
                      <w:rFonts w:hint="eastAsia" w:cs="Times New Roman"/>
                      <w:i w:val="0"/>
                      <w:iCs w:val="0"/>
                      <w:color w:val="000000"/>
                      <w:kern w:val="0"/>
                      <w:sz w:val="21"/>
                      <w:szCs w:val="21"/>
                      <w:u w:val="none"/>
                      <w:lang w:val="en-US" w:eastAsia="zh-CN" w:bidi="ar"/>
                    </w:rPr>
                    <w:t>2.691</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cs="Times New Roman"/>
                      <w:i w:val="0"/>
                      <w:iCs w:val="0"/>
                      <w:color w:val="000000"/>
                      <w:kern w:val="0"/>
                      <w:sz w:val="21"/>
                      <w:szCs w:val="21"/>
                      <w:u w:val="none"/>
                      <w:vertAlign w:val="superscript"/>
                      <w:lang w:val="en-US" w:eastAsia="zh-CN" w:bidi="ar"/>
                    </w:rPr>
                    <w:t>3</w:t>
                  </w:r>
                </w:p>
              </w:tc>
              <w:tc>
                <w:tcPr>
                  <w:tcW w:w="785" w:type="dxa"/>
                  <w:vAlign w:val="center"/>
                </w:tcPr>
                <w:p w14:paraId="0ED16E62">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2.691 </w:t>
                  </w:r>
                </w:p>
              </w:tc>
              <w:tc>
                <w:tcPr>
                  <w:tcW w:w="750" w:type="dxa"/>
                  <w:vAlign w:val="center"/>
                </w:tcPr>
                <w:p w14:paraId="3AD78C9F">
                  <w:pPr>
                    <w:pStyle w:val="40"/>
                    <w:bidi w:val="0"/>
                    <w:rPr>
                      <w:rFonts w:hint="eastAsia"/>
                      <w:lang w:val="en-US" w:eastAsia="zh-CN"/>
                    </w:rPr>
                  </w:pPr>
                  <w:r>
                    <w:rPr>
                      <w:rFonts w:hint="eastAsia"/>
                      <w:lang w:val="en-US" w:eastAsia="zh-CN"/>
                    </w:rPr>
                    <w:t>DA003</w:t>
                  </w:r>
                </w:p>
              </w:tc>
              <w:tc>
                <w:tcPr>
                  <w:tcW w:w="776" w:type="dxa"/>
                  <w:vAlign w:val="center"/>
                </w:tcPr>
                <w:p w14:paraId="5D5542E2">
                  <w:pPr>
                    <w:pStyle w:val="40"/>
                    <w:bidi w:val="0"/>
                    <w:rPr>
                      <w:rFonts w:hint="eastAsia"/>
                      <w:lang w:val="en-US" w:eastAsia="zh-CN"/>
                    </w:rPr>
                  </w:pPr>
                  <w:r>
                    <w:rPr>
                      <w:rFonts w:hint="eastAsia"/>
                      <w:lang w:val="en-US" w:eastAsia="zh-CN"/>
                    </w:rPr>
                    <w:t>20</w:t>
                  </w:r>
                </w:p>
              </w:tc>
            </w:tr>
            <w:tr w14:paraId="728E3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41" w:type="dxa"/>
                  <w:vMerge w:val="continue"/>
                  <w:vAlign w:val="center"/>
                </w:tcPr>
                <w:p w14:paraId="3C9D889D">
                  <w:pPr>
                    <w:pStyle w:val="40"/>
                    <w:bidi w:val="0"/>
                    <w:rPr>
                      <w:rFonts w:hint="eastAsia"/>
                      <w:lang w:val="en-US" w:eastAsia="zh-CN"/>
                    </w:rPr>
                  </w:pPr>
                </w:p>
              </w:tc>
              <w:tc>
                <w:tcPr>
                  <w:tcW w:w="900" w:type="dxa"/>
                  <w:vMerge w:val="continue"/>
                  <w:vAlign w:val="center"/>
                </w:tcPr>
                <w:p w14:paraId="6E6DF0E1">
                  <w:pPr>
                    <w:pStyle w:val="40"/>
                    <w:bidi w:val="0"/>
                    <w:rPr>
                      <w:rFonts w:hint="eastAsia"/>
                      <w:lang w:val="en-US" w:eastAsia="zh-CN"/>
                    </w:rPr>
                  </w:pPr>
                </w:p>
              </w:tc>
              <w:tc>
                <w:tcPr>
                  <w:tcW w:w="554" w:type="dxa"/>
                  <w:vMerge w:val="continue"/>
                  <w:vAlign w:val="center"/>
                </w:tcPr>
                <w:p w14:paraId="3F254680">
                  <w:pPr>
                    <w:pStyle w:val="40"/>
                    <w:bidi w:val="0"/>
                    <w:rPr>
                      <w:rFonts w:hint="eastAsia"/>
                      <w:lang w:val="en-US" w:eastAsia="zh-CN"/>
                    </w:rPr>
                  </w:pPr>
                </w:p>
              </w:tc>
              <w:tc>
                <w:tcPr>
                  <w:tcW w:w="559" w:type="dxa"/>
                  <w:vAlign w:val="center"/>
                </w:tcPr>
                <w:p w14:paraId="76AEBF51">
                  <w:pPr>
                    <w:pStyle w:val="40"/>
                    <w:bidi w:val="0"/>
                    <w:rPr>
                      <w:rFonts w:hint="eastAsia"/>
                      <w:lang w:val="en-US" w:eastAsia="zh-CN"/>
                    </w:rPr>
                  </w:pPr>
                  <w:r>
                    <w:rPr>
                      <w:rFonts w:hint="eastAsia"/>
                      <w:lang w:val="en-US" w:eastAsia="zh-CN"/>
                    </w:rPr>
                    <w:t>无组织</w:t>
                  </w:r>
                </w:p>
              </w:tc>
              <w:tc>
                <w:tcPr>
                  <w:tcW w:w="745" w:type="dxa"/>
                  <w:vAlign w:val="center"/>
                </w:tcPr>
                <w:p w14:paraId="12637E16">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0.072 </w:t>
                  </w:r>
                </w:p>
              </w:tc>
              <w:tc>
                <w:tcPr>
                  <w:tcW w:w="738" w:type="dxa"/>
                  <w:vAlign w:val="center"/>
                </w:tcPr>
                <w:p w14:paraId="513FC995">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0.483 </w:t>
                  </w:r>
                </w:p>
              </w:tc>
              <w:tc>
                <w:tcPr>
                  <w:tcW w:w="843" w:type="dxa"/>
                  <w:vAlign w:val="center"/>
                </w:tcPr>
                <w:p w14:paraId="324B4A08">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73" w:type="dxa"/>
                  <w:vAlign w:val="center"/>
                </w:tcPr>
                <w:p w14:paraId="2CBDFA0E">
                  <w:pPr>
                    <w:pStyle w:val="40"/>
                    <w:bidi w:val="0"/>
                    <w:rPr>
                      <w:rFonts w:hint="eastAsia"/>
                      <w:lang w:val="en-US" w:eastAsia="zh-CN"/>
                    </w:rPr>
                  </w:pPr>
                  <w:r>
                    <w:rPr>
                      <w:rFonts w:hint="eastAsia"/>
                      <w:lang w:val="en-US" w:eastAsia="zh-CN"/>
                    </w:rPr>
                    <w:t>/</w:t>
                  </w:r>
                </w:p>
              </w:tc>
              <w:tc>
                <w:tcPr>
                  <w:tcW w:w="750" w:type="dxa"/>
                  <w:vAlign w:val="center"/>
                </w:tcPr>
                <w:p w14:paraId="2A83E5E6">
                  <w:pPr>
                    <w:pStyle w:val="40"/>
                    <w:bidi w:val="0"/>
                    <w:rPr>
                      <w:rFonts w:hint="eastAsia"/>
                      <w:lang w:val="en-US" w:eastAsia="zh-CN"/>
                    </w:rPr>
                  </w:pPr>
                  <w:r>
                    <w:rPr>
                      <w:rFonts w:hint="eastAsia"/>
                      <w:lang w:val="en-US" w:eastAsia="zh-CN"/>
                    </w:rPr>
                    <w:t>/</w:t>
                  </w:r>
                </w:p>
              </w:tc>
              <w:tc>
                <w:tcPr>
                  <w:tcW w:w="669" w:type="dxa"/>
                  <w:vAlign w:val="center"/>
                </w:tcPr>
                <w:p w14:paraId="5B3564DD">
                  <w:pPr>
                    <w:pStyle w:val="40"/>
                    <w:bidi w:val="0"/>
                    <w:rPr>
                      <w:rFonts w:hint="eastAsia"/>
                      <w:lang w:val="en-US" w:eastAsia="zh-CN"/>
                    </w:rPr>
                  </w:pPr>
                  <w:r>
                    <w:rPr>
                      <w:rFonts w:hint="eastAsia"/>
                      <w:lang w:val="en-US" w:eastAsia="zh-CN"/>
                    </w:rPr>
                    <w:t>/</w:t>
                  </w:r>
                </w:p>
              </w:tc>
              <w:tc>
                <w:tcPr>
                  <w:tcW w:w="704" w:type="dxa"/>
                  <w:vAlign w:val="center"/>
                </w:tcPr>
                <w:p w14:paraId="48895B11">
                  <w:pPr>
                    <w:pStyle w:val="40"/>
                    <w:bidi w:val="0"/>
                    <w:rPr>
                      <w:rFonts w:hint="eastAsia"/>
                      <w:lang w:val="en-US" w:eastAsia="zh-CN"/>
                    </w:rPr>
                  </w:pPr>
                  <w:r>
                    <w:rPr>
                      <w:rFonts w:hint="eastAsia"/>
                      <w:lang w:val="en-US" w:eastAsia="zh-CN"/>
                    </w:rPr>
                    <w:t>/</w:t>
                  </w:r>
                </w:p>
              </w:tc>
              <w:tc>
                <w:tcPr>
                  <w:tcW w:w="727" w:type="dxa"/>
                  <w:vAlign w:val="center"/>
                </w:tcPr>
                <w:p w14:paraId="53C4CE78">
                  <w:pPr>
                    <w:pStyle w:val="40"/>
                    <w:bidi w:val="0"/>
                    <w:rPr>
                      <w:rFonts w:hint="eastAsia"/>
                      <w:lang w:val="en-US" w:eastAsia="zh-CN"/>
                    </w:rPr>
                  </w:pPr>
                  <w:r>
                    <w:rPr>
                      <w:rFonts w:hint="eastAsia" w:cs="Times New Roman"/>
                      <w:kern w:val="2"/>
                      <w:sz w:val="21"/>
                      <w:szCs w:val="21"/>
                      <w:lang w:val="en-US" w:eastAsia="zh-CN" w:bidi="ar-SA"/>
                    </w:rPr>
                    <w:t>/</w:t>
                  </w:r>
                </w:p>
              </w:tc>
              <w:tc>
                <w:tcPr>
                  <w:tcW w:w="750" w:type="dxa"/>
                  <w:vAlign w:val="center"/>
                </w:tcPr>
                <w:p w14:paraId="70C541EC">
                  <w:pPr>
                    <w:keepNext w:val="0"/>
                    <w:keepLines w:val="0"/>
                    <w:widowControl/>
                    <w:suppressLineNumbers w:val="0"/>
                    <w:jc w:val="center"/>
                    <w:textAlignment w:val="center"/>
                    <w:rPr>
                      <w:rFonts w:hint="default" w:ascii="Times New Roman" w:hAnsi="Times New Roman" w:cs="Times New Roman"/>
                      <w:lang w:val="en-US" w:eastAsia="zh-CN"/>
                    </w:rPr>
                  </w:pPr>
                  <w:r>
                    <w:rPr>
                      <w:rFonts w:hint="eastAsia" w:ascii="Times New Roman" w:hAnsi="Times New Roman" w:cs="Times New Roman"/>
                      <w:i w:val="0"/>
                      <w:iCs w:val="0"/>
                      <w:color w:val="000000"/>
                      <w:kern w:val="0"/>
                      <w:sz w:val="21"/>
                      <w:szCs w:val="21"/>
                      <w:u w:val="none"/>
                      <w:lang w:val="en-US" w:eastAsia="zh-CN" w:bidi="ar"/>
                    </w:rPr>
                    <w:t>0.072</w:t>
                  </w:r>
                </w:p>
              </w:tc>
              <w:tc>
                <w:tcPr>
                  <w:tcW w:w="738" w:type="dxa"/>
                  <w:vAlign w:val="center"/>
                </w:tcPr>
                <w:p w14:paraId="3B17817E">
                  <w:pPr>
                    <w:keepNext w:val="0"/>
                    <w:keepLines w:val="0"/>
                    <w:widowControl/>
                    <w:suppressLineNumbers w:val="0"/>
                    <w:jc w:val="center"/>
                    <w:textAlignment w:val="center"/>
                    <w:rPr>
                      <w:rFonts w:hint="default"/>
                      <w:lang w:val="en-US" w:eastAsia="zh-CN"/>
                    </w:rPr>
                  </w:pPr>
                  <w:r>
                    <w:rPr>
                      <w:rFonts w:hint="eastAsia" w:cs="Times New Roman"/>
                      <w:i w:val="0"/>
                      <w:iCs w:val="0"/>
                      <w:color w:val="000000"/>
                      <w:kern w:val="0"/>
                      <w:sz w:val="21"/>
                      <w:szCs w:val="21"/>
                      <w:u w:val="none"/>
                      <w:lang w:val="en-US" w:eastAsia="zh-CN" w:bidi="ar"/>
                    </w:rPr>
                    <w:t>0.483</w:t>
                  </w:r>
                </w:p>
              </w:tc>
              <w:tc>
                <w:tcPr>
                  <w:tcW w:w="785" w:type="dxa"/>
                  <w:vAlign w:val="center"/>
                </w:tcPr>
                <w:p w14:paraId="557EF04D">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50" w:type="dxa"/>
                  <w:vAlign w:val="center"/>
                </w:tcPr>
                <w:p w14:paraId="04F3C16F">
                  <w:pPr>
                    <w:pStyle w:val="40"/>
                    <w:bidi w:val="0"/>
                    <w:rPr>
                      <w:rFonts w:hint="eastAsia"/>
                      <w:lang w:val="en-US" w:eastAsia="zh-CN"/>
                    </w:rPr>
                  </w:pPr>
                  <w:r>
                    <w:rPr>
                      <w:rFonts w:hint="eastAsia"/>
                      <w:lang w:val="en-US" w:eastAsia="zh-CN"/>
                    </w:rPr>
                    <w:t>/</w:t>
                  </w:r>
                </w:p>
              </w:tc>
              <w:tc>
                <w:tcPr>
                  <w:tcW w:w="776" w:type="dxa"/>
                  <w:vAlign w:val="center"/>
                </w:tcPr>
                <w:p w14:paraId="362D1924">
                  <w:pPr>
                    <w:pStyle w:val="40"/>
                    <w:bidi w:val="0"/>
                    <w:rPr>
                      <w:rFonts w:hint="eastAsia"/>
                      <w:lang w:val="en-US" w:eastAsia="zh-CN"/>
                    </w:rPr>
                  </w:pPr>
                  <w:r>
                    <w:rPr>
                      <w:rFonts w:hint="eastAsia"/>
                      <w:lang w:val="en-US" w:eastAsia="zh-CN"/>
                    </w:rPr>
                    <w:t>0.5</w:t>
                  </w:r>
                </w:p>
              </w:tc>
            </w:tr>
            <w:tr w14:paraId="5833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41" w:type="dxa"/>
                  <w:vMerge w:val="continue"/>
                  <w:vAlign w:val="center"/>
                </w:tcPr>
                <w:p w14:paraId="3DFF5477">
                  <w:pPr>
                    <w:pStyle w:val="40"/>
                    <w:bidi w:val="0"/>
                    <w:rPr>
                      <w:rFonts w:hint="eastAsia"/>
                      <w:lang w:val="en-US" w:eastAsia="zh-CN"/>
                    </w:rPr>
                  </w:pPr>
                </w:p>
              </w:tc>
              <w:tc>
                <w:tcPr>
                  <w:tcW w:w="900" w:type="dxa"/>
                  <w:vMerge w:val="restart"/>
                  <w:vAlign w:val="center"/>
                </w:tcPr>
                <w:p w14:paraId="783E5EDF">
                  <w:pPr>
                    <w:pStyle w:val="40"/>
                    <w:bidi w:val="0"/>
                    <w:rPr>
                      <w:rFonts w:hint="eastAsia"/>
                      <w:lang w:val="en-US" w:eastAsia="zh-CN"/>
                    </w:rPr>
                  </w:pPr>
                  <w:r>
                    <w:rPr>
                      <w:rFonts w:hint="eastAsia"/>
                      <w:lang w:val="en-US" w:eastAsia="zh-CN"/>
                    </w:rPr>
                    <w:t>现代化加气块生产线搅拌粉尘</w:t>
                  </w:r>
                </w:p>
              </w:tc>
              <w:tc>
                <w:tcPr>
                  <w:tcW w:w="554" w:type="dxa"/>
                  <w:vMerge w:val="restart"/>
                  <w:vAlign w:val="center"/>
                </w:tcPr>
                <w:p w14:paraId="578B5413">
                  <w:pPr>
                    <w:pStyle w:val="40"/>
                    <w:bidi w:val="0"/>
                    <w:rPr>
                      <w:rFonts w:hint="eastAsia"/>
                      <w:lang w:val="en-US" w:eastAsia="zh-CN"/>
                    </w:rPr>
                  </w:pPr>
                  <w:r>
                    <w:rPr>
                      <w:rFonts w:hint="eastAsia" w:cs="Times New Roman"/>
                      <w:kern w:val="2"/>
                      <w:sz w:val="21"/>
                      <w:szCs w:val="21"/>
                      <w:lang w:val="en-US" w:eastAsia="zh-CN" w:bidi="ar-SA"/>
                    </w:rPr>
                    <w:t>颗粒物</w:t>
                  </w:r>
                </w:p>
              </w:tc>
              <w:tc>
                <w:tcPr>
                  <w:tcW w:w="559" w:type="dxa"/>
                  <w:vAlign w:val="center"/>
                </w:tcPr>
                <w:p w14:paraId="64BE9B5E">
                  <w:pPr>
                    <w:pStyle w:val="40"/>
                    <w:bidi w:val="0"/>
                    <w:rPr>
                      <w:rFonts w:hint="eastAsia"/>
                      <w:lang w:val="en-US" w:eastAsia="zh-CN"/>
                    </w:rPr>
                  </w:pPr>
                  <w:r>
                    <w:rPr>
                      <w:rFonts w:hint="eastAsia"/>
                      <w:lang w:val="en-US" w:eastAsia="zh-CN"/>
                    </w:rPr>
                    <w:t>有组织</w:t>
                  </w:r>
                </w:p>
              </w:tc>
              <w:tc>
                <w:tcPr>
                  <w:tcW w:w="745" w:type="dxa"/>
                  <w:vAlign w:val="center"/>
                </w:tcPr>
                <w:p w14:paraId="68BDA452">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12.552 </w:t>
                  </w:r>
                </w:p>
              </w:tc>
              <w:tc>
                <w:tcPr>
                  <w:tcW w:w="738" w:type="dxa"/>
                  <w:vAlign w:val="center"/>
                </w:tcPr>
                <w:p w14:paraId="660A0C3F">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5.230 </w:t>
                  </w:r>
                </w:p>
              </w:tc>
              <w:tc>
                <w:tcPr>
                  <w:tcW w:w="843" w:type="dxa"/>
                  <w:vAlign w:val="center"/>
                </w:tcPr>
                <w:p w14:paraId="467225E9">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5230.000 </w:t>
                  </w:r>
                </w:p>
              </w:tc>
              <w:tc>
                <w:tcPr>
                  <w:tcW w:w="1373" w:type="dxa"/>
                  <w:vAlign w:val="center"/>
                </w:tcPr>
                <w:p w14:paraId="4B0A57B7">
                  <w:pPr>
                    <w:pStyle w:val="40"/>
                    <w:bidi w:val="0"/>
                    <w:rPr>
                      <w:rFonts w:hint="eastAsia"/>
                      <w:lang w:val="en-US" w:eastAsia="zh-CN"/>
                    </w:rPr>
                  </w:pPr>
                  <w:r>
                    <w:rPr>
                      <w:rFonts w:hint="eastAsia"/>
                      <w:lang w:val="en-US" w:eastAsia="zh-CN"/>
                    </w:rPr>
                    <w:t>布袋除尘器+15m排气筒</w:t>
                  </w:r>
                </w:p>
              </w:tc>
              <w:tc>
                <w:tcPr>
                  <w:tcW w:w="750" w:type="dxa"/>
                  <w:vAlign w:val="center"/>
                </w:tcPr>
                <w:p w14:paraId="0DCD55E8">
                  <w:pPr>
                    <w:pStyle w:val="40"/>
                    <w:bidi w:val="0"/>
                    <w:rPr>
                      <w:rFonts w:hint="eastAsia"/>
                      <w:lang w:val="en-US" w:eastAsia="zh-CN"/>
                    </w:rPr>
                  </w:pPr>
                  <w:r>
                    <w:rPr>
                      <w:rFonts w:hint="eastAsia"/>
                      <w:lang w:val="en-US" w:eastAsia="zh-CN"/>
                    </w:rPr>
                    <w:t>1000</w:t>
                  </w:r>
                </w:p>
              </w:tc>
              <w:tc>
                <w:tcPr>
                  <w:tcW w:w="669" w:type="dxa"/>
                  <w:vAlign w:val="center"/>
                </w:tcPr>
                <w:p w14:paraId="41D2A9BE">
                  <w:pPr>
                    <w:pStyle w:val="40"/>
                    <w:bidi w:val="0"/>
                    <w:rPr>
                      <w:rFonts w:hint="default"/>
                      <w:lang w:val="en-US" w:eastAsia="zh-CN"/>
                    </w:rPr>
                  </w:pPr>
                  <w:r>
                    <w:rPr>
                      <w:rFonts w:hint="eastAsia"/>
                      <w:lang w:val="en-US" w:eastAsia="zh-CN"/>
                    </w:rPr>
                    <w:t>80</w:t>
                  </w:r>
                </w:p>
              </w:tc>
              <w:tc>
                <w:tcPr>
                  <w:tcW w:w="704" w:type="dxa"/>
                  <w:vAlign w:val="center"/>
                </w:tcPr>
                <w:p w14:paraId="489395BF">
                  <w:pPr>
                    <w:pStyle w:val="40"/>
                    <w:bidi w:val="0"/>
                    <w:rPr>
                      <w:rFonts w:hint="default"/>
                      <w:lang w:val="en-US" w:eastAsia="zh-CN"/>
                    </w:rPr>
                  </w:pPr>
                  <w:r>
                    <w:rPr>
                      <w:rFonts w:hint="eastAsia"/>
                      <w:lang w:val="en-US" w:eastAsia="zh-CN"/>
                    </w:rPr>
                    <w:t>99.7</w:t>
                  </w:r>
                </w:p>
              </w:tc>
              <w:tc>
                <w:tcPr>
                  <w:tcW w:w="727" w:type="dxa"/>
                  <w:vAlign w:val="center"/>
                </w:tcPr>
                <w:p w14:paraId="61EAFBE1">
                  <w:pPr>
                    <w:pStyle w:val="40"/>
                    <w:bidi w:val="0"/>
                    <w:rPr>
                      <w:rFonts w:hint="eastAsia"/>
                      <w:lang w:val="en-US" w:eastAsia="zh-CN"/>
                    </w:rPr>
                  </w:pPr>
                  <w:r>
                    <w:rPr>
                      <w:rFonts w:hint="eastAsia"/>
                      <w:lang w:val="en-US" w:eastAsia="zh-CN"/>
                    </w:rPr>
                    <w:t>是</w:t>
                  </w:r>
                </w:p>
              </w:tc>
              <w:tc>
                <w:tcPr>
                  <w:tcW w:w="750" w:type="dxa"/>
                  <w:vAlign w:val="center"/>
                </w:tcPr>
                <w:p w14:paraId="2291F8BC">
                  <w:pPr>
                    <w:keepNext w:val="0"/>
                    <w:keepLines w:val="0"/>
                    <w:widowControl/>
                    <w:suppressLineNumbers w:val="0"/>
                    <w:jc w:val="center"/>
                    <w:textAlignment w:val="center"/>
                    <w:rPr>
                      <w:rFonts w:hint="default"/>
                      <w:lang w:val="en-US" w:eastAsia="zh-CN"/>
                    </w:rPr>
                  </w:pPr>
                  <w:r>
                    <w:rPr>
                      <w:rFonts w:hint="eastAsia" w:cs="Times New Roman"/>
                      <w:i w:val="0"/>
                      <w:iCs w:val="0"/>
                      <w:color w:val="000000"/>
                      <w:kern w:val="0"/>
                      <w:sz w:val="21"/>
                      <w:szCs w:val="21"/>
                      <w:u w:val="none"/>
                      <w:lang w:val="en-US" w:eastAsia="zh-CN" w:bidi="ar"/>
                    </w:rPr>
                    <w:t>3.766</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ascii="Times New Roman" w:hAnsi="Times New Roman" w:eastAsia="宋体" w:cs="Times New Roman"/>
                      <w:i w:val="0"/>
                      <w:iCs w:val="0"/>
                      <w:color w:val="000000"/>
                      <w:kern w:val="0"/>
                      <w:sz w:val="21"/>
                      <w:szCs w:val="21"/>
                      <w:u w:val="none"/>
                      <w:vertAlign w:val="superscript"/>
                      <w:lang w:val="en-US" w:eastAsia="zh-CN" w:bidi="ar"/>
                    </w:rPr>
                    <w:t>2</w:t>
                  </w:r>
                </w:p>
              </w:tc>
              <w:tc>
                <w:tcPr>
                  <w:tcW w:w="738" w:type="dxa"/>
                  <w:vAlign w:val="center"/>
                </w:tcPr>
                <w:p w14:paraId="0D2C5A56">
                  <w:pPr>
                    <w:keepNext w:val="0"/>
                    <w:keepLines w:val="0"/>
                    <w:widowControl/>
                    <w:suppressLineNumbers w:val="0"/>
                    <w:jc w:val="center"/>
                    <w:textAlignment w:val="center"/>
                    <w:rPr>
                      <w:rFonts w:hint="eastAsia"/>
                      <w:lang w:val="en-US" w:eastAsia="zh-CN"/>
                    </w:rPr>
                  </w:pPr>
                  <w:r>
                    <w:rPr>
                      <w:rFonts w:hint="eastAsia" w:cs="Times New Roman"/>
                      <w:i w:val="0"/>
                      <w:iCs w:val="0"/>
                      <w:color w:val="000000"/>
                      <w:kern w:val="0"/>
                      <w:sz w:val="21"/>
                      <w:szCs w:val="21"/>
                      <w:u w:val="none"/>
                      <w:lang w:val="en-US" w:eastAsia="zh-CN" w:bidi="ar"/>
                    </w:rPr>
                    <w:t>1.569</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cs="Times New Roman"/>
                      <w:i w:val="0"/>
                      <w:iCs w:val="0"/>
                      <w:color w:val="000000"/>
                      <w:kern w:val="0"/>
                      <w:sz w:val="21"/>
                      <w:szCs w:val="21"/>
                      <w:u w:val="none"/>
                      <w:vertAlign w:val="superscript"/>
                      <w:lang w:val="en-US" w:eastAsia="zh-CN" w:bidi="ar"/>
                    </w:rPr>
                    <w:t>2</w:t>
                  </w:r>
                </w:p>
              </w:tc>
              <w:tc>
                <w:tcPr>
                  <w:tcW w:w="785" w:type="dxa"/>
                  <w:vAlign w:val="center"/>
                </w:tcPr>
                <w:p w14:paraId="46A5CF92">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15.690 </w:t>
                  </w:r>
                </w:p>
              </w:tc>
              <w:tc>
                <w:tcPr>
                  <w:tcW w:w="750" w:type="dxa"/>
                  <w:vAlign w:val="center"/>
                </w:tcPr>
                <w:p w14:paraId="3D371F7C">
                  <w:pPr>
                    <w:pStyle w:val="40"/>
                    <w:bidi w:val="0"/>
                    <w:rPr>
                      <w:rFonts w:hint="eastAsia"/>
                      <w:lang w:val="en-US" w:eastAsia="zh-CN"/>
                    </w:rPr>
                  </w:pPr>
                  <w:r>
                    <w:rPr>
                      <w:rFonts w:hint="eastAsia"/>
                      <w:lang w:val="en-US" w:eastAsia="zh-CN"/>
                    </w:rPr>
                    <w:t>DA004</w:t>
                  </w:r>
                </w:p>
              </w:tc>
              <w:tc>
                <w:tcPr>
                  <w:tcW w:w="776" w:type="dxa"/>
                  <w:vAlign w:val="center"/>
                </w:tcPr>
                <w:p w14:paraId="7BFEAFAA">
                  <w:pPr>
                    <w:pStyle w:val="40"/>
                    <w:bidi w:val="0"/>
                    <w:rPr>
                      <w:rFonts w:hint="eastAsia"/>
                      <w:lang w:val="en-US" w:eastAsia="zh-CN"/>
                    </w:rPr>
                  </w:pPr>
                  <w:r>
                    <w:rPr>
                      <w:rFonts w:hint="eastAsia"/>
                      <w:lang w:val="en-US" w:eastAsia="zh-CN"/>
                    </w:rPr>
                    <w:t>20</w:t>
                  </w:r>
                </w:p>
              </w:tc>
            </w:tr>
            <w:tr w14:paraId="2B355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continue"/>
                  <w:vAlign w:val="center"/>
                </w:tcPr>
                <w:p w14:paraId="76D57ECB">
                  <w:pPr>
                    <w:pStyle w:val="40"/>
                    <w:bidi w:val="0"/>
                    <w:rPr>
                      <w:rFonts w:hint="eastAsia"/>
                      <w:lang w:val="en-US" w:eastAsia="zh-CN"/>
                    </w:rPr>
                  </w:pPr>
                </w:p>
              </w:tc>
              <w:tc>
                <w:tcPr>
                  <w:tcW w:w="900" w:type="dxa"/>
                  <w:vMerge w:val="continue"/>
                  <w:vAlign w:val="center"/>
                </w:tcPr>
                <w:p w14:paraId="0D803A20">
                  <w:pPr>
                    <w:pStyle w:val="40"/>
                    <w:bidi w:val="0"/>
                    <w:rPr>
                      <w:rFonts w:hint="eastAsia"/>
                      <w:lang w:val="en-US" w:eastAsia="zh-CN"/>
                    </w:rPr>
                  </w:pPr>
                </w:p>
              </w:tc>
              <w:tc>
                <w:tcPr>
                  <w:tcW w:w="554" w:type="dxa"/>
                  <w:vMerge w:val="continue"/>
                  <w:vAlign w:val="center"/>
                </w:tcPr>
                <w:p w14:paraId="25C9AEC6">
                  <w:pPr>
                    <w:pStyle w:val="40"/>
                    <w:bidi w:val="0"/>
                    <w:rPr>
                      <w:rFonts w:hint="eastAsia"/>
                      <w:lang w:val="en-US" w:eastAsia="zh-CN"/>
                    </w:rPr>
                  </w:pPr>
                </w:p>
              </w:tc>
              <w:tc>
                <w:tcPr>
                  <w:tcW w:w="559" w:type="dxa"/>
                  <w:vAlign w:val="center"/>
                </w:tcPr>
                <w:p w14:paraId="1E445737">
                  <w:pPr>
                    <w:pStyle w:val="40"/>
                    <w:bidi w:val="0"/>
                    <w:rPr>
                      <w:rFonts w:hint="eastAsia"/>
                      <w:lang w:val="en-US" w:eastAsia="zh-CN"/>
                    </w:rPr>
                  </w:pPr>
                  <w:r>
                    <w:rPr>
                      <w:rFonts w:hint="eastAsia"/>
                      <w:lang w:val="en-US" w:eastAsia="zh-CN"/>
                    </w:rPr>
                    <w:t>无组织</w:t>
                  </w:r>
                </w:p>
              </w:tc>
              <w:tc>
                <w:tcPr>
                  <w:tcW w:w="745" w:type="dxa"/>
                  <w:vAlign w:val="center"/>
                </w:tcPr>
                <w:p w14:paraId="08107449">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3.138 </w:t>
                  </w:r>
                </w:p>
              </w:tc>
              <w:tc>
                <w:tcPr>
                  <w:tcW w:w="738" w:type="dxa"/>
                  <w:vAlign w:val="center"/>
                </w:tcPr>
                <w:p w14:paraId="283F7D96">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1.308 </w:t>
                  </w:r>
                </w:p>
              </w:tc>
              <w:tc>
                <w:tcPr>
                  <w:tcW w:w="843" w:type="dxa"/>
                  <w:vAlign w:val="center"/>
                </w:tcPr>
                <w:p w14:paraId="619E2F70">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73" w:type="dxa"/>
                  <w:vAlign w:val="center"/>
                </w:tcPr>
                <w:p w14:paraId="31F240D2">
                  <w:pPr>
                    <w:pStyle w:val="40"/>
                    <w:bidi w:val="0"/>
                    <w:rPr>
                      <w:rFonts w:hint="eastAsia"/>
                      <w:lang w:val="en-US" w:eastAsia="zh-CN"/>
                    </w:rPr>
                  </w:pPr>
                  <w:r>
                    <w:rPr>
                      <w:rFonts w:hint="eastAsia"/>
                      <w:lang w:val="en-US" w:eastAsia="zh-CN"/>
                    </w:rPr>
                    <w:t>/</w:t>
                  </w:r>
                </w:p>
              </w:tc>
              <w:tc>
                <w:tcPr>
                  <w:tcW w:w="750" w:type="dxa"/>
                  <w:vAlign w:val="center"/>
                </w:tcPr>
                <w:p w14:paraId="3D9345AC">
                  <w:pPr>
                    <w:pStyle w:val="40"/>
                    <w:bidi w:val="0"/>
                    <w:rPr>
                      <w:rFonts w:hint="eastAsia"/>
                      <w:lang w:val="en-US" w:eastAsia="zh-CN"/>
                    </w:rPr>
                  </w:pPr>
                  <w:r>
                    <w:rPr>
                      <w:rFonts w:hint="eastAsia"/>
                      <w:lang w:val="en-US" w:eastAsia="zh-CN"/>
                    </w:rPr>
                    <w:t>/</w:t>
                  </w:r>
                </w:p>
              </w:tc>
              <w:tc>
                <w:tcPr>
                  <w:tcW w:w="669" w:type="dxa"/>
                  <w:vAlign w:val="center"/>
                </w:tcPr>
                <w:p w14:paraId="753AFD59">
                  <w:pPr>
                    <w:pStyle w:val="40"/>
                    <w:bidi w:val="0"/>
                    <w:rPr>
                      <w:rFonts w:hint="eastAsia"/>
                      <w:lang w:val="en-US" w:eastAsia="zh-CN"/>
                    </w:rPr>
                  </w:pPr>
                  <w:r>
                    <w:rPr>
                      <w:rFonts w:hint="eastAsia"/>
                      <w:lang w:val="en-US" w:eastAsia="zh-CN"/>
                    </w:rPr>
                    <w:t>/</w:t>
                  </w:r>
                </w:p>
              </w:tc>
              <w:tc>
                <w:tcPr>
                  <w:tcW w:w="704" w:type="dxa"/>
                  <w:vAlign w:val="center"/>
                </w:tcPr>
                <w:p w14:paraId="3995AAD1">
                  <w:pPr>
                    <w:pStyle w:val="40"/>
                    <w:bidi w:val="0"/>
                    <w:rPr>
                      <w:rFonts w:hint="eastAsia"/>
                      <w:lang w:val="en-US" w:eastAsia="zh-CN"/>
                    </w:rPr>
                  </w:pPr>
                  <w:r>
                    <w:rPr>
                      <w:rFonts w:hint="eastAsia"/>
                      <w:lang w:val="en-US" w:eastAsia="zh-CN"/>
                    </w:rPr>
                    <w:t>/</w:t>
                  </w:r>
                </w:p>
              </w:tc>
              <w:tc>
                <w:tcPr>
                  <w:tcW w:w="727" w:type="dxa"/>
                  <w:vAlign w:val="center"/>
                </w:tcPr>
                <w:p w14:paraId="58985F43">
                  <w:pPr>
                    <w:pStyle w:val="40"/>
                    <w:bidi w:val="0"/>
                    <w:rPr>
                      <w:rFonts w:hint="eastAsia"/>
                      <w:lang w:val="en-US" w:eastAsia="zh-CN"/>
                    </w:rPr>
                  </w:pPr>
                  <w:r>
                    <w:rPr>
                      <w:rFonts w:hint="eastAsia" w:cs="Times New Roman"/>
                      <w:kern w:val="2"/>
                      <w:sz w:val="21"/>
                      <w:szCs w:val="21"/>
                      <w:lang w:val="en-US" w:eastAsia="zh-CN" w:bidi="ar-SA"/>
                    </w:rPr>
                    <w:t>/</w:t>
                  </w:r>
                </w:p>
              </w:tc>
              <w:tc>
                <w:tcPr>
                  <w:tcW w:w="750" w:type="dxa"/>
                  <w:vAlign w:val="center"/>
                </w:tcPr>
                <w:p w14:paraId="20554CEF">
                  <w:pPr>
                    <w:keepNext w:val="0"/>
                    <w:keepLines w:val="0"/>
                    <w:widowControl/>
                    <w:suppressLineNumbers w:val="0"/>
                    <w:jc w:val="center"/>
                    <w:textAlignment w:val="center"/>
                    <w:rPr>
                      <w:rFonts w:hint="default"/>
                      <w:lang w:val="en-US" w:eastAsia="zh-CN"/>
                    </w:rPr>
                  </w:pPr>
                  <w:r>
                    <w:rPr>
                      <w:rFonts w:hint="eastAsia" w:cs="Times New Roman"/>
                      <w:i w:val="0"/>
                      <w:iCs w:val="0"/>
                      <w:color w:val="000000"/>
                      <w:kern w:val="0"/>
                      <w:sz w:val="21"/>
                      <w:szCs w:val="21"/>
                      <w:u w:val="none"/>
                      <w:lang w:val="en-US" w:eastAsia="zh-CN" w:bidi="ar"/>
                    </w:rPr>
                    <w:t>3.138</w:t>
                  </w:r>
                </w:p>
              </w:tc>
              <w:tc>
                <w:tcPr>
                  <w:tcW w:w="738" w:type="dxa"/>
                  <w:vAlign w:val="center"/>
                </w:tcPr>
                <w:p w14:paraId="6AB34E1D">
                  <w:pPr>
                    <w:keepNext w:val="0"/>
                    <w:keepLines w:val="0"/>
                    <w:widowControl/>
                    <w:suppressLineNumbers w:val="0"/>
                    <w:jc w:val="center"/>
                    <w:textAlignment w:val="center"/>
                    <w:rPr>
                      <w:rFonts w:hint="default"/>
                      <w:lang w:val="en-US" w:eastAsia="zh-CN"/>
                    </w:rPr>
                  </w:pPr>
                  <w:r>
                    <w:rPr>
                      <w:rFonts w:hint="eastAsia"/>
                      <w:lang w:val="en-US" w:eastAsia="zh-CN"/>
                    </w:rPr>
                    <w:t>1.308</w:t>
                  </w:r>
                </w:p>
              </w:tc>
              <w:tc>
                <w:tcPr>
                  <w:tcW w:w="785" w:type="dxa"/>
                  <w:vAlign w:val="center"/>
                </w:tcPr>
                <w:p w14:paraId="4FBEE7A0">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50" w:type="dxa"/>
                  <w:vAlign w:val="center"/>
                </w:tcPr>
                <w:p w14:paraId="77EDC043">
                  <w:pPr>
                    <w:pStyle w:val="40"/>
                    <w:bidi w:val="0"/>
                    <w:rPr>
                      <w:rFonts w:hint="eastAsia"/>
                      <w:lang w:val="en-US" w:eastAsia="zh-CN"/>
                    </w:rPr>
                  </w:pPr>
                  <w:r>
                    <w:rPr>
                      <w:rFonts w:hint="eastAsia"/>
                      <w:lang w:val="en-US" w:eastAsia="zh-CN"/>
                    </w:rPr>
                    <w:t>/</w:t>
                  </w:r>
                </w:p>
              </w:tc>
              <w:tc>
                <w:tcPr>
                  <w:tcW w:w="776" w:type="dxa"/>
                  <w:vAlign w:val="center"/>
                </w:tcPr>
                <w:p w14:paraId="61C3426D">
                  <w:pPr>
                    <w:pStyle w:val="40"/>
                    <w:bidi w:val="0"/>
                    <w:rPr>
                      <w:rFonts w:hint="eastAsia"/>
                      <w:lang w:val="en-US" w:eastAsia="zh-CN"/>
                    </w:rPr>
                  </w:pPr>
                  <w:r>
                    <w:rPr>
                      <w:rFonts w:hint="eastAsia"/>
                      <w:lang w:val="en-US" w:eastAsia="zh-CN"/>
                    </w:rPr>
                    <w:t>0.5</w:t>
                  </w:r>
                </w:p>
              </w:tc>
            </w:tr>
            <w:tr w14:paraId="3CBB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641" w:type="dxa"/>
                  <w:vMerge w:val="continue"/>
                  <w:vAlign w:val="center"/>
                </w:tcPr>
                <w:p w14:paraId="7A1659B1">
                  <w:pPr>
                    <w:pStyle w:val="40"/>
                    <w:bidi w:val="0"/>
                    <w:rPr>
                      <w:rFonts w:hint="eastAsia"/>
                      <w:lang w:val="en-US" w:eastAsia="zh-CN"/>
                    </w:rPr>
                  </w:pPr>
                </w:p>
              </w:tc>
              <w:tc>
                <w:tcPr>
                  <w:tcW w:w="900" w:type="dxa"/>
                  <w:vMerge w:val="restart"/>
                  <w:vAlign w:val="center"/>
                </w:tcPr>
                <w:p w14:paraId="6F101BEF">
                  <w:pPr>
                    <w:pStyle w:val="40"/>
                    <w:bidi w:val="0"/>
                    <w:rPr>
                      <w:rFonts w:hint="eastAsia"/>
                      <w:lang w:val="en-US" w:eastAsia="zh-CN"/>
                    </w:rPr>
                  </w:pPr>
                  <w:r>
                    <w:rPr>
                      <w:rFonts w:hint="eastAsia"/>
                      <w:lang w:val="en-US" w:eastAsia="zh-CN"/>
                    </w:rPr>
                    <w:t>砼预制房一体浇筑生产线搅拌粉尘</w:t>
                  </w:r>
                </w:p>
              </w:tc>
              <w:tc>
                <w:tcPr>
                  <w:tcW w:w="554" w:type="dxa"/>
                  <w:vMerge w:val="restart"/>
                  <w:vAlign w:val="center"/>
                </w:tcPr>
                <w:p w14:paraId="262C3E71">
                  <w:pPr>
                    <w:pStyle w:val="40"/>
                    <w:bidi w:val="0"/>
                    <w:rPr>
                      <w:rFonts w:hint="eastAsia"/>
                      <w:lang w:val="en-US" w:eastAsia="zh-CN"/>
                    </w:rPr>
                  </w:pPr>
                  <w:r>
                    <w:rPr>
                      <w:rFonts w:hint="eastAsia" w:cs="Times New Roman"/>
                      <w:kern w:val="2"/>
                      <w:sz w:val="21"/>
                      <w:szCs w:val="21"/>
                      <w:lang w:val="en-US" w:eastAsia="zh-CN" w:bidi="ar-SA"/>
                    </w:rPr>
                    <w:t>颗粒物</w:t>
                  </w:r>
                </w:p>
              </w:tc>
              <w:tc>
                <w:tcPr>
                  <w:tcW w:w="559" w:type="dxa"/>
                  <w:vAlign w:val="center"/>
                </w:tcPr>
                <w:p w14:paraId="515053EA">
                  <w:pPr>
                    <w:pStyle w:val="40"/>
                    <w:bidi w:val="0"/>
                    <w:rPr>
                      <w:rFonts w:hint="eastAsia"/>
                      <w:lang w:val="en-US" w:eastAsia="zh-CN"/>
                    </w:rPr>
                  </w:pPr>
                  <w:r>
                    <w:rPr>
                      <w:rFonts w:hint="eastAsia"/>
                      <w:lang w:val="en-US" w:eastAsia="zh-CN"/>
                    </w:rPr>
                    <w:t>有组织</w:t>
                  </w:r>
                </w:p>
              </w:tc>
              <w:tc>
                <w:tcPr>
                  <w:tcW w:w="745" w:type="dxa"/>
                  <w:vAlign w:val="center"/>
                </w:tcPr>
                <w:p w14:paraId="0E25E645">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80.333 </w:t>
                  </w:r>
                </w:p>
              </w:tc>
              <w:tc>
                <w:tcPr>
                  <w:tcW w:w="738" w:type="dxa"/>
                  <w:vAlign w:val="center"/>
                </w:tcPr>
                <w:p w14:paraId="39A449DC">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33.472 </w:t>
                  </w:r>
                </w:p>
              </w:tc>
              <w:tc>
                <w:tcPr>
                  <w:tcW w:w="843" w:type="dxa"/>
                  <w:vAlign w:val="center"/>
                </w:tcPr>
                <w:p w14:paraId="66690DE6">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5578.667 </w:t>
                  </w:r>
                </w:p>
              </w:tc>
              <w:tc>
                <w:tcPr>
                  <w:tcW w:w="1373" w:type="dxa"/>
                  <w:vAlign w:val="center"/>
                </w:tcPr>
                <w:p w14:paraId="4834491B">
                  <w:pPr>
                    <w:pStyle w:val="40"/>
                    <w:bidi w:val="0"/>
                    <w:rPr>
                      <w:rFonts w:hint="eastAsia"/>
                      <w:lang w:val="en-US" w:eastAsia="zh-CN"/>
                    </w:rPr>
                  </w:pPr>
                  <w:r>
                    <w:rPr>
                      <w:rFonts w:hint="eastAsia"/>
                      <w:lang w:val="en-US" w:eastAsia="zh-CN"/>
                    </w:rPr>
                    <w:t>布袋除尘器+15m排气筒</w:t>
                  </w:r>
                </w:p>
              </w:tc>
              <w:tc>
                <w:tcPr>
                  <w:tcW w:w="750" w:type="dxa"/>
                  <w:vAlign w:val="center"/>
                </w:tcPr>
                <w:p w14:paraId="46BE5524">
                  <w:pPr>
                    <w:pStyle w:val="40"/>
                    <w:bidi w:val="0"/>
                    <w:rPr>
                      <w:rFonts w:hint="default"/>
                      <w:lang w:val="en-US" w:eastAsia="zh-CN"/>
                    </w:rPr>
                  </w:pPr>
                  <w:r>
                    <w:rPr>
                      <w:rFonts w:hint="eastAsia"/>
                      <w:lang w:val="en-US" w:eastAsia="zh-CN"/>
                    </w:rPr>
                    <w:t>6000</w:t>
                  </w:r>
                </w:p>
              </w:tc>
              <w:tc>
                <w:tcPr>
                  <w:tcW w:w="669" w:type="dxa"/>
                  <w:vAlign w:val="center"/>
                </w:tcPr>
                <w:p w14:paraId="77640A57">
                  <w:pPr>
                    <w:pStyle w:val="40"/>
                    <w:bidi w:val="0"/>
                    <w:rPr>
                      <w:rFonts w:hint="default"/>
                      <w:lang w:val="en-US" w:eastAsia="zh-CN"/>
                    </w:rPr>
                  </w:pPr>
                  <w:r>
                    <w:rPr>
                      <w:rFonts w:hint="eastAsia"/>
                      <w:lang w:val="en-US" w:eastAsia="zh-CN"/>
                    </w:rPr>
                    <w:t>80</w:t>
                  </w:r>
                </w:p>
              </w:tc>
              <w:tc>
                <w:tcPr>
                  <w:tcW w:w="704" w:type="dxa"/>
                  <w:vAlign w:val="center"/>
                </w:tcPr>
                <w:p w14:paraId="3689C608">
                  <w:pPr>
                    <w:pStyle w:val="40"/>
                    <w:bidi w:val="0"/>
                    <w:rPr>
                      <w:rFonts w:hint="default"/>
                      <w:lang w:val="en-US" w:eastAsia="zh-CN"/>
                    </w:rPr>
                  </w:pPr>
                  <w:r>
                    <w:rPr>
                      <w:rFonts w:hint="eastAsia"/>
                      <w:lang w:val="en-US" w:eastAsia="zh-CN"/>
                    </w:rPr>
                    <w:t>99.7</w:t>
                  </w:r>
                </w:p>
              </w:tc>
              <w:tc>
                <w:tcPr>
                  <w:tcW w:w="727" w:type="dxa"/>
                  <w:vAlign w:val="center"/>
                </w:tcPr>
                <w:p w14:paraId="5F11E41C">
                  <w:pPr>
                    <w:pStyle w:val="40"/>
                    <w:bidi w:val="0"/>
                    <w:rPr>
                      <w:rFonts w:hint="eastAsia"/>
                      <w:lang w:val="en-US" w:eastAsia="zh-CN"/>
                    </w:rPr>
                  </w:pPr>
                  <w:r>
                    <w:rPr>
                      <w:rFonts w:hint="eastAsia"/>
                      <w:lang w:val="en-US" w:eastAsia="zh-CN"/>
                    </w:rPr>
                    <w:t>是</w:t>
                  </w:r>
                </w:p>
              </w:tc>
              <w:tc>
                <w:tcPr>
                  <w:tcW w:w="750" w:type="dxa"/>
                  <w:vAlign w:val="center"/>
                </w:tcPr>
                <w:p w14:paraId="62DA5485">
                  <w:pPr>
                    <w:keepNext w:val="0"/>
                    <w:keepLines w:val="0"/>
                    <w:widowControl/>
                    <w:suppressLineNumbers w:val="0"/>
                    <w:jc w:val="center"/>
                    <w:textAlignment w:val="center"/>
                    <w:rPr>
                      <w:rFonts w:hint="default"/>
                      <w:lang w:val="en-US" w:eastAsia="zh-CN"/>
                    </w:rPr>
                  </w:pPr>
                  <w:r>
                    <w:rPr>
                      <w:rFonts w:hint="eastAsia" w:cs="Times New Roman"/>
                      <w:i w:val="0"/>
                      <w:iCs w:val="0"/>
                      <w:color w:val="000000"/>
                      <w:kern w:val="0"/>
                      <w:sz w:val="21"/>
                      <w:szCs w:val="21"/>
                      <w:u w:val="none"/>
                      <w:lang w:val="en-US" w:eastAsia="zh-CN" w:bidi="ar"/>
                    </w:rPr>
                    <w:t>0.241</w:t>
                  </w:r>
                </w:p>
              </w:tc>
              <w:tc>
                <w:tcPr>
                  <w:tcW w:w="738" w:type="dxa"/>
                  <w:vAlign w:val="center"/>
                </w:tcPr>
                <w:p w14:paraId="73464B6C">
                  <w:pPr>
                    <w:keepNext w:val="0"/>
                    <w:keepLines w:val="0"/>
                    <w:widowControl/>
                    <w:suppressLineNumbers w:val="0"/>
                    <w:jc w:val="center"/>
                    <w:textAlignment w:val="center"/>
                    <w:rPr>
                      <w:rFonts w:hint="default"/>
                      <w:lang w:val="en-US" w:eastAsia="zh-CN"/>
                    </w:rPr>
                  </w:pPr>
                  <w:r>
                    <w:rPr>
                      <w:rFonts w:hint="eastAsia" w:cs="Times New Roman"/>
                      <w:i w:val="0"/>
                      <w:iCs w:val="0"/>
                      <w:color w:val="000000"/>
                      <w:kern w:val="0"/>
                      <w:sz w:val="21"/>
                      <w:szCs w:val="21"/>
                      <w:u w:val="none"/>
                      <w:lang w:val="en-US" w:eastAsia="zh-CN" w:bidi="ar"/>
                    </w:rPr>
                    <w:t>0.1</w:t>
                  </w:r>
                </w:p>
              </w:tc>
              <w:tc>
                <w:tcPr>
                  <w:tcW w:w="785" w:type="dxa"/>
                  <w:vAlign w:val="center"/>
                </w:tcPr>
                <w:p w14:paraId="13AB39F3">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16.736 </w:t>
                  </w:r>
                </w:p>
              </w:tc>
              <w:tc>
                <w:tcPr>
                  <w:tcW w:w="750" w:type="dxa"/>
                  <w:vAlign w:val="center"/>
                </w:tcPr>
                <w:p w14:paraId="0EBDD60A">
                  <w:pPr>
                    <w:pStyle w:val="40"/>
                    <w:bidi w:val="0"/>
                    <w:rPr>
                      <w:rFonts w:hint="eastAsia"/>
                      <w:lang w:val="en-US" w:eastAsia="zh-CN"/>
                    </w:rPr>
                  </w:pPr>
                  <w:r>
                    <w:rPr>
                      <w:rFonts w:hint="eastAsia"/>
                      <w:lang w:val="en-US" w:eastAsia="zh-CN"/>
                    </w:rPr>
                    <w:t>DA005</w:t>
                  </w:r>
                </w:p>
              </w:tc>
              <w:tc>
                <w:tcPr>
                  <w:tcW w:w="776" w:type="dxa"/>
                  <w:vAlign w:val="center"/>
                </w:tcPr>
                <w:p w14:paraId="4C64B20A">
                  <w:pPr>
                    <w:pStyle w:val="40"/>
                    <w:bidi w:val="0"/>
                    <w:rPr>
                      <w:rFonts w:hint="eastAsia"/>
                      <w:lang w:val="en-US" w:eastAsia="zh-CN"/>
                    </w:rPr>
                  </w:pPr>
                  <w:r>
                    <w:rPr>
                      <w:rFonts w:hint="eastAsia"/>
                      <w:lang w:val="en-US" w:eastAsia="zh-CN"/>
                    </w:rPr>
                    <w:t>20</w:t>
                  </w:r>
                </w:p>
              </w:tc>
            </w:tr>
            <w:tr w14:paraId="3996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dxa"/>
                  <w:vMerge w:val="continue"/>
                  <w:vAlign w:val="center"/>
                </w:tcPr>
                <w:p w14:paraId="29CCE883">
                  <w:pPr>
                    <w:pStyle w:val="40"/>
                    <w:bidi w:val="0"/>
                    <w:rPr>
                      <w:rFonts w:hint="eastAsia"/>
                      <w:lang w:val="en-US" w:eastAsia="zh-CN"/>
                    </w:rPr>
                  </w:pPr>
                </w:p>
              </w:tc>
              <w:tc>
                <w:tcPr>
                  <w:tcW w:w="900" w:type="dxa"/>
                  <w:vMerge w:val="continue"/>
                  <w:vAlign w:val="center"/>
                </w:tcPr>
                <w:p w14:paraId="51D3F92E">
                  <w:pPr>
                    <w:pStyle w:val="40"/>
                    <w:bidi w:val="0"/>
                    <w:rPr>
                      <w:rFonts w:hint="eastAsia"/>
                      <w:lang w:val="en-US" w:eastAsia="zh-CN"/>
                    </w:rPr>
                  </w:pPr>
                </w:p>
              </w:tc>
              <w:tc>
                <w:tcPr>
                  <w:tcW w:w="554" w:type="dxa"/>
                  <w:vMerge w:val="continue"/>
                  <w:vAlign w:val="center"/>
                </w:tcPr>
                <w:p w14:paraId="3773E4B6">
                  <w:pPr>
                    <w:pStyle w:val="40"/>
                    <w:bidi w:val="0"/>
                    <w:rPr>
                      <w:rFonts w:hint="eastAsia"/>
                      <w:lang w:val="en-US" w:eastAsia="zh-CN"/>
                    </w:rPr>
                  </w:pPr>
                </w:p>
              </w:tc>
              <w:tc>
                <w:tcPr>
                  <w:tcW w:w="559" w:type="dxa"/>
                  <w:vAlign w:val="center"/>
                </w:tcPr>
                <w:p w14:paraId="20C22450">
                  <w:pPr>
                    <w:pStyle w:val="40"/>
                    <w:bidi w:val="0"/>
                    <w:rPr>
                      <w:rFonts w:hint="eastAsia"/>
                      <w:lang w:val="en-US" w:eastAsia="zh-CN"/>
                    </w:rPr>
                  </w:pPr>
                  <w:r>
                    <w:rPr>
                      <w:rFonts w:hint="eastAsia"/>
                      <w:lang w:val="en-US" w:eastAsia="zh-CN"/>
                    </w:rPr>
                    <w:t>无组织</w:t>
                  </w:r>
                </w:p>
              </w:tc>
              <w:tc>
                <w:tcPr>
                  <w:tcW w:w="745" w:type="dxa"/>
                  <w:vAlign w:val="center"/>
                </w:tcPr>
                <w:p w14:paraId="0524571E">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20.083 </w:t>
                  </w:r>
                </w:p>
              </w:tc>
              <w:tc>
                <w:tcPr>
                  <w:tcW w:w="738" w:type="dxa"/>
                  <w:vAlign w:val="center"/>
                </w:tcPr>
                <w:p w14:paraId="09A66330">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8.368 </w:t>
                  </w:r>
                </w:p>
              </w:tc>
              <w:tc>
                <w:tcPr>
                  <w:tcW w:w="843" w:type="dxa"/>
                  <w:vAlign w:val="center"/>
                </w:tcPr>
                <w:p w14:paraId="2A3B3E84">
                  <w:pPr>
                    <w:keepNext w:val="0"/>
                    <w:keepLines w:val="0"/>
                    <w:widowControl/>
                    <w:suppressLineNumbers w:val="0"/>
                    <w:jc w:val="center"/>
                    <w:textAlignment w:val="center"/>
                    <w:rPr>
                      <w:rFonts w:hint="eastAsia"/>
                      <w:lang w:val="en-US" w:eastAsia="zh-CN"/>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373" w:type="dxa"/>
                  <w:vAlign w:val="center"/>
                </w:tcPr>
                <w:p w14:paraId="2ED9D85B">
                  <w:pPr>
                    <w:pStyle w:val="40"/>
                    <w:bidi w:val="0"/>
                    <w:rPr>
                      <w:rFonts w:hint="eastAsia"/>
                      <w:lang w:val="en-US" w:eastAsia="zh-CN"/>
                    </w:rPr>
                  </w:pPr>
                  <w:r>
                    <w:rPr>
                      <w:rFonts w:hint="eastAsia"/>
                      <w:lang w:val="en-US" w:eastAsia="zh-CN"/>
                    </w:rPr>
                    <w:t>/</w:t>
                  </w:r>
                </w:p>
              </w:tc>
              <w:tc>
                <w:tcPr>
                  <w:tcW w:w="750" w:type="dxa"/>
                  <w:vAlign w:val="center"/>
                </w:tcPr>
                <w:p w14:paraId="5DBD8A67">
                  <w:pPr>
                    <w:pStyle w:val="40"/>
                    <w:bidi w:val="0"/>
                    <w:rPr>
                      <w:rFonts w:hint="eastAsia"/>
                      <w:lang w:val="en-US" w:eastAsia="zh-CN"/>
                    </w:rPr>
                  </w:pPr>
                  <w:r>
                    <w:rPr>
                      <w:rFonts w:hint="eastAsia"/>
                      <w:lang w:val="en-US" w:eastAsia="zh-CN"/>
                    </w:rPr>
                    <w:t>/</w:t>
                  </w:r>
                </w:p>
              </w:tc>
              <w:tc>
                <w:tcPr>
                  <w:tcW w:w="669" w:type="dxa"/>
                  <w:vAlign w:val="center"/>
                </w:tcPr>
                <w:p w14:paraId="21834677">
                  <w:pPr>
                    <w:pStyle w:val="40"/>
                    <w:bidi w:val="0"/>
                    <w:rPr>
                      <w:rFonts w:hint="eastAsia"/>
                      <w:lang w:val="en-US" w:eastAsia="zh-CN"/>
                    </w:rPr>
                  </w:pPr>
                  <w:r>
                    <w:rPr>
                      <w:rFonts w:hint="eastAsia"/>
                      <w:lang w:val="en-US" w:eastAsia="zh-CN"/>
                    </w:rPr>
                    <w:t>/</w:t>
                  </w:r>
                </w:p>
              </w:tc>
              <w:tc>
                <w:tcPr>
                  <w:tcW w:w="704" w:type="dxa"/>
                  <w:vAlign w:val="center"/>
                </w:tcPr>
                <w:p w14:paraId="4EBBF9C8">
                  <w:pPr>
                    <w:pStyle w:val="40"/>
                    <w:bidi w:val="0"/>
                    <w:rPr>
                      <w:rFonts w:hint="eastAsia"/>
                      <w:lang w:val="en-US" w:eastAsia="zh-CN"/>
                    </w:rPr>
                  </w:pPr>
                  <w:r>
                    <w:rPr>
                      <w:rFonts w:hint="eastAsia"/>
                      <w:lang w:val="en-US" w:eastAsia="zh-CN"/>
                    </w:rPr>
                    <w:t>/</w:t>
                  </w:r>
                </w:p>
              </w:tc>
              <w:tc>
                <w:tcPr>
                  <w:tcW w:w="727" w:type="dxa"/>
                  <w:vAlign w:val="center"/>
                </w:tcPr>
                <w:p w14:paraId="2BFEAE8A">
                  <w:pPr>
                    <w:pStyle w:val="40"/>
                    <w:bidi w:val="0"/>
                    <w:rPr>
                      <w:rFonts w:hint="eastAsia"/>
                      <w:lang w:val="en-US" w:eastAsia="zh-CN"/>
                    </w:rPr>
                  </w:pPr>
                  <w:r>
                    <w:rPr>
                      <w:rFonts w:hint="eastAsia" w:cs="Times New Roman"/>
                      <w:kern w:val="2"/>
                      <w:sz w:val="21"/>
                      <w:szCs w:val="21"/>
                      <w:lang w:val="en-US" w:eastAsia="zh-CN" w:bidi="ar-SA"/>
                    </w:rPr>
                    <w:t>/</w:t>
                  </w:r>
                </w:p>
              </w:tc>
              <w:tc>
                <w:tcPr>
                  <w:tcW w:w="750" w:type="dxa"/>
                  <w:vAlign w:val="center"/>
                </w:tcPr>
                <w:p w14:paraId="21317FEE">
                  <w:pPr>
                    <w:keepNext w:val="0"/>
                    <w:keepLines w:val="0"/>
                    <w:widowControl/>
                    <w:suppressLineNumbers w:val="0"/>
                    <w:jc w:val="center"/>
                    <w:textAlignment w:val="center"/>
                    <w:rPr>
                      <w:rFonts w:hint="default"/>
                      <w:lang w:val="en-US" w:eastAsia="zh-CN"/>
                    </w:rPr>
                  </w:pPr>
                  <w:r>
                    <w:rPr>
                      <w:rFonts w:hint="eastAsia" w:cs="Times New Roman"/>
                      <w:i w:val="0"/>
                      <w:iCs w:val="0"/>
                      <w:color w:val="000000"/>
                      <w:kern w:val="0"/>
                      <w:sz w:val="21"/>
                      <w:szCs w:val="21"/>
                      <w:u w:val="none"/>
                      <w:lang w:val="en-US" w:eastAsia="zh-CN" w:bidi="ar"/>
                    </w:rPr>
                    <w:t>20.083</w:t>
                  </w:r>
                </w:p>
              </w:tc>
              <w:tc>
                <w:tcPr>
                  <w:tcW w:w="738" w:type="dxa"/>
                  <w:vAlign w:val="center"/>
                </w:tcPr>
                <w:p w14:paraId="6455ADC2">
                  <w:pPr>
                    <w:keepNext w:val="0"/>
                    <w:keepLines w:val="0"/>
                    <w:widowControl/>
                    <w:suppressLineNumbers w:val="0"/>
                    <w:jc w:val="center"/>
                    <w:textAlignment w:val="center"/>
                    <w:rPr>
                      <w:rFonts w:hint="eastAsia"/>
                      <w:lang w:val="en-US" w:eastAsia="zh-CN"/>
                    </w:rPr>
                  </w:pPr>
                  <w:r>
                    <w:rPr>
                      <w:rFonts w:hint="eastAsia" w:cs="Times New Roman"/>
                      <w:i w:val="0"/>
                      <w:iCs w:val="0"/>
                      <w:color w:val="000000"/>
                      <w:kern w:val="0"/>
                      <w:sz w:val="21"/>
                      <w:szCs w:val="21"/>
                      <w:u w:val="none"/>
                      <w:lang w:val="en-US" w:eastAsia="zh-CN" w:bidi="ar"/>
                    </w:rPr>
                    <w:t>8.36</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785" w:type="dxa"/>
                  <w:vAlign w:val="center"/>
                </w:tcPr>
                <w:p w14:paraId="4A14A2C3">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2"/>
                      <w:szCs w:val="22"/>
                      <w:u w:val="none"/>
                      <w:lang w:val="en-US" w:eastAsia="zh-CN" w:bidi="ar"/>
                    </w:rPr>
                    <w:t>/</w:t>
                  </w:r>
                </w:p>
              </w:tc>
              <w:tc>
                <w:tcPr>
                  <w:tcW w:w="750" w:type="dxa"/>
                  <w:vAlign w:val="center"/>
                </w:tcPr>
                <w:p w14:paraId="7B4D6A6E">
                  <w:pPr>
                    <w:pStyle w:val="40"/>
                    <w:bidi w:val="0"/>
                    <w:rPr>
                      <w:rFonts w:hint="eastAsia"/>
                      <w:lang w:val="en-US" w:eastAsia="zh-CN"/>
                    </w:rPr>
                  </w:pPr>
                  <w:r>
                    <w:rPr>
                      <w:rFonts w:hint="eastAsia"/>
                      <w:lang w:val="en-US" w:eastAsia="zh-CN"/>
                    </w:rPr>
                    <w:t>/</w:t>
                  </w:r>
                </w:p>
              </w:tc>
              <w:tc>
                <w:tcPr>
                  <w:tcW w:w="776" w:type="dxa"/>
                  <w:vAlign w:val="center"/>
                </w:tcPr>
                <w:p w14:paraId="7BA26CAA">
                  <w:pPr>
                    <w:pStyle w:val="40"/>
                    <w:bidi w:val="0"/>
                    <w:rPr>
                      <w:rFonts w:hint="eastAsia"/>
                      <w:lang w:val="en-US" w:eastAsia="zh-CN"/>
                    </w:rPr>
                  </w:pPr>
                  <w:r>
                    <w:rPr>
                      <w:rFonts w:hint="eastAsia"/>
                      <w:lang w:val="en-US" w:eastAsia="zh-CN"/>
                    </w:rPr>
                    <w:t>0.5</w:t>
                  </w:r>
                </w:p>
              </w:tc>
            </w:tr>
            <w:tr w14:paraId="08D6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41" w:type="dxa"/>
                  <w:vMerge w:val="continue"/>
                  <w:vAlign w:val="center"/>
                </w:tcPr>
                <w:p w14:paraId="011C905D">
                  <w:pPr>
                    <w:pStyle w:val="40"/>
                    <w:bidi w:val="0"/>
                    <w:rPr>
                      <w:rFonts w:hint="eastAsia"/>
                      <w:lang w:val="en-US" w:eastAsia="zh-CN"/>
                    </w:rPr>
                  </w:pPr>
                </w:p>
              </w:tc>
              <w:tc>
                <w:tcPr>
                  <w:tcW w:w="900" w:type="dxa"/>
                  <w:vMerge w:val="restart"/>
                  <w:vAlign w:val="center"/>
                </w:tcPr>
                <w:p w14:paraId="640661D4">
                  <w:pPr>
                    <w:pStyle w:val="40"/>
                    <w:bidi w:val="0"/>
                    <w:rPr>
                      <w:rFonts w:hint="eastAsia"/>
                      <w:lang w:val="en-US" w:eastAsia="zh-CN"/>
                    </w:rPr>
                  </w:pPr>
                  <w:r>
                    <w:rPr>
                      <w:rFonts w:hint="eastAsia"/>
                      <w:lang w:val="en-US" w:eastAsia="zh-CN"/>
                    </w:rPr>
                    <w:t>水泥砖生产线搅拌粉尘</w:t>
                  </w:r>
                </w:p>
              </w:tc>
              <w:tc>
                <w:tcPr>
                  <w:tcW w:w="554" w:type="dxa"/>
                  <w:vMerge w:val="restart"/>
                  <w:vAlign w:val="center"/>
                </w:tcPr>
                <w:p w14:paraId="4675437F">
                  <w:pPr>
                    <w:pStyle w:val="40"/>
                    <w:bidi w:val="0"/>
                    <w:rPr>
                      <w:rFonts w:hint="default"/>
                      <w:lang w:val="en-US" w:eastAsia="zh-CN"/>
                    </w:rPr>
                  </w:pPr>
                  <w:r>
                    <w:rPr>
                      <w:rFonts w:hint="eastAsia" w:cs="Times New Roman"/>
                      <w:kern w:val="2"/>
                      <w:sz w:val="21"/>
                      <w:szCs w:val="21"/>
                      <w:lang w:val="en-US" w:eastAsia="zh-CN" w:bidi="ar-SA"/>
                    </w:rPr>
                    <w:t>颗粒物</w:t>
                  </w:r>
                </w:p>
              </w:tc>
              <w:tc>
                <w:tcPr>
                  <w:tcW w:w="559" w:type="dxa"/>
                  <w:vAlign w:val="center"/>
                </w:tcPr>
                <w:p w14:paraId="5DBCE2D4">
                  <w:pPr>
                    <w:pStyle w:val="40"/>
                    <w:bidi w:val="0"/>
                    <w:rPr>
                      <w:rFonts w:hint="default"/>
                      <w:lang w:val="en-US" w:eastAsia="zh-CN"/>
                    </w:rPr>
                  </w:pPr>
                  <w:r>
                    <w:rPr>
                      <w:rFonts w:hint="eastAsia"/>
                      <w:lang w:val="en-US" w:eastAsia="zh-CN"/>
                    </w:rPr>
                    <w:t>有组织</w:t>
                  </w:r>
                </w:p>
              </w:tc>
              <w:tc>
                <w:tcPr>
                  <w:tcW w:w="745" w:type="dxa"/>
                  <w:vAlign w:val="center"/>
                </w:tcPr>
                <w:p w14:paraId="75C9A96F">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10.460 </w:t>
                  </w:r>
                </w:p>
              </w:tc>
              <w:tc>
                <w:tcPr>
                  <w:tcW w:w="738" w:type="dxa"/>
                  <w:vAlign w:val="center"/>
                </w:tcPr>
                <w:p w14:paraId="34124D1E">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4.358 </w:t>
                  </w:r>
                </w:p>
              </w:tc>
              <w:tc>
                <w:tcPr>
                  <w:tcW w:w="843" w:type="dxa"/>
                  <w:vAlign w:val="center"/>
                </w:tcPr>
                <w:p w14:paraId="65C3EC98">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4358.333 </w:t>
                  </w:r>
                </w:p>
              </w:tc>
              <w:tc>
                <w:tcPr>
                  <w:tcW w:w="1373" w:type="dxa"/>
                  <w:vAlign w:val="center"/>
                </w:tcPr>
                <w:p w14:paraId="65EE815A">
                  <w:pPr>
                    <w:pStyle w:val="40"/>
                    <w:bidi w:val="0"/>
                    <w:rPr>
                      <w:rFonts w:hint="eastAsia"/>
                      <w:lang w:val="en-US" w:eastAsia="zh-CN"/>
                    </w:rPr>
                  </w:pPr>
                  <w:r>
                    <w:rPr>
                      <w:rFonts w:hint="eastAsia"/>
                      <w:lang w:val="en-US" w:eastAsia="zh-CN"/>
                    </w:rPr>
                    <w:t>布袋除尘器+15m排气筒</w:t>
                  </w:r>
                </w:p>
              </w:tc>
              <w:tc>
                <w:tcPr>
                  <w:tcW w:w="750" w:type="dxa"/>
                  <w:vAlign w:val="center"/>
                </w:tcPr>
                <w:p w14:paraId="34084F31">
                  <w:pPr>
                    <w:pStyle w:val="40"/>
                    <w:bidi w:val="0"/>
                    <w:rPr>
                      <w:rFonts w:hint="default"/>
                      <w:lang w:val="en-US" w:eastAsia="zh-CN"/>
                    </w:rPr>
                  </w:pPr>
                  <w:r>
                    <w:rPr>
                      <w:rFonts w:hint="eastAsia"/>
                      <w:lang w:val="en-US" w:eastAsia="zh-CN"/>
                    </w:rPr>
                    <w:t>1000</w:t>
                  </w:r>
                </w:p>
              </w:tc>
              <w:tc>
                <w:tcPr>
                  <w:tcW w:w="669" w:type="dxa"/>
                  <w:vAlign w:val="center"/>
                </w:tcPr>
                <w:p w14:paraId="54F81051">
                  <w:pPr>
                    <w:pStyle w:val="40"/>
                    <w:bidi w:val="0"/>
                    <w:rPr>
                      <w:rFonts w:hint="default"/>
                      <w:lang w:val="en-US" w:eastAsia="zh-CN"/>
                    </w:rPr>
                  </w:pPr>
                  <w:r>
                    <w:rPr>
                      <w:rFonts w:hint="eastAsia"/>
                      <w:lang w:val="en-US" w:eastAsia="zh-CN"/>
                    </w:rPr>
                    <w:t>80</w:t>
                  </w:r>
                </w:p>
              </w:tc>
              <w:tc>
                <w:tcPr>
                  <w:tcW w:w="704" w:type="dxa"/>
                  <w:vAlign w:val="center"/>
                </w:tcPr>
                <w:p w14:paraId="102324F8">
                  <w:pPr>
                    <w:pStyle w:val="40"/>
                    <w:bidi w:val="0"/>
                    <w:rPr>
                      <w:rFonts w:hint="default"/>
                      <w:lang w:val="en-US" w:eastAsia="zh-CN"/>
                    </w:rPr>
                  </w:pPr>
                  <w:r>
                    <w:rPr>
                      <w:rFonts w:hint="eastAsia"/>
                      <w:lang w:val="en-US" w:eastAsia="zh-CN"/>
                    </w:rPr>
                    <w:t>99.7</w:t>
                  </w:r>
                </w:p>
              </w:tc>
              <w:tc>
                <w:tcPr>
                  <w:tcW w:w="727" w:type="dxa"/>
                  <w:vAlign w:val="center"/>
                </w:tcPr>
                <w:p w14:paraId="2D0F98AA">
                  <w:pPr>
                    <w:pStyle w:val="40"/>
                    <w:bidi w:val="0"/>
                    <w:rPr>
                      <w:rFonts w:hint="default"/>
                      <w:lang w:val="en-US" w:eastAsia="zh-CN"/>
                    </w:rPr>
                  </w:pPr>
                  <w:r>
                    <w:rPr>
                      <w:rFonts w:hint="eastAsia"/>
                      <w:lang w:val="en-US" w:eastAsia="zh-CN"/>
                    </w:rPr>
                    <w:t>是</w:t>
                  </w:r>
                </w:p>
              </w:tc>
              <w:tc>
                <w:tcPr>
                  <w:tcW w:w="750" w:type="dxa"/>
                  <w:vAlign w:val="center"/>
                </w:tcPr>
                <w:p w14:paraId="1492C65D">
                  <w:pPr>
                    <w:keepNext w:val="0"/>
                    <w:keepLines w:val="0"/>
                    <w:widowControl/>
                    <w:suppressLineNumbers w:val="0"/>
                    <w:jc w:val="center"/>
                    <w:textAlignment w:val="center"/>
                    <w:rPr>
                      <w:rFonts w:hint="default"/>
                      <w:lang w:val="en-US" w:eastAsia="zh-CN"/>
                    </w:rPr>
                  </w:pPr>
                  <w:r>
                    <w:rPr>
                      <w:rFonts w:hint="eastAsia" w:cs="Times New Roman"/>
                      <w:i w:val="0"/>
                      <w:iCs w:val="0"/>
                      <w:color w:val="000000"/>
                      <w:kern w:val="0"/>
                      <w:sz w:val="21"/>
                      <w:szCs w:val="21"/>
                      <w:u w:val="none"/>
                      <w:lang w:val="en-US" w:eastAsia="zh-CN" w:bidi="ar"/>
                    </w:rPr>
                    <w:t>3.138</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cs="Times New Roman"/>
                      <w:i w:val="0"/>
                      <w:iCs w:val="0"/>
                      <w:color w:val="000000"/>
                      <w:kern w:val="0"/>
                      <w:sz w:val="21"/>
                      <w:szCs w:val="21"/>
                      <w:u w:val="none"/>
                      <w:vertAlign w:val="superscript"/>
                      <w:lang w:val="en-US" w:eastAsia="zh-CN" w:bidi="ar"/>
                    </w:rPr>
                    <w:t>2</w:t>
                  </w:r>
                </w:p>
              </w:tc>
              <w:tc>
                <w:tcPr>
                  <w:tcW w:w="738" w:type="dxa"/>
                  <w:vAlign w:val="center"/>
                </w:tcPr>
                <w:p w14:paraId="59B9BA29">
                  <w:pPr>
                    <w:keepNext w:val="0"/>
                    <w:keepLines w:val="0"/>
                    <w:widowControl/>
                    <w:suppressLineNumbers w:val="0"/>
                    <w:jc w:val="center"/>
                    <w:textAlignment w:val="center"/>
                    <w:rPr>
                      <w:rFonts w:hint="default"/>
                      <w:lang w:val="en-US" w:eastAsia="zh-CN"/>
                    </w:rPr>
                  </w:pPr>
                  <w:r>
                    <w:rPr>
                      <w:rFonts w:hint="eastAsia" w:cs="Times New Roman"/>
                      <w:i w:val="0"/>
                      <w:iCs w:val="0"/>
                      <w:color w:val="000000"/>
                      <w:kern w:val="0"/>
                      <w:sz w:val="21"/>
                      <w:szCs w:val="21"/>
                      <w:u w:val="none"/>
                      <w:lang w:val="en-US" w:eastAsia="zh-CN" w:bidi="ar"/>
                    </w:rPr>
                    <w:t>1.308</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eastAsia" w:cs="Times New Roman"/>
                      <w:i w:val="0"/>
                      <w:iCs w:val="0"/>
                      <w:color w:val="000000"/>
                      <w:kern w:val="0"/>
                      <w:sz w:val="21"/>
                      <w:szCs w:val="21"/>
                      <w:u w:val="none"/>
                      <w:vertAlign w:val="superscript"/>
                      <w:lang w:val="en-US" w:eastAsia="zh-CN" w:bidi="ar"/>
                    </w:rPr>
                    <w:t>2</w:t>
                  </w:r>
                </w:p>
              </w:tc>
              <w:tc>
                <w:tcPr>
                  <w:tcW w:w="785" w:type="dxa"/>
                  <w:vAlign w:val="center"/>
                </w:tcPr>
                <w:p w14:paraId="5C0DC0A2">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13.075 </w:t>
                  </w:r>
                </w:p>
              </w:tc>
              <w:tc>
                <w:tcPr>
                  <w:tcW w:w="750" w:type="dxa"/>
                  <w:vAlign w:val="center"/>
                </w:tcPr>
                <w:p w14:paraId="2AA75D4C">
                  <w:pPr>
                    <w:pStyle w:val="40"/>
                    <w:bidi w:val="0"/>
                    <w:rPr>
                      <w:rFonts w:hint="eastAsia"/>
                      <w:lang w:val="en-US" w:eastAsia="zh-CN"/>
                    </w:rPr>
                  </w:pPr>
                  <w:r>
                    <w:rPr>
                      <w:rFonts w:hint="eastAsia"/>
                      <w:lang w:val="en-US" w:eastAsia="zh-CN"/>
                    </w:rPr>
                    <w:t>DA006</w:t>
                  </w:r>
                </w:p>
              </w:tc>
              <w:tc>
                <w:tcPr>
                  <w:tcW w:w="776" w:type="dxa"/>
                  <w:vAlign w:val="center"/>
                </w:tcPr>
                <w:p w14:paraId="20809208">
                  <w:pPr>
                    <w:pStyle w:val="40"/>
                    <w:bidi w:val="0"/>
                    <w:rPr>
                      <w:rFonts w:hint="default"/>
                      <w:lang w:val="en-US" w:eastAsia="zh-CN"/>
                    </w:rPr>
                  </w:pPr>
                  <w:r>
                    <w:rPr>
                      <w:rFonts w:hint="eastAsia"/>
                      <w:lang w:val="en-US" w:eastAsia="zh-CN"/>
                    </w:rPr>
                    <w:t>20</w:t>
                  </w:r>
                </w:p>
              </w:tc>
            </w:tr>
            <w:tr w14:paraId="55F5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41" w:type="dxa"/>
                  <w:vMerge w:val="continue"/>
                  <w:vAlign w:val="center"/>
                </w:tcPr>
                <w:p w14:paraId="5496CA17">
                  <w:pPr>
                    <w:pStyle w:val="40"/>
                    <w:bidi w:val="0"/>
                    <w:rPr>
                      <w:rFonts w:hint="eastAsia"/>
                      <w:lang w:val="en-US" w:eastAsia="zh-CN"/>
                    </w:rPr>
                  </w:pPr>
                </w:p>
              </w:tc>
              <w:tc>
                <w:tcPr>
                  <w:tcW w:w="900" w:type="dxa"/>
                  <w:vMerge w:val="continue"/>
                  <w:vAlign w:val="center"/>
                </w:tcPr>
                <w:p w14:paraId="5EFA079B">
                  <w:pPr>
                    <w:pStyle w:val="40"/>
                    <w:bidi w:val="0"/>
                    <w:rPr>
                      <w:rFonts w:hint="eastAsia"/>
                      <w:lang w:val="en-US" w:eastAsia="zh-CN"/>
                    </w:rPr>
                  </w:pPr>
                </w:p>
              </w:tc>
              <w:tc>
                <w:tcPr>
                  <w:tcW w:w="554" w:type="dxa"/>
                  <w:vMerge w:val="continue"/>
                  <w:vAlign w:val="center"/>
                </w:tcPr>
                <w:p w14:paraId="60FF1D9E">
                  <w:pPr>
                    <w:pStyle w:val="40"/>
                    <w:bidi w:val="0"/>
                    <w:rPr>
                      <w:rFonts w:hint="default"/>
                      <w:lang w:val="en-US" w:eastAsia="zh-CN"/>
                    </w:rPr>
                  </w:pPr>
                </w:p>
              </w:tc>
              <w:tc>
                <w:tcPr>
                  <w:tcW w:w="559" w:type="dxa"/>
                  <w:vAlign w:val="center"/>
                </w:tcPr>
                <w:p w14:paraId="271BB114">
                  <w:pPr>
                    <w:pStyle w:val="40"/>
                    <w:bidi w:val="0"/>
                    <w:rPr>
                      <w:rFonts w:hint="eastAsia"/>
                      <w:lang w:val="en-US" w:eastAsia="zh-CN"/>
                    </w:rPr>
                  </w:pPr>
                  <w:r>
                    <w:rPr>
                      <w:rFonts w:hint="eastAsia"/>
                      <w:lang w:val="en-US" w:eastAsia="zh-CN"/>
                    </w:rPr>
                    <w:t>无组织</w:t>
                  </w:r>
                </w:p>
              </w:tc>
              <w:tc>
                <w:tcPr>
                  <w:tcW w:w="745" w:type="dxa"/>
                  <w:vAlign w:val="center"/>
                </w:tcPr>
                <w:p w14:paraId="7D40674F">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2.615 </w:t>
                  </w:r>
                </w:p>
              </w:tc>
              <w:tc>
                <w:tcPr>
                  <w:tcW w:w="738" w:type="dxa"/>
                  <w:vAlign w:val="center"/>
                </w:tcPr>
                <w:p w14:paraId="6BC4C00D">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1.090 </w:t>
                  </w:r>
                </w:p>
              </w:tc>
              <w:tc>
                <w:tcPr>
                  <w:tcW w:w="843" w:type="dxa"/>
                  <w:vAlign w:val="center"/>
                </w:tcPr>
                <w:p w14:paraId="3C50BAD4">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373" w:type="dxa"/>
                  <w:vAlign w:val="center"/>
                </w:tcPr>
                <w:p w14:paraId="5AEE56D5">
                  <w:pPr>
                    <w:pStyle w:val="40"/>
                    <w:bidi w:val="0"/>
                    <w:rPr>
                      <w:rFonts w:hint="default"/>
                      <w:lang w:val="en-US" w:eastAsia="zh-CN"/>
                    </w:rPr>
                  </w:pPr>
                  <w:r>
                    <w:rPr>
                      <w:rFonts w:hint="eastAsia"/>
                      <w:lang w:val="en-US" w:eastAsia="zh-CN"/>
                    </w:rPr>
                    <w:t>/</w:t>
                  </w:r>
                </w:p>
              </w:tc>
              <w:tc>
                <w:tcPr>
                  <w:tcW w:w="750" w:type="dxa"/>
                  <w:vAlign w:val="center"/>
                </w:tcPr>
                <w:p w14:paraId="2AC8D3F1">
                  <w:pPr>
                    <w:pStyle w:val="40"/>
                    <w:bidi w:val="0"/>
                    <w:rPr>
                      <w:rFonts w:hint="default"/>
                      <w:lang w:val="en-US" w:eastAsia="zh-CN"/>
                    </w:rPr>
                  </w:pPr>
                  <w:r>
                    <w:rPr>
                      <w:rFonts w:hint="eastAsia"/>
                      <w:lang w:val="en-US" w:eastAsia="zh-CN"/>
                    </w:rPr>
                    <w:t>/</w:t>
                  </w:r>
                </w:p>
              </w:tc>
              <w:tc>
                <w:tcPr>
                  <w:tcW w:w="669" w:type="dxa"/>
                  <w:vAlign w:val="center"/>
                </w:tcPr>
                <w:p w14:paraId="32EFDFFA">
                  <w:pPr>
                    <w:pStyle w:val="40"/>
                    <w:bidi w:val="0"/>
                    <w:rPr>
                      <w:rFonts w:hint="default"/>
                      <w:lang w:val="en-US" w:eastAsia="zh-CN"/>
                    </w:rPr>
                  </w:pPr>
                  <w:r>
                    <w:rPr>
                      <w:rFonts w:hint="eastAsia"/>
                      <w:lang w:val="en-US" w:eastAsia="zh-CN"/>
                    </w:rPr>
                    <w:t>/</w:t>
                  </w:r>
                </w:p>
              </w:tc>
              <w:tc>
                <w:tcPr>
                  <w:tcW w:w="704" w:type="dxa"/>
                  <w:vAlign w:val="center"/>
                </w:tcPr>
                <w:p w14:paraId="33326EE3">
                  <w:pPr>
                    <w:pStyle w:val="40"/>
                    <w:bidi w:val="0"/>
                    <w:rPr>
                      <w:rFonts w:hint="default"/>
                      <w:lang w:val="en-US" w:eastAsia="zh-CN"/>
                    </w:rPr>
                  </w:pPr>
                  <w:r>
                    <w:rPr>
                      <w:rFonts w:hint="eastAsia"/>
                      <w:lang w:val="en-US" w:eastAsia="zh-CN"/>
                    </w:rPr>
                    <w:t>/</w:t>
                  </w:r>
                </w:p>
              </w:tc>
              <w:tc>
                <w:tcPr>
                  <w:tcW w:w="727" w:type="dxa"/>
                  <w:vAlign w:val="center"/>
                </w:tcPr>
                <w:p w14:paraId="0183BE0E">
                  <w:pPr>
                    <w:pStyle w:val="40"/>
                    <w:bidi w:val="0"/>
                    <w:rPr>
                      <w:rFonts w:hint="default"/>
                      <w:lang w:val="en-US" w:eastAsia="zh-CN"/>
                    </w:rPr>
                  </w:pPr>
                  <w:r>
                    <w:rPr>
                      <w:rFonts w:hint="eastAsia" w:cs="Times New Roman"/>
                      <w:kern w:val="2"/>
                      <w:sz w:val="21"/>
                      <w:szCs w:val="21"/>
                      <w:lang w:val="en-US" w:eastAsia="zh-CN" w:bidi="ar-SA"/>
                    </w:rPr>
                    <w:t>/</w:t>
                  </w:r>
                </w:p>
              </w:tc>
              <w:tc>
                <w:tcPr>
                  <w:tcW w:w="750" w:type="dxa"/>
                  <w:vAlign w:val="center"/>
                </w:tcPr>
                <w:p w14:paraId="17106546">
                  <w:pPr>
                    <w:keepNext w:val="0"/>
                    <w:keepLines w:val="0"/>
                    <w:widowControl/>
                    <w:suppressLineNumbers w:val="0"/>
                    <w:jc w:val="center"/>
                    <w:textAlignment w:val="center"/>
                    <w:rPr>
                      <w:rFonts w:hint="default"/>
                      <w:lang w:val="en-US" w:eastAsia="zh-CN"/>
                    </w:rPr>
                  </w:pPr>
                  <w:r>
                    <w:rPr>
                      <w:rFonts w:hint="eastAsia" w:cs="Times New Roman"/>
                      <w:i w:val="0"/>
                      <w:iCs w:val="0"/>
                      <w:color w:val="000000"/>
                      <w:kern w:val="0"/>
                      <w:sz w:val="21"/>
                      <w:szCs w:val="21"/>
                      <w:u w:val="none"/>
                      <w:lang w:val="en-US" w:eastAsia="zh-CN" w:bidi="ar"/>
                    </w:rPr>
                    <w:t>2.615</w:t>
                  </w:r>
                </w:p>
              </w:tc>
              <w:tc>
                <w:tcPr>
                  <w:tcW w:w="738" w:type="dxa"/>
                  <w:vAlign w:val="center"/>
                </w:tcPr>
                <w:p w14:paraId="0311F8DF">
                  <w:pPr>
                    <w:keepNext w:val="0"/>
                    <w:keepLines w:val="0"/>
                    <w:widowControl/>
                    <w:suppressLineNumbers w:val="0"/>
                    <w:jc w:val="center"/>
                    <w:textAlignment w:val="center"/>
                    <w:rPr>
                      <w:rFonts w:hint="default"/>
                      <w:lang w:val="en-US" w:eastAsia="zh-CN"/>
                    </w:rPr>
                  </w:pPr>
                  <w:r>
                    <w:rPr>
                      <w:rFonts w:hint="eastAsia" w:cs="Times New Roman"/>
                      <w:i w:val="0"/>
                      <w:iCs w:val="0"/>
                      <w:color w:val="000000"/>
                      <w:kern w:val="0"/>
                      <w:sz w:val="21"/>
                      <w:szCs w:val="21"/>
                      <w:u w:val="none"/>
                      <w:lang w:val="en-US" w:eastAsia="zh-CN" w:bidi="ar"/>
                    </w:rPr>
                    <w:t>1.09</w:t>
                  </w:r>
                </w:p>
              </w:tc>
              <w:tc>
                <w:tcPr>
                  <w:tcW w:w="785" w:type="dxa"/>
                  <w:vAlign w:val="center"/>
                </w:tcPr>
                <w:p w14:paraId="23EC8643">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2"/>
                      <w:szCs w:val="22"/>
                      <w:u w:val="none"/>
                      <w:lang w:val="en-US" w:eastAsia="zh-CN" w:bidi="ar"/>
                    </w:rPr>
                    <w:t>/</w:t>
                  </w:r>
                </w:p>
              </w:tc>
              <w:tc>
                <w:tcPr>
                  <w:tcW w:w="750" w:type="dxa"/>
                  <w:vAlign w:val="center"/>
                </w:tcPr>
                <w:p w14:paraId="20392BCF">
                  <w:pPr>
                    <w:pStyle w:val="40"/>
                    <w:bidi w:val="0"/>
                    <w:rPr>
                      <w:rFonts w:hint="eastAsia"/>
                      <w:lang w:val="en-US" w:eastAsia="zh-CN"/>
                    </w:rPr>
                  </w:pPr>
                  <w:r>
                    <w:rPr>
                      <w:rFonts w:hint="eastAsia"/>
                      <w:lang w:val="en-US" w:eastAsia="zh-CN"/>
                    </w:rPr>
                    <w:t>/</w:t>
                  </w:r>
                </w:p>
              </w:tc>
              <w:tc>
                <w:tcPr>
                  <w:tcW w:w="776" w:type="dxa"/>
                  <w:vAlign w:val="center"/>
                </w:tcPr>
                <w:p w14:paraId="05A4883A">
                  <w:pPr>
                    <w:pStyle w:val="40"/>
                    <w:bidi w:val="0"/>
                    <w:rPr>
                      <w:rFonts w:hint="default"/>
                      <w:lang w:val="en-US" w:eastAsia="zh-CN"/>
                    </w:rPr>
                  </w:pPr>
                  <w:r>
                    <w:rPr>
                      <w:rFonts w:hint="eastAsia"/>
                      <w:lang w:val="en-US" w:eastAsia="zh-CN"/>
                    </w:rPr>
                    <w:t>0.5</w:t>
                  </w:r>
                </w:p>
              </w:tc>
            </w:tr>
            <w:tr w14:paraId="4073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641" w:type="dxa"/>
                  <w:vMerge w:val="continue"/>
                  <w:vAlign w:val="center"/>
                </w:tcPr>
                <w:p w14:paraId="7E4C85FD">
                  <w:pPr>
                    <w:pStyle w:val="40"/>
                    <w:bidi w:val="0"/>
                    <w:rPr>
                      <w:rFonts w:hint="eastAsia"/>
                      <w:lang w:val="en-US" w:eastAsia="zh-CN"/>
                    </w:rPr>
                  </w:pPr>
                </w:p>
              </w:tc>
              <w:tc>
                <w:tcPr>
                  <w:tcW w:w="900" w:type="dxa"/>
                  <w:vAlign w:val="center"/>
                </w:tcPr>
                <w:p w14:paraId="0C306A5C">
                  <w:pPr>
                    <w:pStyle w:val="40"/>
                    <w:bidi w:val="0"/>
                    <w:rPr>
                      <w:rFonts w:hint="default"/>
                      <w:lang w:val="en-US" w:eastAsia="zh-CN"/>
                    </w:rPr>
                  </w:pPr>
                  <w:r>
                    <w:rPr>
                      <w:rFonts w:hint="eastAsia"/>
                      <w:lang w:val="en-US" w:eastAsia="zh-CN"/>
                    </w:rPr>
                    <w:t>食堂</w:t>
                  </w:r>
                </w:p>
              </w:tc>
              <w:tc>
                <w:tcPr>
                  <w:tcW w:w="554" w:type="dxa"/>
                  <w:vAlign w:val="center"/>
                </w:tcPr>
                <w:p w14:paraId="345A0EA1">
                  <w:pPr>
                    <w:pStyle w:val="40"/>
                    <w:bidi w:val="0"/>
                    <w:rPr>
                      <w:rFonts w:hint="default"/>
                      <w:lang w:val="en-US" w:eastAsia="zh-CN"/>
                    </w:rPr>
                  </w:pPr>
                  <w:r>
                    <w:rPr>
                      <w:rFonts w:hint="eastAsia"/>
                      <w:lang w:val="en-US" w:eastAsia="zh-CN"/>
                    </w:rPr>
                    <w:t>有组织</w:t>
                  </w:r>
                </w:p>
              </w:tc>
              <w:tc>
                <w:tcPr>
                  <w:tcW w:w="559" w:type="dxa"/>
                  <w:vAlign w:val="center"/>
                </w:tcPr>
                <w:p w14:paraId="1DB3848B">
                  <w:pPr>
                    <w:pStyle w:val="40"/>
                    <w:bidi w:val="0"/>
                    <w:rPr>
                      <w:rFonts w:hint="default"/>
                      <w:lang w:val="en-US" w:eastAsia="zh-CN"/>
                    </w:rPr>
                  </w:pPr>
                  <w:r>
                    <w:rPr>
                      <w:rFonts w:hint="eastAsia"/>
                      <w:lang w:val="en-US" w:eastAsia="zh-CN"/>
                    </w:rPr>
                    <w:t>食堂油烟</w:t>
                  </w:r>
                </w:p>
              </w:tc>
              <w:tc>
                <w:tcPr>
                  <w:tcW w:w="745" w:type="dxa"/>
                  <w:vAlign w:val="center"/>
                </w:tcPr>
                <w:p w14:paraId="5326081C">
                  <w:pPr>
                    <w:pStyle w:val="40"/>
                    <w:bidi w:val="0"/>
                    <w:rPr>
                      <w:rFonts w:hint="default"/>
                      <w:lang w:val="en-US" w:eastAsia="zh-CN"/>
                    </w:rPr>
                  </w:pPr>
                  <w:r>
                    <w:rPr>
                      <w:rFonts w:hint="eastAsia"/>
                      <w:lang w:val="en-US" w:eastAsia="zh-CN"/>
                    </w:rPr>
                    <w:t>0.018</w:t>
                  </w:r>
                </w:p>
              </w:tc>
              <w:tc>
                <w:tcPr>
                  <w:tcW w:w="738" w:type="dxa"/>
                  <w:vAlign w:val="center"/>
                </w:tcPr>
                <w:p w14:paraId="663DB56F">
                  <w:pPr>
                    <w:pStyle w:val="40"/>
                    <w:bidi w:val="0"/>
                    <w:rPr>
                      <w:rFonts w:hint="default"/>
                      <w:lang w:val="en-US" w:eastAsia="zh-CN"/>
                    </w:rPr>
                  </w:pPr>
                  <w:r>
                    <w:rPr>
                      <w:rFonts w:hint="eastAsia"/>
                      <w:lang w:val="en-US" w:eastAsia="zh-CN"/>
                    </w:rPr>
                    <w:t>0.015</w:t>
                  </w:r>
                </w:p>
              </w:tc>
              <w:tc>
                <w:tcPr>
                  <w:tcW w:w="843" w:type="dxa"/>
                  <w:vAlign w:val="center"/>
                </w:tcPr>
                <w:p w14:paraId="498084BC">
                  <w:pPr>
                    <w:pStyle w:val="40"/>
                    <w:bidi w:val="0"/>
                    <w:rPr>
                      <w:rFonts w:hint="default"/>
                      <w:lang w:val="en-US" w:eastAsia="zh-CN"/>
                    </w:rPr>
                  </w:pPr>
                  <w:r>
                    <w:rPr>
                      <w:rFonts w:hint="eastAsia"/>
                      <w:lang w:val="en-US" w:eastAsia="zh-CN"/>
                    </w:rPr>
                    <w:t>3.75</w:t>
                  </w:r>
                </w:p>
              </w:tc>
              <w:tc>
                <w:tcPr>
                  <w:tcW w:w="1373" w:type="dxa"/>
                  <w:vAlign w:val="center"/>
                </w:tcPr>
                <w:p w14:paraId="6C8A382E">
                  <w:pPr>
                    <w:pStyle w:val="40"/>
                    <w:bidi w:val="0"/>
                    <w:rPr>
                      <w:rFonts w:hint="eastAsia"/>
                      <w:lang w:val="en-US" w:eastAsia="zh-CN"/>
                    </w:rPr>
                  </w:pPr>
                  <w:r>
                    <w:rPr>
                      <w:rFonts w:hint="eastAsia"/>
                      <w:lang w:val="en-US" w:eastAsia="zh-CN"/>
                    </w:rPr>
                    <w:t>油烟净化器</w:t>
                  </w:r>
                </w:p>
              </w:tc>
              <w:tc>
                <w:tcPr>
                  <w:tcW w:w="750" w:type="dxa"/>
                  <w:vAlign w:val="center"/>
                </w:tcPr>
                <w:p w14:paraId="602D7D8F">
                  <w:pPr>
                    <w:pStyle w:val="40"/>
                    <w:bidi w:val="0"/>
                    <w:rPr>
                      <w:rFonts w:hint="default"/>
                      <w:lang w:val="en-US" w:eastAsia="zh-CN"/>
                    </w:rPr>
                  </w:pPr>
                  <w:r>
                    <w:rPr>
                      <w:rFonts w:hint="eastAsia"/>
                      <w:lang w:val="en-US" w:eastAsia="zh-CN"/>
                    </w:rPr>
                    <w:t>4000</w:t>
                  </w:r>
                </w:p>
              </w:tc>
              <w:tc>
                <w:tcPr>
                  <w:tcW w:w="669" w:type="dxa"/>
                  <w:vAlign w:val="center"/>
                </w:tcPr>
                <w:p w14:paraId="1E9FEBCE">
                  <w:pPr>
                    <w:pStyle w:val="40"/>
                    <w:bidi w:val="0"/>
                    <w:rPr>
                      <w:rFonts w:hint="default"/>
                      <w:lang w:val="en-US" w:eastAsia="zh-CN"/>
                    </w:rPr>
                  </w:pPr>
                  <w:r>
                    <w:rPr>
                      <w:rFonts w:hint="eastAsia"/>
                      <w:lang w:val="en-US" w:eastAsia="zh-CN"/>
                    </w:rPr>
                    <w:t>100</w:t>
                  </w:r>
                </w:p>
              </w:tc>
              <w:tc>
                <w:tcPr>
                  <w:tcW w:w="704" w:type="dxa"/>
                  <w:vAlign w:val="center"/>
                </w:tcPr>
                <w:p w14:paraId="0D585B6A">
                  <w:pPr>
                    <w:pStyle w:val="40"/>
                    <w:bidi w:val="0"/>
                    <w:rPr>
                      <w:rFonts w:hint="default"/>
                      <w:lang w:val="en-US" w:eastAsia="zh-CN"/>
                    </w:rPr>
                  </w:pPr>
                  <w:r>
                    <w:rPr>
                      <w:rFonts w:hint="eastAsia"/>
                      <w:lang w:val="en-US" w:eastAsia="zh-CN"/>
                    </w:rPr>
                    <w:t>60</w:t>
                  </w:r>
                </w:p>
              </w:tc>
              <w:tc>
                <w:tcPr>
                  <w:tcW w:w="727" w:type="dxa"/>
                  <w:vAlign w:val="center"/>
                </w:tcPr>
                <w:p w14:paraId="69388D99">
                  <w:pPr>
                    <w:pStyle w:val="40"/>
                    <w:bidi w:val="0"/>
                    <w:rPr>
                      <w:rFonts w:hint="default"/>
                      <w:lang w:val="en-US" w:eastAsia="zh-CN"/>
                    </w:rPr>
                  </w:pPr>
                  <w:r>
                    <w:rPr>
                      <w:rFonts w:hint="eastAsia"/>
                      <w:lang w:val="en-US" w:eastAsia="zh-CN"/>
                    </w:rPr>
                    <w:t>是</w:t>
                  </w:r>
                </w:p>
              </w:tc>
              <w:tc>
                <w:tcPr>
                  <w:tcW w:w="750" w:type="dxa"/>
                  <w:vAlign w:val="center"/>
                </w:tcPr>
                <w:p w14:paraId="4D2B01B6">
                  <w:pPr>
                    <w:pStyle w:val="40"/>
                    <w:bidi w:val="0"/>
                    <w:rPr>
                      <w:rFonts w:hint="default"/>
                      <w:lang w:val="en-US" w:eastAsia="zh-CN"/>
                    </w:rPr>
                  </w:pPr>
                  <w:r>
                    <w:rPr>
                      <w:rFonts w:hint="eastAsia"/>
                      <w:lang w:val="en-US" w:eastAsia="zh-CN"/>
                    </w:rPr>
                    <w:t>0.0072</w:t>
                  </w:r>
                </w:p>
              </w:tc>
              <w:tc>
                <w:tcPr>
                  <w:tcW w:w="738" w:type="dxa"/>
                  <w:vAlign w:val="center"/>
                </w:tcPr>
                <w:p w14:paraId="4AFD5726">
                  <w:pPr>
                    <w:pStyle w:val="40"/>
                    <w:bidi w:val="0"/>
                    <w:rPr>
                      <w:rFonts w:hint="default"/>
                      <w:lang w:val="en-US" w:eastAsia="zh-CN"/>
                    </w:rPr>
                  </w:pPr>
                  <w:r>
                    <w:rPr>
                      <w:rFonts w:hint="eastAsia"/>
                      <w:lang w:val="en-US" w:eastAsia="zh-CN"/>
                    </w:rPr>
                    <w:t>0.006</w:t>
                  </w:r>
                </w:p>
              </w:tc>
              <w:tc>
                <w:tcPr>
                  <w:tcW w:w="785" w:type="dxa"/>
                  <w:vAlign w:val="center"/>
                </w:tcPr>
                <w:p w14:paraId="7CF639A4">
                  <w:pPr>
                    <w:pStyle w:val="40"/>
                    <w:bidi w:val="0"/>
                    <w:rPr>
                      <w:rFonts w:hint="default"/>
                      <w:lang w:val="en-US" w:eastAsia="zh-CN"/>
                    </w:rPr>
                  </w:pPr>
                  <w:r>
                    <w:rPr>
                      <w:rFonts w:hint="eastAsia"/>
                      <w:lang w:val="en-US" w:eastAsia="zh-CN"/>
                    </w:rPr>
                    <w:t>1.5</w:t>
                  </w:r>
                </w:p>
              </w:tc>
              <w:tc>
                <w:tcPr>
                  <w:tcW w:w="750" w:type="dxa"/>
                  <w:vAlign w:val="center"/>
                </w:tcPr>
                <w:p w14:paraId="282980F7">
                  <w:pPr>
                    <w:pStyle w:val="40"/>
                    <w:bidi w:val="0"/>
                    <w:rPr>
                      <w:rFonts w:hint="default"/>
                      <w:lang w:val="en-US" w:eastAsia="zh-CN"/>
                    </w:rPr>
                  </w:pPr>
                  <w:r>
                    <w:rPr>
                      <w:rFonts w:hint="eastAsia"/>
                      <w:lang w:val="en-US" w:eastAsia="zh-CN"/>
                    </w:rPr>
                    <w:t>DA007</w:t>
                  </w:r>
                </w:p>
              </w:tc>
              <w:tc>
                <w:tcPr>
                  <w:tcW w:w="776" w:type="dxa"/>
                  <w:vAlign w:val="center"/>
                </w:tcPr>
                <w:p w14:paraId="38EEC1E0">
                  <w:pPr>
                    <w:pStyle w:val="40"/>
                    <w:bidi w:val="0"/>
                    <w:rPr>
                      <w:rFonts w:hint="default"/>
                      <w:lang w:val="en-US" w:eastAsia="zh-CN"/>
                    </w:rPr>
                  </w:pPr>
                  <w:r>
                    <w:rPr>
                      <w:rFonts w:hint="eastAsia"/>
                      <w:lang w:val="en-US" w:eastAsia="zh-CN"/>
                    </w:rPr>
                    <w:t>2</w:t>
                  </w:r>
                </w:p>
              </w:tc>
            </w:tr>
          </w:tbl>
          <w:p w14:paraId="13CD5B0C">
            <w:pPr>
              <w:pStyle w:val="42"/>
              <w:bidi w:val="0"/>
              <w:rPr>
                <w:rFonts w:hint="eastAsia"/>
                <w:lang w:val="en-US" w:eastAsia="zh-CN"/>
              </w:rPr>
            </w:pPr>
            <w:r>
              <w:rPr>
                <w:rFonts w:hint="eastAsia"/>
                <w:lang w:val="en-US" w:eastAsia="zh-CN"/>
              </w:rPr>
              <w:t>表4-2    排放口基本情况一览表</w:t>
            </w:r>
          </w:p>
          <w:tbl>
            <w:tblPr>
              <w:tblStyle w:val="23"/>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985"/>
              <w:gridCol w:w="1338"/>
              <w:gridCol w:w="1374"/>
              <w:gridCol w:w="1788"/>
              <w:gridCol w:w="1263"/>
              <w:gridCol w:w="1271"/>
              <w:gridCol w:w="1068"/>
              <w:gridCol w:w="1216"/>
              <w:gridCol w:w="1002"/>
            </w:tblGrid>
            <w:tr w14:paraId="6B10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noWrap w:val="0"/>
                  <w:vAlign w:val="center"/>
                </w:tcPr>
                <w:p w14:paraId="7CC3A883">
                  <w:pPr>
                    <w:pStyle w:val="40"/>
                    <w:bidi w:val="0"/>
                    <w:rPr>
                      <w:rFonts w:hint="eastAsia"/>
                      <w:lang w:val="en-US" w:eastAsia="zh-CN"/>
                    </w:rPr>
                  </w:pPr>
                  <w:r>
                    <w:rPr>
                      <w:rFonts w:hint="eastAsia"/>
                      <w:lang w:val="en-US" w:eastAsia="zh-CN"/>
                    </w:rPr>
                    <w:t>序号</w:t>
                  </w:r>
                </w:p>
              </w:tc>
              <w:tc>
                <w:tcPr>
                  <w:tcW w:w="763" w:type="pct"/>
                  <w:noWrap w:val="0"/>
                  <w:vAlign w:val="center"/>
                </w:tcPr>
                <w:p w14:paraId="706854A5">
                  <w:pPr>
                    <w:pStyle w:val="40"/>
                    <w:bidi w:val="0"/>
                    <w:rPr>
                      <w:rFonts w:hint="eastAsia"/>
                      <w:lang w:val="en-US" w:eastAsia="zh-CN"/>
                    </w:rPr>
                  </w:pPr>
                  <w:r>
                    <w:rPr>
                      <w:rFonts w:hint="eastAsia"/>
                      <w:lang w:val="en-US" w:eastAsia="zh-CN"/>
                    </w:rPr>
                    <w:t>排放口名称</w:t>
                  </w:r>
                </w:p>
              </w:tc>
              <w:tc>
                <w:tcPr>
                  <w:tcW w:w="514" w:type="pct"/>
                  <w:noWrap w:val="0"/>
                  <w:vAlign w:val="center"/>
                </w:tcPr>
                <w:p w14:paraId="5F1CE82F">
                  <w:pPr>
                    <w:pStyle w:val="40"/>
                    <w:bidi w:val="0"/>
                    <w:rPr>
                      <w:rFonts w:hint="eastAsia"/>
                      <w:lang w:val="en-US" w:eastAsia="zh-CN"/>
                    </w:rPr>
                  </w:pPr>
                  <w:r>
                    <w:rPr>
                      <w:rFonts w:hint="eastAsia"/>
                      <w:lang w:val="en-US" w:eastAsia="zh-CN"/>
                    </w:rPr>
                    <w:t>排放口编号</w:t>
                  </w:r>
                </w:p>
              </w:tc>
              <w:tc>
                <w:tcPr>
                  <w:tcW w:w="528" w:type="pct"/>
                  <w:noWrap w:val="0"/>
                  <w:vAlign w:val="center"/>
                </w:tcPr>
                <w:p w14:paraId="52D358E9">
                  <w:pPr>
                    <w:pStyle w:val="40"/>
                    <w:bidi w:val="0"/>
                    <w:rPr>
                      <w:rFonts w:hint="eastAsia"/>
                      <w:lang w:val="en-US" w:eastAsia="zh-CN"/>
                    </w:rPr>
                  </w:pPr>
                  <w:r>
                    <w:rPr>
                      <w:rFonts w:hint="eastAsia"/>
                      <w:lang w:val="en-US" w:eastAsia="zh-CN"/>
                    </w:rPr>
                    <w:t>污染物种类</w:t>
                  </w:r>
                </w:p>
              </w:tc>
              <w:tc>
                <w:tcPr>
                  <w:tcW w:w="687" w:type="pct"/>
                  <w:noWrap w:val="0"/>
                  <w:vAlign w:val="center"/>
                </w:tcPr>
                <w:p w14:paraId="04BE5584">
                  <w:pPr>
                    <w:pStyle w:val="40"/>
                    <w:bidi w:val="0"/>
                    <w:rPr>
                      <w:rFonts w:hint="eastAsia"/>
                      <w:lang w:val="en-US" w:eastAsia="zh-CN"/>
                    </w:rPr>
                  </w:pPr>
                  <w:r>
                    <w:rPr>
                      <w:rFonts w:hint="eastAsia"/>
                      <w:highlight w:val="none"/>
                      <w:lang w:val="en-US" w:eastAsia="zh-CN"/>
                    </w:rPr>
                    <w:t>地理坐标</w:t>
                  </w:r>
                </w:p>
              </w:tc>
              <w:tc>
                <w:tcPr>
                  <w:tcW w:w="485" w:type="pct"/>
                  <w:noWrap w:val="0"/>
                  <w:vAlign w:val="center"/>
                </w:tcPr>
                <w:p w14:paraId="2E8CDB38">
                  <w:pPr>
                    <w:pStyle w:val="40"/>
                    <w:bidi w:val="0"/>
                    <w:rPr>
                      <w:rFonts w:hint="eastAsia"/>
                      <w:lang w:val="en-US" w:eastAsia="zh-CN"/>
                    </w:rPr>
                  </w:pPr>
                  <w:r>
                    <w:rPr>
                      <w:rFonts w:hint="eastAsia"/>
                      <w:lang w:val="en-US" w:eastAsia="zh-CN"/>
                    </w:rPr>
                    <w:t>排气筒高度（m）</w:t>
                  </w:r>
                </w:p>
              </w:tc>
              <w:tc>
                <w:tcPr>
                  <w:tcW w:w="488" w:type="pct"/>
                  <w:noWrap w:val="0"/>
                  <w:vAlign w:val="center"/>
                </w:tcPr>
                <w:p w14:paraId="67B6A444">
                  <w:pPr>
                    <w:pStyle w:val="40"/>
                    <w:bidi w:val="0"/>
                    <w:rPr>
                      <w:rFonts w:hint="eastAsia"/>
                      <w:lang w:val="en-US" w:eastAsia="zh-CN"/>
                    </w:rPr>
                  </w:pPr>
                  <w:r>
                    <w:rPr>
                      <w:rFonts w:hint="eastAsia"/>
                      <w:lang w:val="en-US" w:eastAsia="zh-CN"/>
                    </w:rPr>
                    <w:t>排气筒内径（m）</w:t>
                  </w:r>
                </w:p>
              </w:tc>
              <w:tc>
                <w:tcPr>
                  <w:tcW w:w="410" w:type="pct"/>
                  <w:noWrap w:val="0"/>
                  <w:vAlign w:val="center"/>
                </w:tcPr>
                <w:p w14:paraId="40D43A50">
                  <w:pPr>
                    <w:pStyle w:val="40"/>
                    <w:bidi w:val="0"/>
                    <w:rPr>
                      <w:rFonts w:hint="eastAsia"/>
                      <w:lang w:val="en-US" w:eastAsia="zh-CN"/>
                    </w:rPr>
                  </w:pPr>
                  <w:r>
                    <w:rPr>
                      <w:rFonts w:hint="eastAsia"/>
                      <w:lang w:val="en-US" w:eastAsia="zh-CN"/>
                    </w:rPr>
                    <w:t>烟气温度（℃）</w:t>
                  </w:r>
                </w:p>
              </w:tc>
              <w:tc>
                <w:tcPr>
                  <w:tcW w:w="467" w:type="pct"/>
                  <w:noWrap w:val="0"/>
                  <w:vAlign w:val="center"/>
                </w:tcPr>
                <w:p w14:paraId="5CB6829B">
                  <w:pPr>
                    <w:pStyle w:val="40"/>
                    <w:bidi w:val="0"/>
                    <w:rPr>
                      <w:rFonts w:hint="eastAsia"/>
                      <w:lang w:val="en-US" w:eastAsia="zh-CN"/>
                    </w:rPr>
                  </w:pPr>
                  <w:r>
                    <w:rPr>
                      <w:rFonts w:hint="eastAsia"/>
                      <w:lang w:val="en-US" w:eastAsia="zh-CN"/>
                    </w:rPr>
                    <w:t>年排放小时数（h）</w:t>
                  </w:r>
                </w:p>
              </w:tc>
              <w:tc>
                <w:tcPr>
                  <w:tcW w:w="385" w:type="pct"/>
                  <w:noWrap w:val="0"/>
                  <w:vAlign w:val="center"/>
                </w:tcPr>
                <w:p w14:paraId="776A9CEA">
                  <w:pPr>
                    <w:pStyle w:val="40"/>
                    <w:bidi w:val="0"/>
                    <w:rPr>
                      <w:rFonts w:hint="eastAsia"/>
                      <w:lang w:val="en-US" w:eastAsia="zh-CN"/>
                    </w:rPr>
                  </w:pPr>
                  <w:r>
                    <w:rPr>
                      <w:rFonts w:hint="eastAsia"/>
                      <w:lang w:val="en-US" w:eastAsia="zh-CN"/>
                    </w:rPr>
                    <w:t>排气筒类型</w:t>
                  </w:r>
                </w:p>
              </w:tc>
            </w:tr>
            <w:tr w14:paraId="496F7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68" w:type="pct"/>
                  <w:noWrap w:val="0"/>
                  <w:vAlign w:val="center"/>
                </w:tcPr>
                <w:p w14:paraId="783BFA84">
                  <w:pPr>
                    <w:pStyle w:val="40"/>
                    <w:bidi w:val="0"/>
                    <w:rPr>
                      <w:rFonts w:hint="eastAsia"/>
                      <w:lang w:val="en-US" w:eastAsia="zh-CN"/>
                    </w:rPr>
                  </w:pPr>
                  <w:r>
                    <w:rPr>
                      <w:rFonts w:hint="eastAsia"/>
                      <w:lang w:val="en-US" w:eastAsia="zh-CN"/>
                    </w:rPr>
                    <w:t>1</w:t>
                  </w:r>
                </w:p>
              </w:tc>
              <w:tc>
                <w:tcPr>
                  <w:tcW w:w="763" w:type="pct"/>
                  <w:noWrap w:val="0"/>
                  <w:vAlign w:val="center"/>
                </w:tcPr>
                <w:p w14:paraId="02BADEC7">
                  <w:pPr>
                    <w:pStyle w:val="40"/>
                    <w:bidi w:val="0"/>
                    <w:rPr>
                      <w:rFonts w:hint="default"/>
                      <w:lang w:val="en-US" w:eastAsia="zh-CN"/>
                    </w:rPr>
                  </w:pPr>
                  <w:r>
                    <w:rPr>
                      <w:rFonts w:hint="eastAsia"/>
                      <w:lang w:val="en-US" w:eastAsia="zh-CN"/>
                    </w:rPr>
                    <w:t>现代化加气块生产线投料粉尘</w:t>
                  </w:r>
                </w:p>
              </w:tc>
              <w:tc>
                <w:tcPr>
                  <w:tcW w:w="514" w:type="pct"/>
                  <w:noWrap w:val="0"/>
                  <w:vAlign w:val="center"/>
                </w:tcPr>
                <w:p w14:paraId="7C3F2B2D">
                  <w:pPr>
                    <w:pStyle w:val="40"/>
                    <w:bidi w:val="0"/>
                    <w:ind w:left="0" w:leftChars="0" w:right="0" w:rightChars="0" w:firstLine="0" w:firstLineChars="0"/>
                    <w:jc w:val="center"/>
                    <w:rPr>
                      <w:rFonts w:hint="default"/>
                      <w:lang w:val="en-US" w:eastAsia="zh-CN"/>
                    </w:rPr>
                  </w:pPr>
                  <w:r>
                    <w:rPr>
                      <w:rFonts w:hint="eastAsia"/>
                      <w:lang w:val="en-US" w:eastAsia="zh-CN"/>
                    </w:rPr>
                    <w:t>DA001</w:t>
                  </w:r>
                </w:p>
              </w:tc>
              <w:tc>
                <w:tcPr>
                  <w:tcW w:w="528" w:type="pct"/>
                  <w:noWrap w:val="0"/>
                  <w:vAlign w:val="center"/>
                </w:tcPr>
                <w:p w14:paraId="00D0B10E">
                  <w:pPr>
                    <w:pStyle w:val="40"/>
                    <w:bidi w:val="0"/>
                    <w:ind w:left="0" w:leftChars="0" w:right="0" w:rightChars="0" w:firstLine="0" w:firstLineChars="0"/>
                    <w:jc w:val="center"/>
                    <w:rPr>
                      <w:rFonts w:hint="default"/>
                      <w:lang w:val="en-US" w:eastAsia="zh-CN"/>
                    </w:rPr>
                  </w:pPr>
                  <w:r>
                    <w:rPr>
                      <w:rFonts w:hint="eastAsia"/>
                      <w:lang w:val="en-US" w:eastAsia="zh-CN"/>
                    </w:rPr>
                    <w:t>颗粒物</w:t>
                  </w:r>
                </w:p>
              </w:tc>
              <w:tc>
                <w:tcPr>
                  <w:tcW w:w="687" w:type="pct"/>
                  <w:noWrap w:val="0"/>
                  <w:vAlign w:val="center"/>
                </w:tcPr>
                <w:p w14:paraId="5DBAC601">
                  <w:pPr>
                    <w:pStyle w:val="40"/>
                    <w:bidi w:val="0"/>
                    <w:rPr>
                      <w:rFonts w:hint="default" w:ascii="Times New Roman" w:hAnsi="Times New Roman" w:cs="Times New Roman"/>
                      <w:lang w:val="en-US" w:eastAsia="zh-CN"/>
                    </w:rPr>
                  </w:pPr>
                  <w:r>
                    <w:rPr>
                      <w:rFonts w:hint="default" w:ascii="Times New Roman" w:hAnsi="Times New Roman" w:cs="Times New Roman"/>
                      <w:lang w:val="en-US" w:eastAsia="zh-CN"/>
                    </w:rPr>
                    <w:t>E:88°14′24.517″</w:t>
                  </w:r>
                </w:p>
                <w:p w14:paraId="5455ED2D">
                  <w:pPr>
                    <w:pStyle w:val="40"/>
                    <w:bidi w:val="0"/>
                    <w:rPr>
                      <w:rFonts w:hint="default" w:ascii="Times New Roman" w:hAnsi="Times New Roman" w:cs="Times New Roman"/>
                      <w:lang w:val="en-US" w:eastAsia="zh-CN"/>
                    </w:rPr>
                  </w:pPr>
                  <w:r>
                    <w:rPr>
                      <w:rFonts w:hint="default" w:ascii="Times New Roman" w:hAnsi="Times New Roman" w:cs="Times New Roman"/>
                      <w:lang w:val="en-US" w:eastAsia="zh-CN"/>
                    </w:rPr>
                    <w:t>N:39°1′0.270″</w:t>
                  </w:r>
                </w:p>
              </w:tc>
              <w:tc>
                <w:tcPr>
                  <w:tcW w:w="485" w:type="pct"/>
                  <w:noWrap w:val="0"/>
                  <w:vAlign w:val="center"/>
                </w:tcPr>
                <w:p w14:paraId="601DAA5E">
                  <w:pPr>
                    <w:pStyle w:val="40"/>
                    <w:bidi w:val="0"/>
                    <w:rPr>
                      <w:rFonts w:hint="default"/>
                      <w:lang w:val="en-US" w:eastAsia="zh-CN"/>
                    </w:rPr>
                  </w:pPr>
                  <w:r>
                    <w:rPr>
                      <w:rFonts w:hint="eastAsia"/>
                      <w:lang w:val="en-US" w:eastAsia="zh-CN"/>
                    </w:rPr>
                    <w:t>15</w:t>
                  </w:r>
                </w:p>
              </w:tc>
              <w:tc>
                <w:tcPr>
                  <w:tcW w:w="488" w:type="pct"/>
                  <w:noWrap w:val="0"/>
                  <w:vAlign w:val="center"/>
                </w:tcPr>
                <w:p w14:paraId="5DB66EEB">
                  <w:pPr>
                    <w:pStyle w:val="40"/>
                    <w:bidi w:val="0"/>
                    <w:rPr>
                      <w:rFonts w:hint="default"/>
                      <w:lang w:val="en-US" w:eastAsia="zh-CN"/>
                    </w:rPr>
                  </w:pPr>
                  <w:r>
                    <w:rPr>
                      <w:rFonts w:hint="eastAsia"/>
                      <w:lang w:val="en-US" w:eastAsia="zh-CN"/>
                    </w:rPr>
                    <w:t>0.1</w:t>
                  </w:r>
                </w:p>
              </w:tc>
              <w:tc>
                <w:tcPr>
                  <w:tcW w:w="410" w:type="pct"/>
                  <w:noWrap w:val="0"/>
                  <w:vAlign w:val="center"/>
                </w:tcPr>
                <w:p w14:paraId="75AD3C39">
                  <w:pPr>
                    <w:pStyle w:val="40"/>
                    <w:bidi w:val="0"/>
                    <w:rPr>
                      <w:rFonts w:hint="default"/>
                      <w:lang w:val="en-US" w:eastAsia="zh-CN"/>
                    </w:rPr>
                  </w:pPr>
                  <w:r>
                    <w:rPr>
                      <w:rFonts w:hint="eastAsia"/>
                      <w:lang w:val="en-US" w:eastAsia="zh-CN"/>
                    </w:rPr>
                    <w:t>25</w:t>
                  </w:r>
                </w:p>
              </w:tc>
              <w:tc>
                <w:tcPr>
                  <w:tcW w:w="467" w:type="pct"/>
                  <w:noWrap w:val="0"/>
                  <w:vAlign w:val="center"/>
                </w:tcPr>
                <w:p w14:paraId="0713C72C">
                  <w:pPr>
                    <w:pStyle w:val="40"/>
                    <w:bidi w:val="0"/>
                    <w:rPr>
                      <w:rFonts w:hint="default"/>
                      <w:lang w:val="en-US" w:eastAsia="zh-CN"/>
                    </w:rPr>
                  </w:pPr>
                  <w:r>
                    <w:rPr>
                      <w:rFonts w:hint="eastAsia"/>
                      <w:lang w:val="en-US" w:eastAsia="zh-CN"/>
                    </w:rPr>
                    <w:t>1200</w:t>
                  </w:r>
                </w:p>
              </w:tc>
              <w:tc>
                <w:tcPr>
                  <w:tcW w:w="385" w:type="pct"/>
                  <w:noWrap w:val="0"/>
                  <w:vAlign w:val="center"/>
                </w:tcPr>
                <w:p w14:paraId="434E01A0">
                  <w:pPr>
                    <w:pStyle w:val="40"/>
                    <w:bidi w:val="0"/>
                    <w:rPr>
                      <w:rFonts w:hint="default"/>
                      <w:lang w:val="en-US" w:eastAsia="zh-CN"/>
                    </w:rPr>
                  </w:pPr>
                  <w:r>
                    <w:rPr>
                      <w:rFonts w:hint="eastAsia"/>
                      <w:lang w:val="en-US" w:eastAsia="zh-CN"/>
                    </w:rPr>
                    <w:t>一般排放口</w:t>
                  </w:r>
                </w:p>
              </w:tc>
            </w:tr>
            <w:tr w14:paraId="5ED5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68" w:type="pct"/>
                  <w:noWrap w:val="0"/>
                  <w:vAlign w:val="center"/>
                </w:tcPr>
                <w:p w14:paraId="07112721">
                  <w:pPr>
                    <w:pStyle w:val="40"/>
                    <w:bidi w:val="0"/>
                    <w:rPr>
                      <w:rFonts w:hint="eastAsia"/>
                      <w:lang w:val="en-US" w:eastAsia="zh-CN"/>
                    </w:rPr>
                  </w:pPr>
                  <w:r>
                    <w:rPr>
                      <w:rFonts w:hint="eastAsia"/>
                      <w:lang w:val="en-US" w:eastAsia="zh-CN"/>
                    </w:rPr>
                    <w:t>2</w:t>
                  </w:r>
                </w:p>
              </w:tc>
              <w:tc>
                <w:tcPr>
                  <w:tcW w:w="763" w:type="pct"/>
                  <w:noWrap w:val="0"/>
                  <w:vAlign w:val="center"/>
                </w:tcPr>
                <w:p w14:paraId="54F547F2">
                  <w:pPr>
                    <w:pStyle w:val="40"/>
                    <w:bidi w:val="0"/>
                    <w:rPr>
                      <w:rFonts w:hint="default"/>
                      <w:lang w:val="en-US" w:eastAsia="zh-CN"/>
                    </w:rPr>
                  </w:pPr>
                  <w:r>
                    <w:rPr>
                      <w:rFonts w:hint="default"/>
                      <w:lang w:val="en-US" w:eastAsia="zh-CN"/>
                    </w:rPr>
                    <w:t>砼预制房一体浇筑生产线投料粉尘</w:t>
                  </w:r>
                </w:p>
              </w:tc>
              <w:tc>
                <w:tcPr>
                  <w:tcW w:w="514" w:type="pct"/>
                  <w:noWrap w:val="0"/>
                  <w:vAlign w:val="center"/>
                </w:tcPr>
                <w:p w14:paraId="5E77AE19">
                  <w:pPr>
                    <w:bidi w:val="0"/>
                    <w:ind w:left="0" w:leftChars="0" w:right="0" w:rightChars="0" w:firstLine="0" w:firstLineChars="0"/>
                    <w:jc w:val="center"/>
                    <w:rPr>
                      <w:rFonts w:hint="eastAsia"/>
                      <w:lang w:val="en-US" w:eastAsia="zh-CN"/>
                    </w:rPr>
                  </w:pPr>
                  <w:r>
                    <w:rPr>
                      <w:rFonts w:hint="eastAsia"/>
                      <w:lang w:val="en-US" w:eastAsia="zh-CN"/>
                    </w:rPr>
                    <w:t>DA002</w:t>
                  </w:r>
                </w:p>
              </w:tc>
              <w:tc>
                <w:tcPr>
                  <w:tcW w:w="528" w:type="pct"/>
                  <w:noWrap w:val="0"/>
                  <w:vAlign w:val="center"/>
                </w:tcPr>
                <w:p w14:paraId="3B94D19B">
                  <w:pPr>
                    <w:bidi w:val="0"/>
                    <w:ind w:left="0" w:leftChars="0" w:right="0" w:rightChars="0" w:firstLine="0" w:firstLineChars="0"/>
                    <w:jc w:val="center"/>
                    <w:rPr>
                      <w:rFonts w:hint="eastAsia"/>
                      <w:lang w:val="en-US" w:eastAsia="zh-CN"/>
                    </w:rPr>
                  </w:pPr>
                  <w:r>
                    <w:rPr>
                      <w:rFonts w:hint="eastAsia"/>
                      <w:lang w:val="en-US" w:eastAsia="zh-CN"/>
                    </w:rPr>
                    <w:t>颗粒物</w:t>
                  </w:r>
                </w:p>
              </w:tc>
              <w:tc>
                <w:tcPr>
                  <w:tcW w:w="687" w:type="pct"/>
                  <w:noWrap w:val="0"/>
                  <w:vAlign w:val="center"/>
                </w:tcPr>
                <w:p w14:paraId="2E0FB0CB">
                  <w:pPr>
                    <w:pStyle w:val="40"/>
                    <w:bidi w:val="0"/>
                    <w:rPr>
                      <w:rFonts w:hint="default" w:ascii="Times New Roman" w:hAnsi="Times New Roman" w:cs="Times New Roman"/>
                      <w:lang w:val="en-US" w:eastAsia="zh-CN"/>
                    </w:rPr>
                  </w:pPr>
                  <w:r>
                    <w:rPr>
                      <w:rFonts w:hint="default" w:ascii="Times New Roman" w:hAnsi="Times New Roman" w:cs="Times New Roman"/>
                      <w:lang w:val="en-US" w:eastAsia="zh-CN"/>
                    </w:rPr>
                    <w:t>E:88°14′24.324″</w:t>
                  </w:r>
                </w:p>
                <w:p w14:paraId="6A5BA802">
                  <w:pPr>
                    <w:pStyle w:val="40"/>
                    <w:bidi w:val="0"/>
                    <w:rPr>
                      <w:rFonts w:hint="default" w:ascii="Times New Roman" w:hAnsi="Times New Roman" w:cs="Times New Roman"/>
                      <w:lang w:val="en-US" w:eastAsia="zh-CN"/>
                    </w:rPr>
                  </w:pPr>
                  <w:r>
                    <w:rPr>
                      <w:rFonts w:hint="default" w:ascii="Times New Roman" w:hAnsi="Times New Roman" w:cs="Times New Roman"/>
                      <w:lang w:val="en-US" w:eastAsia="zh-CN"/>
                    </w:rPr>
                    <w:t>N:39°0′58.822″</w:t>
                  </w:r>
                </w:p>
              </w:tc>
              <w:tc>
                <w:tcPr>
                  <w:tcW w:w="485" w:type="pct"/>
                  <w:noWrap w:val="0"/>
                  <w:vAlign w:val="center"/>
                </w:tcPr>
                <w:p w14:paraId="28B5D52B">
                  <w:pPr>
                    <w:pStyle w:val="40"/>
                    <w:bidi w:val="0"/>
                    <w:rPr>
                      <w:rFonts w:hint="eastAsia"/>
                      <w:lang w:val="en-US" w:eastAsia="zh-CN"/>
                    </w:rPr>
                  </w:pPr>
                  <w:r>
                    <w:rPr>
                      <w:rFonts w:hint="eastAsia"/>
                      <w:lang w:val="en-US" w:eastAsia="zh-CN"/>
                    </w:rPr>
                    <w:t>15</w:t>
                  </w:r>
                </w:p>
              </w:tc>
              <w:tc>
                <w:tcPr>
                  <w:tcW w:w="488" w:type="pct"/>
                  <w:noWrap w:val="0"/>
                  <w:vAlign w:val="center"/>
                </w:tcPr>
                <w:p w14:paraId="15C3F436">
                  <w:pPr>
                    <w:pStyle w:val="40"/>
                    <w:bidi w:val="0"/>
                    <w:rPr>
                      <w:rFonts w:hint="eastAsia"/>
                      <w:lang w:val="en-US" w:eastAsia="zh-CN"/>
                    </w:rPr>
                  </w:pPr>
                  <w:r>
                    <w:rPr>
                      <w:rFonts w:hint="eastAsia"/>
                      <w:lang w:val="en-US" w:eastAsia="zh-CN"/>
                    </w:rPr>
                    <w:t>0.1</w:t>
                  </w:r>
                </w:p>
              </w:tc>
              <w:tc>
                <w:tcPr>
                  <w:tcW w:w="410" w:type="pct"/>
                  <w:noWrap w:val="0"/>
                  <w:vAlign w:val="center"/>
                </w:tcPr>
                <w:p w14:paraId="7F94B17F">
                  <w:pPr>
                    <w:pStyle w:val="40"/>
                    <w:bidi w:val="0"/>
                    <w:rPr>
                      <w:rFonts w:hint="eastAsia"/>
                      <w:lang w:val="en-US" w:eastAsia="zh-CN"/>
                    </w:rPr>
                  </w:pPr>
                  <w:r>
                    <w:rPr>
                      <w:rFonts w:hint="eastAsia"/>
                      <w:lang w:val="en-US" w:eastAsia="zh-CN"/>
                    </w:rPr>
                    <w:t>25</w:t>
                  </w:r>
                </w:p>
              </w:tc>
              <w:tc>
                <w:tcPr>
                  <w:tcW w:w="467" w:type="pct"/>
                  <w:noWrap w:val="0"/>
                  <w:vAlign w:val="center"/>
                </w:tcPr>
                <w:p w14:paraId="772F89F4">
                  <w:pPr>
                    <w:pStyle w:val="40"/>
                    <w:bidi w:val="0"/>
                    <w:rPr>
                      <w:rFonts w:hint="default"/>
                      <w:lang w:val="en-US" w:eastAsia="zh-CN"/>
                    </w:rPr>
                  </w:pPr>
                  <w:r>
                    <w:rPr>
                      <w:rFonts w:hint="eastAsia"/>
                      <w:lang w:val="en-US" w:eastAsia="zh-CN"/>
                    </w:rPr>
                    <w:t>1200</w:t>
                  </w:r>
                </w:p>
              </w:tc>
              <w:tc>
                <w:tcPr>
                  <w:tcW w:w="385" w:type="pct"/>
                  <w:noWrap w:val="0"/>
                  <w:vAlign w:val="center"/>
                </w:tcPr>
                <w:p w14:paraId="1490D607">
                  <w:pPr>
                    <w:pStyle w:val="40"/>
                    <w:bidi w:val="0"/>
                    <w:rPr>
                      <w:rFonts w:hint="eastAsia"/>
                      <w:lang w:val="en-US" w:eastAsia="zh-CN"/>
                    </w:rPr>
                  </w:pPr>
                  <w:r>
                    <w:rPr>
                      <w:rFonts w:hint="eastAsia"/>
                      <w:lang w:val="en-US" w:eastAsia="zh-CN"/>
                    </w:rPr>
                    <w:t>一般排放口</w:t>
                  </w:r>
                </w:p>
              </w:tc>
            </w:tr>
            <w:tr w14:paraId="4D7C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68" w:type="pct"/>
                  <w:noWrap w:val="0"/>
                  <w:vAlign w:val="center"/>
                </w:tcPr>
                <w:p w14:paraId="35CB9DBD">
                  <w:pPr>
                    <w:pStyle w:val="40"/>
                    <w:bidi w:val="0"/>
                    <w:rPr>
                      <w:rFonts w:hint="default"/>
                      <w:lang w:val="en-US" w:eastAsia="zh-CN"/>
                    </w:rPr>
                  </w:pPr>
                  <w:r>
                    <w:rPr>
                      <w:rFonts w:hint="eastAsia"/>
                      <w:lang w:val="en-US" w:eastAsia="zh-CN"/>
                    </w:rPr>
                    <w:t>3</w:t>
                  </w:r>
                </w:p>
              </w:tc>
              <w:tc>
                <w:tcPr>
                  <w:tcW w:w="763" w:type="pct"/>
                  <w:noWrap w:val="0"/>
                  <w:vAlign w:val="center"/>
                </w:tcPr>
                <w:p w14:paraId="13182AC3">
                  <w:pPr>
                    <w:pStyle w:val="40"/>
                    <w:bidi w:val="0"/>
                    <w:rPr>
                      <w:rFonts w:hint="eastAsia"/>
                      <w:lang w:val="en-US" w:eastAsia="zh-CN"/>
                    </w:rPr>
                  </w:pPr>
                  <w:r>
                    <w:rPr>
                      <w:rFonts w:hint="eastAsia"/>
                      <w:lang w:val="en-US" w:eastAsia="zh-CN"/>
                    </w:rPr>
                    <w:t>水泥砖生产线投料粉尘</w:t>
                  </w:r>
                </w:p>
              </w:tc>
              <w:tc>
                <w:tcPr>
                  <w:tcW w:w="514" w:type="pct"/>
                  <w:noWrap w:val="0"/>
                  <w:vAlign w:val="center"/>
                </w:tcPr>
                <w:p w14:paraId="08741BEF">
                  <w:pPr>
                    <w:bidi w:val="0"/>
                    <w:ind w:left="0" w:leftChars="0" w:right="0" w:rightChars="0" w:firstLine="0" w:firstLineChars="0"/>
                    <w:jc w:val="center"/>
                    <w:rPr>
                      <w:rFonts w:hint="eastAsia"/>
                      <w:lang w:val="en-US" w:eastAsia="zh-CN"/>
                    </w:rPr>
                  </w:pPr>
                  <w:r>
                    <w:rPr>
                      <w:rFonts w:hint="eastAsia"/>
                      <w:lang w:val="en-US" w:eastAsia="zh-CN"/>
                    </w:rPr>
                    <w:t>DA003</w:t>
                  </w:r>
                </w:p>
              </w:tc>
              <w:tc>
                <w:tcPr>
                  <w:tcW w:w="528" w:type="pct"/>
                  <w:noWrap w:val="0"/>
                  <w:vAlign w:val="center"/>
                </w:tcPr>
                <w:p w14:paraId="2EBC3213">
                  <w:pPr>
                    <w:bidi w:val="0"/>
                    <w:ind w:left="0" w:leftChars="0" w:right="0" w:rightChars="0" w:firstLine="0" w:firstLineChars="0"/>
                    <w:jc w:val="center"/>
                    <w:rPr>
                      <w:rFonts w:hint="eastAsia"/>
                      <w:lang w:val="en-US" w:eastAsia="zh-CN"/>
                    </w:rPr>
                  </w:pPr>
                  <w:r>
                    <w:rPr>
                      <w:rFonts w:hint="eastAsia"/>
                      <w:lang w:val="en-US" w:eastAsia="zh-CN"/>
                    </w:rPr>
                    <w:t>颗粒物</w:t>
                  </w:r>
                </w:p>
              </w:tc>
              <w:tc>
                <w:tcPr>
                  <w:tcW w:w="687" w:type="pct"/>
                  <w:noWrap w:val="0"/>
                  <w:vAlign w:val="center"/>
                </w:tcPr>
                <w:p w14:paraId="2AEAD756">
                  <w:pPr>
                    <w:pStyle w:val="40"/>
                    <w:bidi w:val="0"/>
                    <w:rPr>
                      <w:rFonts w:hint="default" w:ascii="Times New Roman" w:hAnsi="Times New Roman" w:cs="Times New Roman"/>
                      <w:lang w:val="en-US" w:eastAsia="zh-CN"/>
                    </w:rPr>
                  </w:pPr>
                  <w:r>
                    <w:rPr>
                      <w:rFonts w:hint="default" w:ascii="Times New Roman" w:hAnsi="Times New Roman" w:cs="Times New Roman"/>
                      <w:lang w:val="en-US" w:eastAsia="zh-CN"/>
                    </w:rPr>
                    <w:t>E:88°14′24.170″</w:t>
                  </w:r>
                </w:p>
                <w:p w14:paraId="194ABEE9">
                  <w:pPr>
                    <w:pStyle w:val="40"/>
                    <w:bidi w:val="0"/>
                    <w:rPr>
                      <w:rFonts w:hint="default" w:ascii="Times New Roman" w:hAnsi="Times New Roman" w:cs="Times New Roman"/>
                      <w:lang w:val="en-US" w:eastAsia="zh-CN"/>
                    </w:rPr>
                  </w:pPr>
                  <w:r>
                    <w:rPr>
                      <w:rFonts w:hint="default" w:ascii="Times New Roman" w:hAnsi="Times New Roman" w:cs="Times New Roman"/>
                      <w:lang w:val="en-US" w:eastAsia="zh-CN"/>
                    </w:rPr>
                    <w:t>N:39°0′57.586″</w:t>
                  </w:r>
                </w:p>
              </w:tc>
              <w:tc>
                <w:tcPr>
                  <w:tcW w:w="485" w:type="pct"/>
                  <w:noWrap w:val="0"/>
                  <w:vAlign w:val="center"/>
                </w:tcPr>
                <w:p w14:paraId="06493323">
                  <w:pPr>
                    <w:pStyle w:val="40"/>
                    <w:bidi w:val="0"/>
                    <w:rPr>
                      <w:rFonts w:hint="eastAsia"/>
                      <w:lang w:val="en-US" w:eastAsia="zh-CN"/>
                    </w:rPr>
                  </w:pPr>
                  <w:r>
                    <w:rPr>
                      <w:rFonts w:hint="eastAsia"/>
                      <w:lang w:val="en-US" w:eastAsia="zh-CN"/>
                    </w:rPr>
                    <w:t>15</w:t>
                  </w:r>
                </w:p>
              </w:tc>
              <w:tc>
                <w:tcPr>
                  <w:tcW w:w="488" w:type="pct"/>
                  <w:noWrap w:val="0"/>
                  <w:vAlign w:val="center"/>
                </w:tcPr>
                <w:p w14:paraId="460A5223">
                  <w:pPr>
                    <w:pStyle w:val="40"/>
                    <w:bidi w:val="0"/>
                    <w:rPr>
                      <w:rFonts w:hint="eastAsia"/>
                      <w:lang w:val="en-US" w:eastAsia="zh-CN"/>
                    </w:rPr>
                  </w:pPr>
                  <w:r>
                    <w:rPr>
                      <w:rFonts w:hint="eastAsia"/>
                      <w:lang w:val="en-US" w:eastAsia="zh-CN"/>
                    </w:rPr>
                    <w:t>0.1</w:t>
                  </w:r>
                </w:p>
              </w:tc>
              <w:tc>
                <w:tcPr>
                  <w:tcW w:w="410" w:type="pct"/>
                  <w:noWrap w:val="0"/>
                  <w:vAlign w:val="center"/>
                </w:tcPr>
                <w:p w14:paraId="2C2FF007">
                  <w:pPr>
                    <w:pStyle w:val="40"/>
                    <w:bidi w:val="0"/>
                    <w:rPr>
                      <w:rFonts w:hint="eastAsia"/>
                      <w:lang w:val="en-US" w:eastAsia="zh-CN"/>
                    </w:rPr>
                  </w:pPr>
                  <w:r>
                    <w:rPr>
                      <w:rFonts w:hint="eastAsia"/>
                      <w:lang w:val="en-US" w:eastAsia="zh-CN"/>
                    </w:rPr>
                    <w:t>25</w:t>
                  </w:r>
                </w:p>
              </w:tc>
              <w:tc>
                <w:tcPr>
                  <w:tcW w:w="467" w:type="pct"/>
                  <w:noWrap w:val="0"/>
                  <w:vAlign w:val="center"/>
                </w:tcPr>
                <w:p w14:paraId="0F8B3EFA">
                  <w:pPr>
                    <w:pStyle w:val="40"/>
                    <w:bidi w:val="0"/>
                    <w:rPr>
                      <w:rFonts w:hint="default"/>
                      <w:lang w:val="en-US" w:eastAsia="zh-CN"/>
                    </w:rPr>
                  </w:pPr>
                  <w:r>
                    <w:rPr>
                      <w:rFonts w:hint="eastAsia"/>
                      <w:lang w:val="en-US" w:eastAsia="zh-CN"/>
                    </w:rPr>
                    <w:t>1200</w:t>
                  </w:r>
                </w:p>
              </w:tc>
              <w:tc>
                <w:tcPr>
                  <w:tcW w:w="385" w:type="pct"/>
                  <w:noWrap w:val="0"/>
                  <w:vAlign w:val="center"/>
                </w:tcPr>
                <w:p w14:paraId="634B63D4">
                  <w:pPr>
                    <w:pStyle w:val="40"/>
                    <w:bidi w:val="0"/>
                    <w:rPr>
                      <w:rFonts w:hint="eastAsia"/>
                      <w:lang w:val="en-US" w:eastAsia="zh-CN"/>
                    </w:rPr>
                  </w:pPr>
                  <w:r>
                    <w:rPr>
                      <w:rFonts w:hint="eastAsia"/>
                      <w:lang w:val="en-US" w:eastAsia="zh-CN"/>
                    </w:rPr>
                    <w:t>一般排放口</w:t>
                  </w:r>
                </w:p>
              </w:tc>
            </w:tr>
            <w:tr w14:paraId="0F9A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68" w:type="pct"/>
                  <w:noWrap w:val="0"/>
                  <w:vAlign w:val="center"/>
                </w:tcPr>
                <w:p w14:paraId="641C329C">
                  <w:pPr>
                    <w:pStyle w:val="40"/>
                    <w:bidi w:val="0"/>
                    <w:rPr>
                      <w:rFonts w:hint="default"/>
                      <w:lang w:val="en-US" w:eastAsia="zh-CN"/>
                    </w:rPr>
                  </w:pPr>
                  <w:r>
                    <w:rPr>
                      <w:rFonts w:hint="eastAsia"/>
                      <w:lang w:val="en-US" w:eastAsia="zh-CN"/>
                    </w:rPr>
                    <w:t>4</w:t>
                  </w:r>
                </w:p>
              </w:tc>
              <w:tc>
                <w:tcPr>
                  <w:tcW w:w="763" w:type="pct"/>
                  <w:noWrap w:val="0"/>
                  <w:vAlign w:val="center"/>
                </w:tcPr>
                <w:p w14:paraId="45FE481C">
                  <w:pPr>
                    <w:pStyle w:val="40"/>
                    <w:bidi w:val="0"/>
                    <w:rPr>
                      <w:rFonts w:hint="eastAsia"/>
                      <w:lang w:val="en-US" w:eastAsia="zh-CN"/>
                    </w:rPr>
                  </w:pPr>
                  <w:r>
                    <w:rPr>
                      <w:rFonts w:hint="eastAsia"/>
                      <w:lang w:val="en-US" w:eastAsia="zh-CN"/>
                    </w:rPr>
                    <w:t>现代化加气块生产线搅拌粉尘</w:t>
                  </w:r>
                </w:p>
              </w:tc>
              <w:tc>
                <w:tcPr>
                  <w:tcW w:w="514" w:type="pct"/>
                  <w:noWrap w:val="0"/>
                  <w:vAlign w:val="center"/>
                </w:tcPr>
                <w:p w14:paraId="3EE5AC0E">
                  <w:pPr>
                    <w:bidi w:val="0"/>
                    <w:ind w:left="0" w:leftChars="0" w:right="0" w:rightChars="0" w:firstLine="0" w:firstLineChars="0"/>
                    <w:jc w:val="center"/>
                    <w:rPr>
                      <w:rFonts w:hint="eastAsia"/>
                      <w:lang w:val="en-US" w:eastAsia="zh-CN"/>
                    </w:rPr>
                  </w:pPr>
                  <w:r>
                    <w:rPr>
                      <w:rFonts w:hint="eastAsia"/>
                      <w:lang w:val="en-US" w:eastAsia="zh-CN"/>
                    </w:rPr>
                    <w:t>DA004</w:t>
                  </w:r>
                </w:p>
              </w:tc>
              <w:tc>
                <w:tcPr>
                  <w:tcW w:w="528" w:type="pct"/>
                  <w:noWrap w:val="0"/>
                  <w:vAlign w:val="center"/>
                </w:tcPr>
                <w:p w14:paraId="10C64D32">
                  <w:pPr>
                    <w:bidi w:val="0"/>
                    <w:ind w:left="0" w:leftChars="0" w:right="0" w:rightChars="0" w:firstLine="0" w:firstLineChars="0"/>
                    <w:jc w:val="center"/>
                    <w:rPr>
                      <w:rFonts w:hint="eastAsia"/>
                      <w:lang w:val="en-US" w:eastAsia="zh-CN"/>
                    </w:rPr>
                  </w:pPr>
                  <w:r>
                    <w:rPr>
                      <w:rFonts w:hint="eastAsia"/>
                      <w:lang w:val="en-US" w:eastAsia="zh-CN"/>
                    </w:rPr>
                    <w:t>颗粒物</w:t>
                  </w:r>
                </w:p>
              </w:tc>
              <w:tc>
                <w:tcPr>
                  <w:tcW w:w="687" w:type="pct"/>
                  <w:noWrap w:val="0"/>
                  <w:vAlign w:val="center"/>
                </w:tcPr>
                <w:p w14:paraId="6DB10752">
                  <w:pPr>
                    <w:pStyle w:val="40"/>
                    <w:bidi w:val="0"/>
                    <w:rPr>
                      <w:rFonts w:hint="default" w:ascii="Times New Roman" w:hAnsi="Times New Roman" w:cs="Times New Roman"/>
                      <w:lang w:val="en-US" w:eastAsia="zh-CN"/>
                    </w:rPr>
                  </w:pPr>
                  <w:r>
                    <w:rPr>
                      <w:rFonts w:hint="default" w:ascii="Times New Roman" w:hAnsi="Times New Roman" w:cs="Times New Roman"/>
                      <w:lang w:val="en-US" w:eastAsia="zh-CN"/>
                    </w:rPr>
                    <w:t>E:88°14′25.637″</w:t>
                  </w:r>
                </w:p>
                <w:p w14:paraId="340EE166">
                  <w:pPr>
                    <w:pStyle w:val="40"/>
                    <w:bidi w:val="0"/>
                    <w:rPr>
                      <w:rFonts w:hint="default" w:ascii="Times New Roman" w:hAnsi="Times New Roman" w:cs="Times New Roman"/>
                      <w:lang w:val="en-US" w:eastAsia="zh-CN"/>
                    </w:rPr>
                  </w:pPr>
                  <w:r>
                    <w:rPr>
                      <w:rFonts w:hint="default" w:ascii="Times New Roman" w:hAnsi="Times New Roman" w:cs="Times New Roman"/>
                      <w:lang w:val="en-US" w:eastAsia="zh-CN"/>
                    </w:rPr>
                    <w:t>N:39°1′0.212″</w:t>
                  </w:r>
                </w:p>
              </w:tc>
              <w:tc>
                <w:tcPr>
                  <w:tcW w:w="485" w:type="pct"/>
                  <w:noWrap w:val="0"/>
                  <w:vAlign w:val="center"/>
                </w:tcPr>
                <w:p w14:paraId="3E3A3247">
                  <w:pPr>
                    <w:pStyle w:val="40"/>
                    <w:bidi w:val="0"/>
                    <w:rPr>
                      <w:rFonts w:hint="eastAsia"/>
                      <w:lang w:val="en-US" w:eastAsia="zh-CN"/>
                    </w:rPr>
                  </w:pPr>
                  <w:r>
                    <w:rPr>
                      <w:rFonts w:hint="eastAsia"/>
                      <w:lang w:val="en-US" w:eastAsia="zh-CN"/>
                    </w:rPr>
                    <w:t>15</w:t>
                  </w:r>
                </w:p>
              </w:tc>
              <w:tc>
                <w:tcPr>
                  <w:tcW w:w="488" w:type="pct"/>
                  <w:noWrap w:val="0"/>
                  <w:vAlign w:val="center"/>
                </w:tcPr>
                <w:p w14:paraId="2FBACA18">
                  <w:pPr>
                    <w:pStyle w:val="40"/>
                    <w:bidi w:val="0"/>
                    <w:rPr>
                      <w:rFonts w:hint="eastAsia"/>
                      <w:lang w:val="en-US" w:eastAsia="zh-CN"/>
                    </w:rPr>
                  </w:pPr>
                  <w:r>
                    <w:rPr>
                      <w:rFonts w:hint="eastAsia"/>
                      <w:lang w:val="en-US" w:eastAsia="zh-CN"/>
                    </w:rPr>
                    <w:t>0.1</w:t>
                  </w:r>
                </w:p>
              </w:tc>
              <w:tc>
                <w:tcPr>
                  <w:tcW w:w="410" w:type="pct"/>
                  <w:noWrap w:val="0"/>
                  <w:vAlign w:val="center"/>
                </w:tcPr>
                <w:p w14:paraId="460C0040">
                  <w:pPr>
                    <w:pStyle w:val="40"/>
                    <w:bidi w:val="0"/>
                    <w:rPr>
                      <w:rFonts w:hint="eastAsia"/>
                      <w:lang w:val="en-US" w:eastAsia="zh-CN"/>
                    </w:rPr>
                  </w:pPr>
                  <w:r>
                    <w:rPr>
                      <w:rFonts w:hint="eastAsia"/>
                      <w:lang w:val="en-US" w:eastAsia="zh-CN"/>
                    </w:rPr>
                    <w:t>25</w:t>
                  </w:r>
                </w:p>
              </w:tc>
              <w:tc>
                <w:tcPr>
                  <w:tcW w:w="467" w:type="pct"/>
                  <w:noWrap w:val="0"/>
                  <w:vAlign w:val="center"/>
                </w:tcPr>
                <w:p w14:paraId="5910344C">
                  <w:pPr>
                    <w:pStyle w:val="40"/>
                    <w:bidi w:val="0"/>
                    <w:rPr>
                      <w:rFonts w:hint="eastAsia"/>
                      <w:lang w:val="en-US" w:eastAsia="zh-CN"/>
                    </w:rPr>
                  </w:pPr>
                  <w:r>
                    <w:rPr>
                      <w:rFonts w:hint="eastAsia"/>
                      <w:lang w:val="en-US" w:eastAsia="zh-CN"/>
                    </w:rPr>
                    <w:t>2400</w:t>
                  </w:r>
                </w:p>
              </w:tc>
              <w:tc>
                <w:tcPr>
                  <w:tcW w:w="385" w:type="pct"/>
                  <w:noWrap w:val="0"/>
                  <w:vAlign w:val="center"/>
                </w:tcPr>
                <w:p w14:paraId="3417F0D1">
                  <w:pPr>
                    <w:pStyle w:val="40"/>
                    <w:bidi w:val="0"/>
                    <w:rPr>
                      <w:rFonts w:hint="eastAsia"/>
                      <w:lang w:val="en-US" w:eastAsia="zh-CN"/>
                    </w:rPr>
                  </w:pPr>
                  <w:r>
                    <w:rPr>
                      <w:rFonts w:hint="eastAsia"/>
                      <w:lang w:val="en-US" w:eastAsia="zh-CN"/>
                    </w:rPr>
                    <w:t>一般排放口</w:t>
                  </w:r>
                </w:p>
              </w:tc>
            </w:tr>
            <w:tr w14:paraId="5A86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8" w:type="pct"/>
                  <w:noWrap w:val="0"/>
                  <w:vAlign w:val="center"/>
                </w:tcPr>
                <w:p w14:paraId="7EC4CC14">
                  <w:pPr>
                    <w:pStyle w:val="40"/>
                    <w:bidi w:val="0"/>
                    <w:rPr>
                      <w:rFonts w:hint="default"/>
                      <w:lang w:val="en-US" w:eastAsia="zh-CN"/>
                    </w:rPr>
                  </w:pPr>
                  <w:r>
                    <w:rPr>
                      <w:rFonts w:hint="eastAsia"/>
                      <w:lang w:val="en-US" w:eastAsia="zh-CN"/>
                    </w:rPr>
                    <w:t>5</w:t>
                  </w:r>
                </w:p>
              </w:tc>
              <w:tc>
                <w:tcPr>
                  <w:tcW w:w="763" w:type="pct"/>
                  <w:noWrap w:val="0"/>
                  <w:vAlign w:val="center"/>
                </w:tcPr>
                <w:p w14:paraId="239D6119">
                  <w:pPr>
                    <w:pStyle w:val="40"/>
                    <w:bidi w:val="0"/>
                    <w:rPr>
                      <w:rFonts w:hint="eastAsia"/>
                      <w:lang w:val="en-US" w:eastAsia="zh-CN"/>
                    </w:rPr>
                  </w:pPr>
                  <w:r>
                    <w:rPr>
                      <w:rFonts w:hint="default"/>
                      <w:lang w:val="en-US" w:eastAsia="zh-CN"/>
                    </w:rPr>
                    <w:t>砼预制房一体浇筑生产线搅拌粉尘</w:t>
                  </w:r>
                </w:p>
              </w:tc>
              <w:tc>
                <w:tcPr>
                  <w:tcW w:w="514" w:type="pct"/>
                  <w:noWrap w:val="0"/>
                  <w:vAlign w:val="center"/>
                </w:tcPr>
                <w:p w14:paraId="3920D785">
                  <w:pPr>
                    <w:bidi w:val="0"/>
                    <w:ind w:left="0" w:leftChars="0" w:right="0" w:rightChars="0" w:firstLine="0" w:firstLineChars="0"/>
                    <w:jc w:val="center"/>
                    <w:rPr>
                      <w:rFonts w:hint="eastAsia"/>
                      <w:lang w:val="en-US" w:eastAsia="zh-CN"/>
                    </w:rPr>
                  </w:pPr>
                  <w:r>
                    <w:rPr>
                      <w:rFonts w:hint="eastAsia"/>
                      <w:lang w:val="en-US" w:eastAsia="zh-CN"/>
                    </w:rPr>
                    <w:t>DA005</w:t>
                  </w:r>
                </w:p>
              </w:tc>
              <w:tc>
                <w:tcPr>
                  <w:tcW w:w="528" w:type="pct"/>
                  <w:noWrap w:val="0"/>
                  <w:vAlign w:val="center"/>
                </w:tcPr>
                <w:p w14:paraId="40F8EF2D">
                  <w:pPr>
                    <w:bidi w:val="0"/>
                    <w:ind w:left="0" w:leftChars="0" w:right="0" w:rightChars="0" w:firstLine="0" w:firstLineChars="0"/>
                    <w:jc w:val="center"/>
                    <w:rPr>
                      <w:rFonts w:hint="eastAsia"/>
                      <w:lang w:val="en-US" w:eastAsia="zh-CN"/>
                    </w:rPr>
                  </w:pPr>
                  <w:r>
                    <w:rPr>
                      <w:rFonts w:hint="eastAsia"/>
                      <w:lang w:val="en-US" w:eastAsia="zh-CN"/>
                    </w:rPr>
                    <w:t>颗粒物</w:t>
                  </w:r>
                </w:p>
              </w:tc>
              <w:tc>
                <w:tcPr>
                  <w:tcW w:w="687" w:type="pct"/>
                  <w:noWrap w:val="0"/>
                  <w:vAlign w:val="center"/>
                </w:tcPr>
                <w:p w14:paraId="63299D04">
                  <w:pPr>
                    <w:pStyle w:val="40"/>
                    <w:bidi w:val="0"/>
                    <w:rPr>
                      <w:rFonts w:hint="default" w:ascii="Times New Roman" w:hAnsi="Times New Roman" w:cs="Times New Roman"/>
                      <w:lang w:val="en-US" w:eastAsia="zh-CN"/>
                    </w:rPr>
                  </w:pPr>
                  <w:r>
                    <w:rPr>
                      <w:rFonts w:hint="default" w:ascii="Times New Roman" w:hAnsi="Times New Roman" w:cs="Times New Roman"/>
                      <w:lang w:val="en-US" w:eastAsia="zh-CN"/>
                    </w:rPr>
                    <w:t>E:88°14′25.502″</w:t>
                  </w:r>
                </w:p>
                <w:p w14:paraId="592780C9">
                  <w:pPr>
                    <w:pStyle w:val="40"/>
                    <w:bidi w:val="0"/>
                    <w:rPr>
                      <w:rFonts w:hint="default" w:ascii="Times New Roman" w:hAnsi="Times New Roman" w:cs="Times New Roman"/>
                      <w:lang w:val="en-US" w:eastAsia="zh-CN"/>
                    </w:rPr>
                  </w:pPr>
                  <w:r>
                    <w:rPr>
                      <w:rFonts w:hint="default" w:ascii="Times New Roman" w:hAnsi="Times New Roman" w:cs="Times New Roman"/>
                      <w:lang w:val="en-US" w:eastAsia="zh-CN"/>
                    </w:rPr>
                    <w:t>N:39°0′58.841″</w:t>
                  </w:r>
                </w:p>
              </w:tc>
              <w:tc>
                <w:tcPr>
                  <w:tcW w:w="485" w:type="pct"/>
                  <w:noWrap w:val="0"/>
                  <w:vAlign w:val="center"/>
                </w:tcPr>
                <w:p w14:paraId="74BAE55B">
                  <w:pPr>
                    <w:pStyle w:val="40"/>
                    <w:bidi w:val="0"/>
                    <w:rPr>
                      <w:rFonts w:hint="eastAsia"/>
                      <w:lang w:val="en-US" w:eastAsia="zh-CN"/>
                    </w:rPr>
                  </w:pPr>
                  <w:r>
                    <w:rPr>
                      <w:rFonts w:hint="eastAsia"/>
                      <w:lang w:val="en-US" w:eastAsia="zh-CN"/>
                    </w:rPr>
                    <w:t>15</w:t>
                  </w:r>
                </w:p>
              </w:tc>
              <w:tc>
                <w:tcPr>
                  <w:tcW w:w="488" w:type="pct"/>
                  <w:noWrap w:val="0"/>
                  <w:vAlign w:val="center"/>
                </w:tcPr>
                <w:p w14:paraId="1234863A">
                  <w:pPr>
                    <w:pStyle w:val="40"/>
                    <w:bidi w:val="0"/>
                    <w:rPr>
                      <w:rFonts w:hint="default"/>
                      <w:lang w:val="en-US" w:eastAsia="zh-CN"/>
                    </w:rPr>
                  </w:pPr>
                  <w:r>
                    <w:rPr>
                      <w:rFonts w:hint="eastAsia"/>
                      <w:lang w:val="en-US" w:eastAsia="zh-CN"/>
                    </w:rPr>
                    <w:t>0.25</w:t>
                  </w:r>
                </w:p>
              </w:tc>
              <w:tc>
                <w:tcPr>
                  <w:tcW w:w="410" w:type="pct"/>
                  <w:noWrap w:val="0"/>
                  <w:vAlign w:val="center"/>
                </w:tcPr>
                <w:p w14:paraId="4B15C205">
                  <w:pPr>
                    <w:pStyle w:val="40"/>
                    <w:bidi w:val="0"/>
                    <w:rPr>
                      <w:rFonts w:hint="eastAsia"/>
                      <w:lang w:val="en-US" w:eastAsia="zh-CN"/>
                    </w:rPr>
                  </w:pPr>
                  <w:r>
                    <w:rPr>
                      <w:rFonts w:hint="eastAsia"/>
                      <w:lang w:val="en-US" w:eastAsia="zh-CN"/>
                    </w:rPr>
                    <w:t>25</w:t>
                  </w:r>
                </w:p>
              </w:tc>
              <w:tc>
                <w:tcPr>
                  <w:tcW w:w="467" w:type="pct"/>
                  <w:noWrap w:val="0"/>
                  <w:vAlign w:val="center"/>
                </w:tcPr>
                <w:p w14:paraId="07BE58B1">
                  <w:pPr>
                    <w:pStyle w:val="40"/>
                    <w:bidi w:val="0"/>
                    <w:rPr>
                      <w:rFonts w:hint="eastAsia"/>
                      <w:lang w:val="en-US" w:eastAsia="zh-CN"/>
                    </w:rPr>
                  </w:pPr>
                  <w:r>
                    <w:rPr>
                      <w:rFonts w:hint="eastAsia"/>
                      <w:lang w:val="en-US" w:eastAsia="zh-CN"/>
                    </w:rPr>
                    <w:t>2400</w:t>
                  </w:r>
                </w:p>
              </w:tc>
              <w:tc>
                <w:tcPr>
                  <w:tcW w:w="385" w:type="pct"/>
                  <w:noWrap w:val="0"/>
                  <w:vAlign w:val="center"/>
                </w:tcPr>
                <w:p w14:paraId="1D0AD083">
                  <w:pPr>
                    <w:pStyle w:val="40"/>
                    <w:bidi w:val="0"/>
                    <w:rPr>
                      <w:rFonts w:hint="eastAsia"/>
                      <w:lang w:val="en-US" w:eastAsia="zh-CN"/>
                    </w:rPr>
                  </w:pPr>
                  <w:r>
                    <w:rPr>
                      <w:rFonts w:hint="eastAsia"/>
                      <w:lang w:val="en-US" w:eastAsia="zh-CN"/>
                    </w:rPr>
                    <w:t>一般排放口</w:t>
                  </w:r>
                </w:p>
              </w:tc>
            </w:tr>
            <w:tr w14:paraId="1BC91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68" w:type="pct"/>
                  <w:noWrap w:val="0"/>
                  <w:vAlign w:val="center"/>
                </w:tcPr>
                <w:p w14:paraId="7C84DEF6">
                  <w:pPr>
                    <w:pStyle w:val="40"/>
                    <w:bidi w:val="0"/>
                    <w:rPr>
                      <w:rFonts w:hint="default"/>
                      <w:lang w:val="en-US" w:eastAsia="zh-CN"/>
                    </w:rPr>
                  </w:pPr>
                  <w:r>
                    <w:rPr>
                      <w:rFonts w:hint="eastAsia"/>
                      <w:lang w:val="en-US" w:eastAsia="zh-CN"/>
                    </w:rPr>
                    <w:t>6</w:t>
                  </w:r>
                </w:p>
              </w:tc>
              <w:tc>
                <w:tcPr>
                  <w:tcW w:w="763" w:type="pct"/>
                  <w:noWrap w:val="0"/>
                  <w:vAlign w:val="center"/>
                </w:tcPr>
                <w:p w14:paraId="4FB69F42">
                  <w:pPr>
                    <w:pStyle w:val="40"/>
                    <w:bidi w:val="0"/>
                    <w:rPr>
                      <w:rFonts w:hint="eastAsia"/>
                      <w:lang w:val="en-US" w:eastAsia="zh-CN"/>
                    </w:rPr>
                  </w:pPr>
                  <w:r>
                    <w:rPr>
                      <w:rFonts w:hint="eastAsia"/>
                      <w:lang w:val="en-US" w:eastAsia="zh-CN"/>
                    </w:rPr>
                    <w:t>水泥砖生产线搅拌粉尘</w:t>
                  </w:r>
                </w:p>
              </w:tc>
              <w:tc>
                <w:tcPr>
                  <w:tcW w:w="514" w:type="pct"/>
                  <w:noWrap w:val="0"/>
                  <w:vAlign w:val="center"/>
                </w:tcPr>
                <w:p w14:paraId="21B5C8FB">
                  <w:pPr>
                    <w:bidi w:val="0"/>
                    <w:ind w:left="0" w:leftChars="0" w:right="0" w:rightChars="0" w:firstLine="0" w:firstLineChars="0"/>
                    <w:jc w:val="center"/>
                    <w:rPr>
                      <w:rFonts w:hint="eastAsia"/>
                      <w:lang w:val="en-US" w:eastAsia="zh-CN"/>
                    </w:rPr>
                  </w:pPr>
                  <w:r>
                    <w:rPr>
                      <w:rFonts w:hint="eastAsia"/>
                      <w:lang w:val="en-US" w:eastAsia="zh-CN"/>
                    </w:rPr>
                    <w:t>DA006</w:t>
                  </w:r>
                </w:p>
              </w:tc>
              <w:tc>
                <w:tcPr>
                  <w:tcW w:w="528" w:type="pct"/>
                  <w:noWrap w:val="0"/>
                  <w:vAlign w:val="center"/>
                </w:tcPr>
                <w:p w14:paraId="090FF8AB">
                  <w:pPr>
                    <w:bidi w:val="0"/>
                    <w:ind w:left="0" w:leftChars="0" w:right="0" w:rightChars="0" w:firstLine="0" w:firstLineChars="0"/>
                    <w:jc w:val="center"/>
                    <w:rPr>
                      <w:rFonts w:hint="eastAsia"/>
                      <w:lang w:val="en-US" w:eastAsia="zh-CN"/>
                    </w:rPr>
                  </w:pPr>
                  <w:r>
                    <w:rPr>
                      <w:rFonts w:hint="eastAsia"/>
                      <w:lang w:val="en-US" w:eastAsia="zh-CN"/>
                    </w:rPr>
                    <w:t>颗粒物</w:t>
                  </w:r>
                </w:p>
              </w:tc>
              <w:tc>
                <w:tcPr>
                  <w:tcW w:w="687" w:type="pct"/>
                  <w:noWrap w:val="0"/>
                  <w:vAlign w:val="center"/>
                </w:tcPr>
                <w:p w14:paraId="656D8FDE">
                  <w:pPr>
                    <w:pStyle w:val="40"/>
                    <w:bidi w:val="0"/>
                    <w:rPr>
                      <w:rFonts w:hint="default" w:ascii="Times New Roman" w:hAnsi="Times New Roman" w:cs="Times New Roman"/>
                      <w:lang w:val="en-US" w:eastAsia="zh-CN"/>
                    </w:rPr>
                  </w:pPr>
                  <w:r>
                    <w:rPr>
                      <w:rFonts w:hint="default" w:ascii="Times New Roman" w:hAnsi="Times New Roman" w:cs="Times New Roman"/>
                      <w:lang w:val="en-US" w:eastAsia="zh-CN"/>
                    </w:rPr>
                    <w:t>E:88°14′25.174″</w:t>
                  </w:r>
                </w:p>
                <w:p w14:paraId="4B2268CB">
                  <w:pPr>
                    <w:pStyle w:val="40"/>
                    <w:bidi w:val="0"/>
                    <w:rPr>
                      <w:rFonts w:hint="default" w:ascii="Times New Roman" w:hAnsi="Times New Roman" w:cs="Times New Roman"/>
                      <w:lang w:val="en-US" w:eastAsia="zh-CN"/>
                    </w:rPr>
                  </w:pPr>
                  <w:r>
                    <w:rPr>
                      <w:rFonts w:hint="default" w:ascii="Times New Roman" w:hAnsi="Times New Roman" w:cs="Times New Roman"/>
                      <w:lang w:val="en-US" w:eastAsia="zh-CN"/>
                    </w:rPr>
                    <w:t>N:39°0′57.740″</w:t>
                  </w:r>
                </w:p>
              </w:tc>
              <w:tc>
                <w:tcPr>
                  <w:tcW w:w="485" w:type="pct"/>
                  <w:noWrap w:val="0"/>
                  <w:vAlign w:val="center"/>
                </w:tcPr>
                <w:p w14:paraId="7A4C703C">
                  <w:pPr>
                    <w:pStyle w:val="40"/>
                    <w:bidi w:val="0"/>
                    <w:rPr>
                      <w:rFonts w:hint="eastAsia"/>
                      <w:lang w:val="en-US" w:eastAsia="zh-CN"/>
                    </w:rPr>
                  </w:pPr>
                  <w:r>
                    <w:rPr>
                      <w:rFonts w:hint="eastAsia"/>
                      <w:lang w:val="en-US" w:eastAsia="zh-CN"/>
                    </w:rPr>
                    <w:t>15</w:t>
                  </w:r>
                </w:p>
              </w:tc>
              <w:tc>
                <w:tcPr>
                  <w:tcW w:w="488" w:type="pct"/>
                  <w:noWrap w:val="0"/>
                  <w:vAlign w:val="center"/>
                </w:tcPr>
                <w:p w14:paraId="1FEE2676">
                  <w:pPr>
                    <w:pStyle w:val="40"/>
                    <w:bidi w:val="0"/>
                    <w:rPr>
                      <w:rFonts w:hint="eastAsia"/>
                      <w:lang w:val="en-US" w:eastAsia="zh-CN"/>
                    </w:rPr>
                  </w:pPr>
                  <w:r>
                    <w:rPr>
                      <w:rFonts w:hint="eastAsia"/>
                      <w:lang w:val="en-US" w:eastAsia="zh-CN"/>
                    </w:rPr>
                    <w:t>0.1</w:t>
                  </w:r>
                </w:p>
              </w:tc>
              <w:tc>
                <w:tcPr>
                  <w:tcW w:w="410" w:type="pct"/>
                  <w:noWrap w:val="0"/>
                  <w:vAlign w:val="center"/>
                </w:tcPr>
                <w:p w14:paraId="510F047D">
                  <w:pPr>
                    <w:pStyle w:val="40"/>
                    <w:bidi w:val="0"/>
                    <w:rPr>
                      <w:rFonts w:hint="eastAsia"/>
                      <w:lang w:val="en-US" w:eastAsia="zh-CN"/>
                    </w:rPr>
                  </w:pPr>
                  <w:r>
                    <w:rPr>
                      <w:rFonts w:hint="eastAsia"/>
                      <w:lang w:val="en-US" w:eastAsia="zh-CN"/>
                    </w:rPr>
                    <w:t>25</w:t>
                  </w:r>
                </w:p>
              </w:tc>
              <w:tc>
                <w:tcPr>
                  <w:tcW w:w="467" w:type="pct"/>
                  <w:noWrap w:val="0"/>
                  <w:vAlign w:val="center"/>
                </w:tcPr>
                <w:p w14:paraId="0364E81B">
                  <w:pPr>
                    <w:pStyle w:val="40"/>
                    <w:bidi w:val="0"/>
                    <w:rPr>
                      <w:rFonts w:hint="eastAsia"/>
                      <w:lang w:val="en-US" w:eastAsia="zh-CN"/>
                    </w:rPr>
                  </w:pPr>
                  <w:r>
                    <w:rPr>
                      <w:rFonts w:hint="eastAsia"/>
                      <w:lang w:val="en-US" w:eastAsia="zh-CN"/>
                    </w:rPr>
                    <w:t>2400</w:t>
                  </w:r>
                </w:p>
              </w:tc>
              <w:tc>
                <w:tcPr>
                  <w:tcW w:w="385" w:type="pct"/>
                  <w:noWrap w:val="0"/>
                  <w:vAlign w:val="center"/>
                </w:tcPr>
                <w:p w14:paraId="459BB571">
                  <w:pPr>
                    <w:pStyle w:val="40"/>
                    <w:bidi w:val="0"/>
                    <w:rPr>
                      <w:rFonts w:hint="eastAsia"/>
                      <w:lang w:val="en-US" w:eastAsia="zh-CN"/>
                    </w:rPr>
                  </w:pPr>
                  <w:r>
                    <w:rPr>
                      <w:rFonts w:hint="eastAsia"/>
                      <w:lang w:val="en-US" w:eastAsia="zh-CN"/>
                    </w:rPr>
                    <w:t>一般排放口</w:t>
                  </w:r>
                </w:p>
              </w:tc>
            </w:tr>
            <w:tr w14:paraId="0B7D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268" w:type="pct"/>
                  <w:noWrap w:val="0"/>
                  <w:vAlign w:val="center"/>
                </w:tcPr>
                <w:p w14:paraId="4535B849">
                  <w:pPr>
                    <w:pStyle w:val="40"/>
                    <w:bidi w:val="0"/>
                    <w:rPr>
                      <w:rFonts w:hint="default"/>
                      <w:lang w:val="en-US" w:eastAsia="zh-CN"/>
                    </w:rPr>
                  </w:pPr>
                  <w:r>
                    <w:rPr>
                      <w:rFonts w:hint="eastAsia"/>
                      <w:lang w:val="en-US" w:eastAsia="zh-CN"/>
                    </w:rPr>
                    <w:t>7</w:t>
                  </w:r>
                </w:p>
              </w:tc>
              <w:tc>
                <w:tcPr>
                  <w:tcW w:w="763" w:type="pct"/>
                  <w:shd w:val="clear" w:color="auto" w:fill="auto"/>
                  <w:noWrap w:val="0"/>
                  <w:vAlign w:val="center"/>
                </w:tcPr>
                <w:p w14:paraId="7A4B65F1">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食堂油烟</w:t>
                  </w:r>
                </w:p>
              </w:tc>
              <w:tc>
                <w:tcPr>
                  <w:tcW w:w="514" w:type="pct"/>
                  <w:shd w:val="clear" w:color="auto" w:fill="auto"/>
                  <w:noWrap w:val="0"/>
                  <w:vAlign w:val="center"/>
                </w:tcPr>
                <w:p w14:paraId="390F71D9">
                  <w:pPr>
                    <w:pStyle w:val="40"/>
                    <w:bidi w:val="0"/>
                    <w:ind w:left="0" w:leftChars="0" w:right="0" w:rightChars="0" w:firstLine="0" w:firstLineChars="0"/>
                    <w:jc w:val="center"/>
                    <w:rPr>
                      <w:rFonts w:hint="eastAsia" w:ascii="Times New Roman" w:hAnsi="Times New Roman" w:eastAsia="宋体" w:cs="Times New Roman"/>
                      <w:kern w:val="2"/>
                      <w:sz w:val="21"/>
                      <w:szCs w:val="21"/>
                      <w:lang w:val="en-US" w:eastAsia="zh-CN" w:bidi="ar-SA"/>
                    </w:rPr>
                  </w:pPr>
                  <w:r>
                    <w:rPr>
                      <w:rFonts w:hint="eastAsia"/>
                      <w:lang w:val="en-US" w:eastAsia="zh-CN"/>
                    </w:rPr>
                    <w:t>DA007</w:t>
                  </w:r>
                </w:p>
              </w:tc>
              <w:tc>
                <w:tcPr>
                  <w:tcW w:w="528" w:type="pct"/>
                  <w:shd w:val="clear" w:color="auto" w:fill="auto"/>
                  <w:noWrap w:val="0"/>
                  <w:vAlign w:val="center"/>
                </w:tcPr>
                <w:p w14:paraId="2EFFDAAC">
                  <w:pPr>
                    <w:pStyle w:val="40"/>
                    <w:bidi w:val="0"/>
                    <w:ind w:left="0" w:leftChars="0" w:right="0" w:rightChars="0" w:firstLine="0" w:firstLineChars="0"/>
                    <w:jc w:val="center"/>
                    <w:rPr>
                      <w:rFonts w:hint="eastAsia" w:ascii="Times New Roman" w:hAnsi="Times New Roman" w:eastAsia="宋体" w:cs="Times New Roman"/>
                      <w:kern w:val="2"/>
                      <w:sz w:val="21"/>
                      <w:szCs w:val="21"/>
                      <w:lang w:val="en-US" w:eastAsia="zh-CN" w:bidi="ar-SA"/>
                    </w:rPr>
                  </w:pPr>
                  <w:r>
                    <w:rPr>
                      <w:rFonts w:hint="eastAsia"/>
                      <w:lang w:val="en-US" w:eastAsia="zh-CN"/>
                    </w:rPr>
                    <w:t>油烟废气</w:t>
                  </w:r>
                </w:p>
              </w:tc>
              <w:tc>
                <w:tcPr>
                  <w:tcW w:w="687" w:type="pct"/>
                  <w:shd w:val="clear" w:color="auto" w:fill="auto"/>
                  <w:noWrap w:val="0"/>
                  <w:vAlign w:val="center"/>
                </w:tcPr>
                <w:p w14:paraId="080DC933">
                  <w:pPr>
                    <w:pStyle w:val="40"/>
                    <w:bidi w:val="0"/>
                    <w:rPr>
                      <w:rFonts w:hint="default" w:ascii="Times New Roman" w:hAnsi="Times New Roman" w:cs="Times New Roman"/>
                      <w:lang w:val="en-US" w:eastAsia="zh-CN"/>
                    </w:rPr>
                  </w:pPr>
                  <w:r>
                    <w:rPr>
                      <w:rFonts w:hint="default" w:ascii="Times New Roman" w:hAnsi="Times New Roman" w:cs="Times New Roman"/>
                      <w:lang w:val="en-US" w:eastAsia="zh-CN"/>
                    </w:rPr>
                    <w:t>E:88°14′32.049″</w:t>
                  </w:r>
                </w:p>
                <w:p w14:paraId="153E0E80">
                  <w:pPr>
                    <w:pStyle w:val="40"/>
                    <w:bidi w:val="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lang w:val="en-US" w:eastAsia="zh-CN"/>
                    </w:rPr>
                    <w:t>N:39°0′59.227″</w:t>
                  </w:r>
                </w:p>
              </w:tc>
              <w:tc>
                <w:tcPr>
                  <w:tcW w:w="485" w:type="pct"/>
                  <w:shd w:val="clear" w:color="auto" w:fill="auto"/>
                  <w:noWrap w:val="0"/>
                  <w:vAlign w:val="center"/>
                </w:tcPr>
                <w:p w14:paraId="21AA458F">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高于屋顶</w:t>
                  </w:r>
                </w:p>
              </w:tc>
              <w:tc>
                <w:tcPr>
                  <w:tcW w:w="488" w:type="pct"/>
                  <w:shd w:val="clear" w:color="auto" w:fill="auto"/>
                  <w:noWrap w:val="0"/>
                  <w:vAlign w:val="center"/>
                </w:tcPr>
                <w:p w14:paraId="597C5CB3">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0.05</w:t>
                  </w:r>
                </w:p>
              </w:tc>
              <w:tc>
                <w:tcPr>
                  <w:tcW w:w="410" w:type="pct"/>
                  <w:shd w:val="clear" w:color="auto" w:fill="auto"/>
                  <w:noWrap w:val="0"/>
                  <w:vAlign w:val="center"/>
                </w:tcPr>
                <w:p w14:paraId="27714629">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35</w:t>
                  </w:r>
                </w:p>
              </w:tc>
              <w:tc>
                <w:tcPr>
                  <w:tcW w:w="467" w:type="pct"/>
                  <w:shd w:val="clear" w:color="auto" w:fill="auto"/>
                  <w:noWrap w:val="0"/>
                  <w:vAlign w:val="center"/>
                </w:tcPr>
                <w:p w14:paraId="64B01CC7">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1200</w:t>
                  </w:r>
                </w:p>
              </w:tc>
              <w:tc>
                <w:tcPr>
                  <w:tcW w:w="385" w:type="pct"/>
                  <w:shd w:val="clear" w:color="auto" w:fill="auto"/>
                  <w:noWrap w:val="0"/>
                  <w:vAlign w:val="center"/>
                </w:tcPr>
                <w:p w14:paraId="7681AC9E">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一般排放口</w:t>
                  </w:r>
                </w:p>
              </w:tc>
            </w:tr>
          </w:tbl>
          <w:p w14:paraId="09D16945">
            <w:pPr>
              <w:pStyle w:val="40"/>
              <w:bidi w:val="0"/>
              <w:rPr>
                <w:rFonts w:hint="eastAsia"/>
                <w:lang w:val="en-US" w:eastAsia="zh-CN"/>
              </w:rPr>
            </w:pPr>
          </w:p>
        </w:tc>
      </w:tr>
    </w:tbl>
    <w:p w14:paraId="2B948589">
      <w:pPr>
        <w:pStyle w:val="11"/>
        <w:rPr>
          <w:rFonts w:hint="eastAsia"/>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3"/>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8021"/>
      </w:tblGrid>
      <w:tr w14:paraId="7CEE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9" w:hRule="atLeast"/>
        </w:trPr>
        <w:tc>
          <w:tcPr>
            <w:tcW w:w="973" w:type="dxa"/>
          </w:tcPr>
          <w:p w14:paraId="0B52319A">
            <w:pPr>
              <w:pStyle w:val="11"/>
              <w:rPr>
                <w:rFonts w:hint="eastAsia"/>
                <w:vertAlign w:val="baseline"/>
              </w:rPr>
            </w:pPr>
          </w:p>
        </w:tc>
        <w:tc>
          <w:tcPr>
            <w:tcW w:w="8021" w:type="dxa"/>
          </w:tcPr>
          <w:p w14:paraId="53294D03">
            <w:pPr>
              <w:pStyle w:val="62"/>
              <w:bidi w:val="0"/>
              <w:rPr>
                <w:rFonts w:hint="eastAsia"/>
                <w:lang w:val="en-US" w:eastAsia="zh-CN"/>
              </w:rPr>
            </w:pPr>
            <w:r>
              <w:rPr>
                <w:rFonts w:hint="eastAsia"/>
                <w:lang w:val="en-US" w:eastAsia="zh-CN"/>
              </w:rPr>
              <w:t>1.2废气治理措施及影响分析</w:t>
            </w:r>
          </w:p>
          <w:p w14:paraId="454B9A42">
            <w:pPr>
              <w:pStyle w:val="29"/>
              <w:bidi w:val="0"/>
              <w:rPr>
                <w:rFonts w:hint="eastAsia"/>
                <w:lang w:val="en-US" w:eastAsia="zh-CN"/>
              </w:rPr>
            </w:pPr>
            <w:r>
              <w:rPr>
                <w:rFonts w:hint="eastAsia"/>
                <w:lang w:val="en-US" w:eastAsia="zh-CN"/>
              </w:rPr>
              <w:t>表4-3    项目采取的废气污染防治措施可行性一览表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1061"/>
              <w:gridCol w:w="1120"/>
              <w:gridCol w:w="2803"/>
              <w:gridCol w:w="1450"/>
              <w:gridCol w:w="879"/>
            </w:tblGrid>
            <w:tr w14:paraId="3BB0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 w:type="pct"/>
                  <w:noWrap w:val="0"/>
                  <w:vAlign w:val="center"/>
                </w:tcPr>
                <w:p w14:paraId="71142755">
                  <w:pPr>
                    <w:pStyle w:val="57"/>
                    <w:bidi w:val="0"/>
                    <w:rPr>
                      <w:rFonts w:hint="default"/>
                      <w:highlight w:val="none"/>
                      <w:lang w:val="en-US" w:eastAsia="zh-CN"/>
                    </w:rPr>
                  </w:pPr>
                  <w:r>
                    <w:rPr>
                      <w:rFonts w:hint="eastAsia"/>
                      <w:highlight w:val="none"/>
                      <w:lang w:val="en-US" w:eastAsia="zh-CN"/>
                    </w:rPr>
                    <w:t>序号</w:t>
                  </w:r>
                </w:p>
              </w:tc>
              <w:tc>
                <w:tcPr>
                  <w:tcW w:w="680" w:type="pct"/>
                  <w:noWrap w:val="0"/>
                  <w:vAlign w:val="center"/>
                </w:tcPr>
                <w:p w14:paraId="7902FF18">
                  <w:pPr>
                    <w:pStyle w:val="57"/>
                    <w:bidi w:val="0"/>
                    <w:rPr>
                      <w:rFonts w:hint="default"/>
                      <w:highlight w:val="none"/>
                      <w:lang w:val="en-US" w:eastAsia="zh-CN"/>
                    </w:rPr>
                  </w:pPr>
                  <w:r>
                    <w:rPr>
                      <w:rFonts w:hint="eastAsia"/>
                      <w:highlight w:val="none"/>
                      <w:lang w:val="en-US" w:eastAsia="zh-CN"/>
                    </w:rPr>
                    <w:t>产污环节</w:t>
                  </w:r>
                </w:p>
              </w:tc>
              <w:tc>
                <w:tcPr>
                  <w:tcW w:w="718" w:type="pct"/>
                  <w:noWrap w:val="0"/>
                  <w:vAlign w:val="center"/>
                </w:tcPr>
                <w:p w14:paraId="06B2BC06">
                  <w:pPr>
                    <w:pStyle w:val="57"/>
                    <w:bidi w:val="0"/>
                    <w:rPr>
                      <w:rFonts w:hint="default"/>
                      <w:highlight w:val="none"/>
                      <w:lang w:val="en-US" w:eastAsia="zh-CN"/>
                    </w:rPr>
                  </w:pPr>
                  <w:r>
                    <w:rPr>
                      <w:rFonts w:hint="eastAsia"/>
                      <w:highlight w:val="none"/>
                      <w:lang w:val="en-US" w:eastAsia="zh-CN"/>
                    </w:rPr>
                    <w:t>本项目采取的措施</w:t>
                  </w:r>
                </w:p>
              </w:tc>
              <w:tc>
                <w:tcPr>
                  <w:tcW w:w="2729" w:type="pct"/>
                  <w:gridSpan w:val="2"/>
                  <w:noWrap w:val="0"/>
                  <w:vAlign w:val="center"/>
                </w:tcPr>
                <w:p w14:paraId="268A9043">
                  <w:pPr>
                    <w:pStyle w:val="57"/>
                    <w:bidi w:val="0"/>
                    <w:rPr>
                      <w:rFonts w:hint="default"/>
                      <w:highlight w:val="none"/>
                      <w:lang w:val="en-US" w:eastAsia="zh-CN"/>
                    </w:rPr>
                  </w:pPr>
                  <w:r>
                    <w:rPr>
                      <w:rFonts w:hint="eastAsia"/>
                      <w:highlight w:val="none"/>
                      <w:lang w:val="en-US" w:eastAsia="zh-CN"/>
                    </w:rPr>
                    <w:t>污染防治可行技术指南或排污许可证申请与核发技术规范中规定</w:t>
                  </w:r>
                </w:p>
              </w:tc>
              <w:tc>
                <w:tcPr>
                  <w:tcW w:w="564" w:type="pct"/>
                  <w:noWrap w:val="0"/>
                  <w:vAlign w:val="center"/>
                </w:tcPr>
                <w:p w14:paraId="0EE3008E">
                  <w:pPr>
                    <w:pStyle w:val="57"/>
                    <w:bidi w:val="0"/>
                    <w:rPr>
                      <w:rFonts w:hint="default"/>
                      <w:highlight w:val="none"/>
                      <w:lang w:val="en-US" w:eastAsia="zh-CN"/>
                    </w:rPr>
                  </w:pPr>
                  <w:r>
                    <w:rPr>
                      <w:rFonts w:hint="eastAsia"/>
                      <w:highlight w:val="none"/>
                      <w:lang w:val="en-US" w:eastAsia="zh-CN"/>
                    </w:rPr>
                    <w:t>是否为可行性技术</w:t>
                  </w:r>
                </w:p>
              </w:tc>
            </w:tr>
            <w:tr w14:paraId="1E7A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 w:type="pct"/>
                  <w:noWrap w:val="0"/>
                  <w:vAlign w:val="center"/>
                </w:tcPr>
                <w:p w14:paraId="6A484EF5">
                  <w:pPr>
                    <w:pStyle w:val="57"/>
                    <w:bidi w:val="0"/>
                    <w:rPr>
                      <w:rFonts w:hint="default"/>
                      <w:highlight w:val="none"/>
                      <w:lang w:val="en-US" w:eastAsia="zh-CN"/>
                    </w:rPr>
                  </w:pPr>
                  <w:r>
                    <w:rPr>
                      <w:rFonts w:hint="eastAsia"/>
                      <w:highlight w:val="none"/>
                      <w:lang w:val="en-US" w:eastAsia="zh-CN"/>
                    </w:rPr>
                    <w:t>1</w:t>
                  </w:r>
                </w:p>
              </w:tc>
              <w:tc>
                <w:tcPr>
                  <w:tcW w:w="680" w:type="pct"/>
                  <w:shd w:val="clear" w:color="auto" w:fill="auto"/>
                  <w:noWrap w:val="0"/>
                  <w:vAlign w:val="center"/>
                </w:tcPr>
                <w:p w14:paraId="7161C335">
                  <w:pPr>
                    <w:pStyle w:val="60"/>
                    <w:bidi w:val="0"/>
                    <w:rPr>
                      <w:rFonts w:hint="default" w:ascii="Times New Roman" w:hAnsi="Times New Roman" w:eastAsia="宋体" w:cs="宋体"/>
                      <w:kern w:val="0"/>
                      <w:sz w:val="21"/>
                      <w:szCs w:val="21"/>
                      <w:lang w:val="en-US" w:eastAsia="zh-CN" w:bidi="ar-SA"/>
                    </w:rPr>
                  </w:pPr>
                  <w:r>
                    <w:rPr>
                      <w:rFonts w:hint="eastAsia"/>
                      <w:lang w:val="en-US" w:eastAsia="zh-CN"/>
                    </w:rPr>
                    <w:t>筒仓粉尘</w:t>
                  </w:r>
                </w:p>
              </w:tc>
              <w:tc>
                <w:tcPr>
                  <w:tcW w:w="718" w:type="pct"/>
                  <w:shd w:val="clear" w:color="auto" w:fill="auto"/>
                  <w:noWrap w:val="0"/>
                  <w:vAlign w:val="center"/>
                </w:tcPr>
                <w:p w14:paraId="1999A896">
                  <w:pPr>
                    <w:pStyle w:val="57"/>
                    <w:bidi w:val="0"/>
                    <w:rPr>
                      <w:rFonts w:hint="default" w:ascii="Times New Roman" w:hAnsi="Times New Roman" w:eastAsia="宋体" w:cs="Times New Roman"/>
                      <w:kern w:val="2"/>
                      <w:sz w:val="21"/>
                      <w:szCs w:val="21"/>
                      <w:lang w:val="en-US" w:eastAsia="zh-CN" w:bidi="ar-SA"/>
                    </w:rPr>
                  </w:pPr>
                  <w:r>
                    <w:rPr>
                      <w:rFonts w:hint="eastAsia"/>
                      <w:lang w:val="en-US" w:eastAsia="zh-CN"/>
                    </w:rPr>
                    <w:t>脉冲式布袋除尘器</w:t>
                  </w:r>
                </w:p>
              </w:tc>
              <w:tc>
                <w:tcPr>
                  <w:tcW w:w="1798" w:type="pct"/>
                  <w:vMerge w:val="restart"/>
                  <w:noWrap w:val="0"/>
                  <w:vAlign w:val="center"/>
                </w:tcPr>
                <w:p w14:paraId="125FDCCD">
                  <w:pPr>
                    <w:pStyle w:val="57"/>
                    <w:bidi w:val="0"/>
                    <w:rPr>
                      <w:rFonts w:hint="eastAsia"/>
                      <w:lang w:val="en-US" w:eastAsia="zh-CN"/>
                    </w:rPr>
                  </w:pPr>
                  <w:r>
                    <w:rPr>
                      <w:rFonts w:hint="eastAsia"/>
                      <w:lang w:val="en-US" w:eastAsia="zh-CN"/>
                    </w:rPr>
                    <w:t>除尘设施（袋式除尘器、电除尘器、电袋复合除尘器、其他）</w:t>
                  </w:r>
                </w:p>
              </w:tc>
              <w:tc>
                <w:tcPr>
                  <w:tcW w:w="930" w:type="pct"/>
                  <w:vMerge w:val="restart"/>
                  <w:noWrap w:val="0"/>
                  <w:vAlign w:val="center"/>
                </w:tcPr>
                <w:p w14:paraId="165EFA6B">
                  <w:pPr>
                    <w:pStyle w:val="57"/>
                    <w:bidi w:val="0"/>
                    <w:rPr>
                      <w:rFonts w:hint="eastAsia"/>
                      <w:lang w:val="en-US" w:eastAsia="zh-CN"/>
                    </w:rPr>
                  </w:pPr>
                  <w:r>
                    <w:rPr>
                      <w:rFonts w:hint="eastAsia"/>
                      <w:lang w:val="en-US" w:eastAsia="zh-CN"/>
                    </w:rPr>
                    <w:t>《排污许可证申请与核发技术规范 水泥工业》（</w:t>
                  </w:r>
                  <w:r>
                    <w:rPr>
                      <w:rFonts w:hint="default"/>
                      <w:lang w:val="en-US" w:eastAsia="zh-CN"/>
                    </w:rPr>
                    <w:t>HJ 847-2017</w:t>
                  </w:r>
                  <w:r>
                    <w:rPr>
                      <w:rFonts w:hint="eastAsia"/>
                      <w:lang w:val="en-US" w:eastAsia="zh-CN"/>
                    </w:rPr>
                    <w:t>）</w:t>
                  </w:r>
                </w:p>
              </w:tc>
              <w:tc>
                <w:tcPr>
                  <w:tcW w:w="564" w:type="pct"/>
                  <w:noWrap w:val="0"/>
                  <w:vAlign w:val="center"/>
                </w:tcPr>
                <w:p w14:paraId="1CFC1375">
                  <w:pPr>
                    <w:pStyle w:val="57"/>
                    <w:bidi w:val="0"/>
                    <w:rPr>
                      <w:rFonts w:hint="default"/>
                      <w:lang w:val="en-US" w:eastAsia="zh-CN"/>
                    </w:rPr>
                  </w:pPr>
                  <w:r>
                    <w:rPr>
                      <w:rFonts w:hint="eastAsia"/>
                      <w:lang w:val="en-US" w:eastAsia="zh-CN"/>
                    </w:rPr>
                    <w:t>是</w:t>
                  </w:r>
                </w:p>
              </w:tc>
            </w:tr>
            <w:tr w14:paraId="0AB2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 w:type="pct"/>
                  <w:shd w:val="clear" w:color="auto" w:fill="auto"/>
                  <w:noWrap w:val="0"/>
                  <w:vAlign w:val="center"/>
                </w:tcPr>
                <w:p w14:paraId="1F20F781">
                  <w:pPr>
                    <w:pStyle w:val="60"/>
                    <w:bidi w:val="0"/>
                    <w:rPr>
                      <w:rFonts w:hint="eastAsia"/>
                      <w:lang w:val="en-US" w:eastAsia="zh-CN"/>
                    </w:rPr>
                  </w:pPr>
                  <w:r>
                    <w:rPr>
                      <w:rFonts w:hint="eastAsia"/>
                      <w:lang w:val="en-US" w:eastAsia="zh-CN"/>
                    </w:rPr>
                    <w:t>2</w:t>
                  </w:r>
                </w:p>
              </w:tc>
              <w:tc>
                <w:tcPr>
                  <w:tcW w:w="680" w:type="pct"/>
                  <w:shd w:val="clear" w:color="auto" w:fill="auto"/>
                  <w:noWrap w:val="0"/>
                  <w:vAlign w:val="center"/>
                </w:tcPr>
                <w:p w14:paraId="7BBEF5CC">
                  <w:pPr>
                    <w:pStyle w:val="60"/>
                    <w:bidi w:val="0"/>
                    <w:rPr>
                      <w:rFonts w:hint="default"/>
                      <w:lang w:val="en-US" w:eastAsia="zh-CN"/>
                    </w:rPr>
                  </w:pPr>
                  <w:r>
                    <w:rPr>
                      <w:rFonts w:hint="eastAsia"/>
                      <w:lang w:val="en-US" w:eastAsia="zh-CN"/>
                    </w:rPr>
                    <w:t>投料粉尘</w:t>
                  </w:r>
                </w:p>
              </w:tc>
              <w:tc>
                <w:tcPr>
                  <w:tcW w:w="718" w:type="pct"/>
                  <w:vMerge w:val="restart"/>
                  <w:shd w:val="clear" w:color="auto" w:fill="auto"/>
                  <w:noWrap w:val="0"/>
                  <w:vAlign w:val="center"/>
                </w:tcPr>
                <w:p w14:paraId="7593D4FE">
                  <w:pPr>
                    <w:pStyle w:val="57"/>
                    <w:bidi w:val="0"/>
                    <w:rPr>
                      <w:rFonts w:hint="default" w:ascii="Times New Roman" w:hAnsi="Times New Roman" w:eastAsia="宋体" w:cs="Times New Roman"/>
                      <w:kern w:val="2"/>
                      <w:sz w:val="21"/>
                      <w:szCs w:val="21"/>
                      <w:lang w:val="en-US" w:eastAsia="zh-CN" w:bidi="ar-SA"/>
                    </w:rPr>
                  </w:pPr>
                  <w:r>
                    <w:rPr>
                      <w:rFonts w:hint="eastAsia"/>
                      <w:lang w:val="en-US" w:eastAsia="zh-CN"/>
                    </w:rPr>
                    <w:t>布袋除尘器</w:t>
                  </w:r>
                </w:p>
              </w:tc>
              <w:tc>
                <w:tcPr>
                  <w:tcW w:w="1798" w:type="pct"/>
                  <w:vMerge w:val="continue"/>
                  <w:shd w:val="clear" w:color="auto" w:fill="auto"/>
                  <w:noWrap w:val="0"/>
                  <w:vAlign w:val="center"/>
                </w:tcPr>
                <w:p w14:paraId="7D3E866F">
                  <w:pPr>
                    <w:pStyle w:val="57"/>
                    <w:bidi w:val="0"/>
                    <w:rPr>
                      <w:rFonts w:hint="eastAsia"/>
                      <w:lang w:val="en-US" w:eastAsia="zh-CN"/>
                    </w:rPr>
                  </w:pPr>
                </w:p>
              </w:tc>
              <w:tc>
                <w:tcPr>
                  <w:tcW w:w="930" w:type="pct"/>
                  <w:vMerge w:val="continue"/>
                  <w:shd w:val="clear" w:color="auto" w:fill="auto"/>
                  <w:noWrap w:val="0"/>
                  <w:vAlign w:val="center"/>
                </w:tcPr>
                <w:p w14:paraId="792F52C8">
                  <w:pPr>
                    <w:pStyle w:val="57"/>
                    <w:bidi w:val="0"/>
                    <w:rPr>
                      <w:rFonts w:hint="eastAsia"/>
                      <w:lang w:val="en-US" w:eastAsia="zh-CN"/>
                    </w:rPr>
                  </w:pPr>
                </w:p>
              </w:tc>
              <w:tc>
                <w:tcPr>
                  <w:tcW w:w="564" w:type="pct"/>
                  <w:shd w:val="clear" w:color="auto" w:fill="auto"/>
                  <w:noWrap w:val="0"/>
                  <w:vAlign w:val="center"/>
                </w:tcPr>
                <w:p w14:paraId="27055D56">
                  <w:pPr>
                    <w:pStyle w:val="57"/>
                    <w:bidi w:val="0"/>
                    <w:rPr>
                      <w:rFonts w:hint="eastAsia"/>
                      <w:lang w:val="en-US" w:eastAsia="zh-CN"/>
                    </w:rPr>
                  </w:pPr>
                  <w:r>
                    <w:rPr>
                      <w:rFonts w:hint="eastAsia"/>
                      <w:lang w:val="en-US" w:eastAsia="zh-CN"/>
                    </w:rPr>
                    <w:t>是</w:t>
                  </w:r>
                </w:p>
              </w:tc>
            </w:tr>
            <w:tr w14:paraId="5FBE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 w:type="pct"/>
                  <w:shd w:val="clear" w:color="auto" w:fill="auto"/>
                  <w:noWrap w:val="0"/>
                  <w:vAlign w:val="center"/>
                </w:tcPr>
                <w:p w14:paraId="63C91CB1">
                  <w:pPr>
                    <w:pStyle w:val="60"/>
                    <w:bidi w:val="0"/>
                    <w:rPr>
                      <w:rFonts w:hint="default"/>
                      <w:lang w:val="en-US" w:eastAsia="zh-CN"/>
                    </w:rPr>
                  </w:pPr>
                  <w:r>
                    <w:rPr>
                      <w:rFonts w:hint="eastAsia"/>
                      <w:lang w:val="en-US" w:eastAsia="zh-CN"/>
                    </w:rPr>
                    <w:t>3</w:t>
                  </w:r>
                </w:p>
              </w:tc>
              <w:tc>
                <w:tcPr>
                  <w:tcW w:w="680" w:type="pct"/>
                  <w:shd w:val="clear" w:color="auto" w:fill="auto"/>
                  <w:noWrap w:val="0"/>
                  <w:vAlign w:val="center"/>
                </w:tcPr>
                <w:p w14:paraId="26B62147">
                  <w:pPr>
                    <w:pStyle w:val="57"/>
                    <w:bidi w:val="0"/>
                    <w:rPr>
                      <w:rFonts w:hint="eastAsia" w:ascii="Times New Roman" w:hAnsi="Times New Roman" w:eastAsia="宋体" w:cs="Times New Roman"/>
                      <w:kern w:val="2"/>
                      <w:sz w:val="21"/>
                      <w:szCs w:val="21"/>
                      <w:lang w:val="en-US" w:eastAsia="zh-CN" w:bidi="ar-SA"/>
                    </w:rPr>
                  </w:pPr>
                  <w:r>
                    <w:rPr>
                      <w:rFonts w:hint="eastAsia"/>
                      <w:lang w:val="en-US" w:eastAsia="zh-CN"/>
                    </w:rPr>
                    <w:t>搅拌粉尘</w:t>
                  </w:r>
                </w:p>
              </w:tc>
              <w:tc>
                <w:tcPr>
                  <w:tcW w:w="718" w:type="pct"/>
                  <w:vMerge w:val="continue"/>
                  <w:shd w:val="clear" w:color="auto" w:fill="auto"/>
                  <w:noWrap w:val="0"/>
                  <w:vAlign w:val="center"/>
                </w:tcPr>
                <w:p w14:paraId="6E74377F">
                  <w:pPr>
                    <w:pStyle w:val="57"/>
                    <w:bidi w:val="0"/>
                    <w:rPr>
                      <w:rFonts w:hint="default" w:ascii="Times New Roman" w:hAnsi="Times New Roman" w:eastAsia="宋体" w:cs="Times New Roman"/>
                      <w:kern w:val="2"/>
                      <w:sz w:val="21"/>
                      <w:szCs w:val="21"/>
                      <w:lang w:val="en-US" w:eastAsia="zh-CN" w:bidi="ar-SA"/>
                    </w:rPr>
                  </w:pPr>
                </w:p>
              </w:tc>
              <w:tc>
                <w:tcPr>
                  <w:tcW w:w="1798" w:type="pct"/>
                  <w:vMerge w:val="continue"/>
                  <w:shd w:val="clear" w:color="auto" w:fill="auto"/>
                  <w:noWrap w:val="0"/>
                  <w:vAlign w:val="center"/>
                </w:tcPr>
                <w:p w14:paraId="2BD77136">
                  <w:pPr>
                    <w:pStyle w:val="57"/>
                    <w:bidi w:val="0"/>
                    <w:rPr>
                      <w:rFonts w:hint="eastAsia"/>
                      <w:lang w:val="en-US" w:eastAsia="zh-CN"/>
                    </w:rPr>
                  </w:pPr>
                </w:p>
              </w:tc>
              <w:tc>
                <w:tcPr>
                  <w:tcW w:w="930" w:type="pct"/>
                  <w:vMerge w:val="continue"/>
                  <w:shd w:val="clear" w:color="auto" w:fill="auto"/>
                  <w:noWrap w:val="0"/>
                  <w:vAlign w:val="center"/>
                </w:tcPr>
                <w:p w14:paraId="46889E87">
                  <w:pPr>
                    <w:pStyle w:val="57"/>
                    <w:bidi w:val="0"/>
                    <w:rPr>
                      <w:rFonts w:hint="eastAsia"/>
                      <w:lang w:val="en-US" w:eastAsia="zh-CN"/>
                    </w:rPr>
                  </w:pPr>
                </w:p>
              </w:tc>
              <w:tc>
                <w:tcPr>
                  <w:tcW w:w="564" w:type="pct"/>
                  <w:shd w:val="clear" w:color="auto" w:fill="auto"/>
                  <w:noWrap w:val="0"/>
                  <w:vAlign w:val="center"/>
                </w:tcPr>
                <w:p w14:paraId="2EC7BD77">
                  <w:pPr>
                    <w:pStyle w:val="57"/>
                    <w:bidi w:val="0"/>
                    <w:rPr>
                      <w:rFonts w:hint="default"/>
                      <w:lang w:val="en-US" w:eastAsia="zh-CN"/>
                    </w:rPr>
                  </w:pPr>
                  <w:r>
                    <w:rPr>
                      <w:rFonts w:hint="eastAsia"/>
                      <w:lang w:val="en-US" w:eastAsia="zh-CN"/>
                    </w:rPr>
                    <w:t>是</w:t>
                  </w:r>
                </w:p>
              </w:tc>
            </w:tr>
            <w:tr w14:paraId="2FD69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 w:type="pct"/>
                  <w:shd w:val="clear" w:color="auto" w:fill="auto"/>
                  <w:noWrap w:val="0"/>
                  <w:vAlign w:val="center"/>
                </w:tcPr>
                <w:p w14:paraId="3491655B">
                  <w:pPr>
                    <w:pStyle w:val="60"/>
                    <w:bidi w:val="0"/>
                    <w:rPr>
                      <w:rFonts w:hint="default"/>
                      <w:lang w:val="en-US" w:eastAsia="zh-CN"/>
                    </w:rPr>
                  </w:pPr>
                  <w:r>
                    <w:rPr>
                      <w:rFonts w:hint="eastAsia"/>
                      <w:lang w:val="en-US" w:eastAsia="zh-CN"/>
                    </w:rPr>
                    <w:t>4</w:t>
                  </w:r>
                </w:p>
              </w:tc>
              <w:tc>
                <w:tcPr>
                  <w:tcW w:w="680" w:type="pct"/>
                  <w:shd w:val="clear" w:color="auto" w:fill="auto"/>
                  <w:noWrap w:val="0"/>
                  <w:vAlign w:val="center"/>
                </w:tcPr>
                <w:p w14:paraId="5A2EBB07">
                  <w:pPr>
                    <w:pStyle w:val="57"/>
                    <w:bidi w:val="0"/>
                    <w:rPr>
                      <w:rFonts w:hint="default"/>
                      <w:lang w:val="en-US" w:eastAsia="zh-CN"/>
                    </w:rPr>
                  </w:pPr>
                  <w:r>
                    <w:rPr>
                      <w:rFonts w:hint="eastAsia"/>
                      <w:lang w:val="en-US" w:eastAsia="zh-CN"/>
                    </w:rPr>
                    <w:t>堆场粉尘</w:t>
                  </w:r>
                </w:p>
              </w:tc>
              <w:tc>
                <w:tcPr>
                  <w:tcW w:w="718" w:type="pct"/>
                  <w:shd w:val="clear" w:color="auto" w:fill="auto"/>
                  <w:noWrap w:val="0"/>
                  <w:vAlign w:val="center"/>
                </w:tcPr>
                <w:p w14:paraId="2EC7CBD7">
                  <w:pPr>
                    <w:pStyle w:val="57"/>
                    <w:bidi w:val="0"/>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全密闭堆场</w:t>
                  </w:r>
                </w:p>
              </w:tc>
              <w:tc>
                <w:tcPr>
                  <w:tcW w:w="1798" w:type="pct"/>
                  <w:shd w:val="clear" w:color="auto" w:fill="auto"/>
                  <w:noWrap w:val="0"/>
                  <w:vAlign w:val="center"/>
                </w:tcPr>
                <w:p w14:paraId="2736E3E4">
                  <w:pPr>
                    <w:pStyle w:val="57"/>
                    <w:bidi w:val="0"/>
                    <w:rPr>
                      <w:rFonts w:hint="eastAsia"/>
                      <w:lang w:val="en-US" w:eastAsia="zh-CN"/>
                    </w:rPr>
                  </w:pPr>
                  <w:r>
                    <w:rPr>
                      <w:rFonts w:hint="eastAsia"/>
                      <w:lang w:val="en-US" w:eastAsia="zh-CN"/>
                    </w:rPr>
                    <w:t>粉状物料密闭储存，其他块石、粘湿物料、浆料等辅材设置不低于堆放物高度的严密围挡，并采取有效覆盖等措施防治扬尘污染。</w:t>
                  </w:r>
                </w:p>
              </w:tc>
              <w:tc>
                <w:tcPr>
                  <w:tcW w:w="930" w:type="pct"/>
                  <w:vMerge w:val="continue"/>
                  <w:shd w:val="clear" w:color="auto" w:fill="auto"/>
                  <w:noWrap w:val="0"/>
                  <w:vAlign w:val="center"/>
                </w:tcPr>
                <w:p w14:paraId="01FAB6BD">
                  <w:pPr>
                    <w:pStyle w:val="57"/>
                    <w:bidi w:val="0"/>
                    <w:rPr>
                      <w:rFonts w:hint="eastAsia"/>
                      <w:lang w:val="en-US" w:eastAsia="zh-CN"/>
                    </w:rPr>
                  </w:pPr>
                </w:p>
              </w:tc>
              <w:tc>
                <w:tcPr>
                  <w:tcW w:w="564" w:type="pct"/>
                  <w:shd w:val="clear" w:color="auto" w:fill="auto"/>
                  <w:noWrap w:val="0"/>
                  <w:vAlign w:val="center"/>
                </w:tcPr>
                <w:p w14:paraId="2874A427">
                  <w:pPr>
                    <w:pStyle w:val="57"/>
                    <w:bidi w:val="0"/>
                    <w:rPr>
                      <w:rFonts w:hint="default"/>
                      <w:lang w:val="en-US" w:eastAsia="zh-CN"/>
                    </w:rPr>
                  </w:pPr>
                  <w:r>
                    <w:rPr>
                      <w:rFonts w:hint="eastAsia"/>
                      <w:lang w:val="en-US" w:eastAsia="zh-CN"/>
                    </w:rPr>
                    <w:t>是</w:t>
                  </w:r>
                </w:p>
              </w:tc>
            </w:tr>
          </w:tbl>
          <w:p w14:paraId="2987935C">
            <w:pPr>
              <w:pStyle w:val="45"/>
              <w:bidi w:val="0"/>
              <w:rPr>
                <w:rFonts w:hint="eastAsia"/>
                <w:highlight w:val="none"/>
                <w:lang w:val="en-US" w:eastAsia="zh-CN"/>
              </w:rPr>
            </w:pPr>
            <w:r>
              <w:rPr>
                <w:rStyle w:val="64"/>
                <w:rFonts w:hint="eastAsia"/>
                <w:lang w:val="en-US" w:eastAsia="zh-CN"/>
              </w:rPr>
              <w:t>布袋除尘器：</w:t>
            </w:r>
            <w:r>
              <w:rPr>
                <w:rFonts w:hint="eastAsia"/>
                <w:highlight w:val="none"/>
                <w:lang w:val="en-US" w:eastAsia="zh-CN"/>
              </w:rPr>
              <w:t>是一种干式滤尘装置。它适用于捕集细小、干燥、非纤维性粉尘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本项目布袋除尘器采用高温滤料，可在260℃以下、烟气浓度高的条件下，长期运行保持除尘效率。</w:t>
            </w:r>
          </w:p>
          <w:p w14:paraId="61252627">
            <w:pPr>
              <w:pStyle w:val="2"/>
              <w:bidi w:val="0"/>
              <w:rPr>
                <w:rFonts w:hint="eastAsia"/>
                <w:lang w:val="en-US" w:eastAsia="zh-CN"/>
              </w:rPr>
            </w:pPr>
            <w:r>
              <w:rPr>
                <w:rFonts w:hint="eastAsia"/>
                <w:lang w:val="en-US" w:eastAsia="zh-CN"/>
              </w:rPr>
              <w:t>1.3大气环境影响分析</w:t>
            </w:r>
          </w:p>
          <w:p w14:paraId="1CC30BEB">
            <w:pPr>
              <w:pStyle w:val="53"/>
              <w:bidi w:val="0"/>
              <w:rPr>
                <w:rFonts w:hint="eastAsia"/>
                <w:lang w:val="en-US" w:eastAsia="zh-CN"/>
              </w:rPr>
            </w:pPr>
            <w:r>
              <w:rPr>
                <w:rFonts w:hint="default"/>
                <w:lang w:val="en-US" w:eastAsia="zh-CN"/>
              </w:rPr>
              <w:t>本项目</w:t>
            </w:r>
            <w:r>
              <w:rPr>
                <w:rFonts w:hint="eastAsia"/>
                <w:lang w:val="en-US" w:eastAsia="zh-CN"/>
              </w:rPr>
              <w:t>原料堆存粉尘、水泥和粉煤灰筒仓粉尘及焊接烟尘采取有效措施处理后无组织排放，满足《水泥工业大气污染物排放标准》（含2025年修改单）（GB4915-2013）中表3大气污染物无组织排放限值。</w:t>
            </w:r>
          </w:p>
          <w:p w14:paraId="7325A84C">
            <w:pPr>
              <w:pStyle w:val="53"/>
              <w:bidi w:val="0"/>
              <w:rPr>
                <w:rFonts w:hint="default"/>
                <w:lang w:val="en-US" w:eastAsia="zh-CN"/>
              </w:rPr>
            </w:pPr>
            <w:r>
              <w:rPr>
                <w:rFonts w:hint="eastAsia"/>
                <w:lang w:val="en-US" w:eastAsia="zh-CN"/>
              </w:rPr>
              <w:t>搅拌和投料粉尘经布袋除尘器收集处理后排放浓度满足《水泥工业大气污染物排放标准》（含2025年修改单）（GB4915-2013）表1大气污染物排放限值的要求；</w:t>
            </w:r>
            <w:r>
              <w:rPr>
                <w:rFonts w:hint="default"/>
                <w:lang w:val="en-US" w:eastAsia="zh-CN"/>
              </w:rPr>
              <w:t>食堂油烟能够满足《饮食业油烟排放标准（试行）》（GB18483-2001）中最高允许排放浓度2mg/m</w:t>
            </w:r>
            <w:r>
              <w:rPr>
                <w:rFonts w:hint="default"/>
                <w:vertAlign w:val="superscript"/>
                <w:lang w:val="en-US" w:eastAsia="zh-CN"/>
              </w:rPr>
              <w:t>3</w:t>
            </w:r>
            <w:r>
              <w:rPr>
                <w:rFonts w:hint="default"/>
                <w:lang w:val="en-US" w:eastAsia="zh-CN"/>
              </w:rPr>
              <w:t>限值要求。</w:t>
            </w:r>
          </w:p>
          <w:p w14:paraId="70A36C69">
            <w:pPr>
              <w:pStyle w:val="53"/>
              <w:bidi w:val="0"/>
              <w:rPr>
                <w:rFonts w:hint="default"/>
                <w:lang w:val="en-US" w:eastAsia="zh-CN"/>
              </w:rPr>
            </w:pPr>
            <w:r>
              <w:rPr>
                <w:rFonts w:hint="eastAsia"/>
                <w:lang w:val="en-US" w:eastAsia="zh-CN"/>
              </w:rPr>
              <w:t>原料堆存</w:t>
            </w:r>
            <w:r>
              <w:rPr>
                <w:rFonts w:hint="default"/>
                <w:lang w:val="en-US" w:eastAsia="zh-CN"/>
              </w:rPr>
              <w:t>于密闭厂房内</w:t>
            </w:r>
            <w:r>
              <w:rPr>
                <w:rFonts w:hint="eastAsia"/>
                <w:lang w:val="en-US" w:eastAsia="zh-CN"/>
              </w:rPr>
              <w:t>，物料输送路径均采用密闭管道输送，现代化加气块切割工序采用湿式切割，运输车辆严格加盖篷布、控制装载量、进出冲洗。采取以上措施</w:t>
            </w:r>
            <w:r>
              <w:rPr>
                <w:rFonts w:hint="default"/>
                <w:lang w:val="en-US" w:eastAsia="zh-CN"/>
              </w:rPr>
              <w:t>能有效减少无组织颗粒物逸散，不会对所在区域的大气环境质量造成影响，因此本项目对大气环境影响较小，环境影响可接受。</w:t>
            </w:r>
          </w:p>
          <w:p w14:paraId="11353F69">
            <w:pPr>
              <w:pStyle w:val="2"/>
              <w:bidi w:val="0"/>
              <w:rPr>
                <w:rFonts w:hint="eastAsia"/>
                <w:lang w:val="en-US" w:eastAsia="zh-CN"/>
              </w:rPr>
            </w:pPr>
            <w:r>
              <w:rPr>
                <w:rFonts w:hint="eastAsia"/>
                <w:lang w:val="en-US" w:eastAsia="zh-CN"/>
              </w:rPr>
              <w:t>1.4非正常工况</w:t>
            </w:r>
          </w:p>
          <w:p w14:paraId="33B8EEBA">
            <w:pPr>
              <w:pStyle w:val="8"/>
              <w:bidi w:val="0"/>
              <w:rPr>
                <w:rFonts w:hint="default"/>
                <w:lang w:val="en-US" w:eastAsia="zh-CN"/>
              </w:rPr>
            </w:pPr>
            <w:r>
              <w:rPr>
                <w:rFonts w:hint="default"/>
                <w:lang w:val="en-US" w:eastAsia="zh-CN"/>
              </w:rPr>
              <w:t>非正常工况主要是污染物排放控制措施达不到应有效率，即治污措施装置失效，处理效率为0，其排放情况见下表。</w:t>
            </w:r>
          </w:p>
          <w:p w14:paraId="1560C7AE">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highlight w:val="none"/>
                <w:lang w:val="en-US" w:eastAsia="zh-CN"/>
              </w:rPr>
            </w:pPr>
            <w:r>
              <w:rPr>
                <w:rFonts w:hint="default"/>
                <w:highlight w:val="none"/>
                <w:lang w:val="en-US" w:eastAsia="zh-CN"/>
              </w:rPr>
              <w:t>表4-</w:t>
            </w:r>
            <w:r>
              <w:rPr>
                <w:rFonts w:hint="eastAsia"/>
                <w:highlight w:val="none"/>
                <w:lang w:val="en-US" w:eastAsia="zh-CN"/>
              </w:rPr>
              <w:t>4</w:t>
            </w:r>
            <w:r>
              <w:rPr>
                <w:rFonts w:hint="default"/>
                <w:highlight w:val="none"/>
                <w:lang w:val="en-US" w:eastAsia="zh-CN"/>
              </w:rPr>
              <w:t xml:space="preserve">    非正常工况一览表</w:t>
            </w:r>
          </w:p>
          <w:tbl>
            <w:tblPr>
              <w:tblStyle w:val="22"/>
              <w:tblW w:w="78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683"/>
              <w:gridCol w:w="875"/>
              <w:gridCol w:w="992"/>
              <w:gridCol w:w="796"/>
              <w:gridCol w:w="854"/>
              <w:gridCol w:w="750"/>
              <w:gridCol w:w="785"/>
              <w:gridCol w:w="768"/>
            </w:tblGrid>
            <w:tr w14:paraId="143E7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jc w:val="center"/>
              </w:trPr>
              <w:tc>
                <w:tcPr>
                  <w:tcW w:w="872"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8690A9">
                  <w:pPr>
                    <w:pStyle w:val="40"/>
                    <w:bidi w:val="0"/>
                    <w:rPr>
                      <w:rFonts w:hint="default"/>
                      <w:highlight w:val="none"/>
                    </w:rPr>
                  </w:pPr>
                  <w:r>
                    <w:rPr>
                      <w:rFonts w:hint="default"/>
                      <w:highlight w:val="none"/>
                    </w:rPr>
                    <w:t>污染源</w:t>
                  </w:r>
                </w:p>
              </w:tc>
              <w:tc>
                <w:tcPr>
                  <w:tcW w:w="433"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5B42DE">
                  <w:pPr>
                    <w:pStyle w:val="40"/>
                    <w:bidi w:val="0"/>
                    <w:rPr>
                      <w:rFonts w:hint="default"/>
                      <w:highlight w:val="none"/>
                    </w:rPr>
                  </w:pPr>
                  <w:r>
                    <w:rPr>
                      <w:rFonts w:hint="default"/>
                      <w:highlight w:val="none"/>
                    </w:rPr>
                    <w:t>非正常排放原因</w:t>
                  </w:r>
                </w:p>
              </w:tc>
              <w:tc>
                <w:tcPr>
                  <w:tcW w:w="555"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8443F7">
                  <w:pPr>
                    <w:pStyle w:val="40"/>
                    <w:bidi w:val="0"/>
                    <w:rPr>
                      <w:rFonts w:hint="default"/>
                      <w:highlight w:val="none"/>
                    </w:rPr>
                  </w:pPr>
                  <w:r>
                    <w:rPr>
                      <w:rFonts w:hint="default"/>
                      <w:highlight w:val="none"/>
                    </w:rPr>
                    <w:t>污染物</w:t>
                  </w:r>
                </w:p>
              </w:tc>
              <w:tc>
                <w:tcPr>
                  <w:tcW w:w="2651" w:type="pct"/>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BF52AC">
                  <w:pPr>
                    <w:pStyle w:val="40"/>
                    <w:bidi w:val="0"/>
                    <w:rPr>
                      <w:rFonts w:hint="default"/>
                      <w:highlight w:val="none"/>
                    </w:rPr>
                  </w:pPr>
                  <w:r>
                    <w:rPr>
                      <w:rFonts w:hint="default"/>
                      <w:highlight w:val="none"/>
                    </w:rPr>
                    <w:t>非正常排放状况</w:t>
                  </w:r>
                </w:p>
              </w:tc>
              <w:tc>
                <w:tcPr>
                  <w:tcW w:w="487"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CA86DB">
                  <w:pPr>
                    <w:pStyle w:val="40"/>
                    <w:bidi w:val="0"/>
                    <w:rPr>
                      <w:rFonts w:hint="default"/>
                      <w:highlight w:val="none"/>
                    </w:rPr>
                  </w:pPr>
                  <w:r>
                    <w:rPr>
                      <w:rFonts w:hint="default"/>
                      <w:highlight w:val="none"/>
                    </w:rPr>
                    <w:t>处置措施</w:t>
                  </w:r>
                </w:p>
              </w:tc>
            </w:tr>
            <w:tr w14:paraId="53BFF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72"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25F960">
                  <w:pPr>
                    <w:pStyle w:val="40"/>
                    <w:bidi w:val="0"/>
                    <w:rPr>
                      <w:rFonts w:hint="default"/>
                      <w:highlight w:val="none"/>
                    </w:rPr>
                  </w:pPr>
                </w:p>
              </w:tc>
              <w:tc>
                <w:tcPr>
                  <w:tcW w:w="433"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4145F0">
                  <w:pPr>
                    <w:pStyle w:val="40"/>
                    <w:bidi w:val="0"/>
                    <w:rPr>
                      <w:rFonts w:hint="default"/>
                      <w:highlight w:val="none"/>
                    </w:rPr>
                  </w:pPr>
                </w:p>
              </w:tc>
              <w:tc>
                <w:tcPr>
                  <w:tcW w:w="55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A20BD6">
                  <w:pPr>
                    <w:pStyle w:val="40"/>
                    <w:bidi w:val="0"/>
                    <w:rPr>
                      <w:rFonts w:hint="default"/>
                      <w:highlight w:val="none"/>
                    </w:rPr>
                  </w:pPr>
                </w:p>
              </w:tc>
              <w:tc>
                <w:tcPr>
                  <w:tcW w:w="6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3FF3B0">
                  <w:pPr>
                    <w:pStyle w:val="40"/>
                    <w:bidi w:val="0"/>
                    <w:rPr>
                      <w:rFonts w:hint="default"/>
                      <w:highlight w:val="none"/>
                    </w:rPr>
                  </w:pPr>
                  <w:r>
                    <w:rPr>
                      <w:rFonts w:hint="default"/>
                      <w:highlight w:val="none"/>
                    </w:rPr>
                    <w:t>浓度</w:t>
                  </w:r>
                </w:p>
                <w:p w14:paraId="0F770A3C">
                  <w:pPr>
                    <w:pStyle w:val="40"/>
                    <w:bidi w:val="0"/>
                    <w:rPr>
                      <w:rFonts w:hint="default"/>
                      <w:highlight w:val="none"/>
                    </w:rPr>
                  </w:pPr>
                  <w:r>
                    <w:rPr>
                      <w:rFonts w:hint="default"/>
                      <w:highlight w:val="none"/>
                    </w:rPr>
                    <w:t>(mg/m</w:t>
                  </w:r>
                  <w:r>
                    <w:rPr>
                      <w:rFonts w:hint="default"/>
                      <w:highlight w:val="none"/>
                      <w:vertAlign w:val="superscript"/>
                    </w:rPr>
                    <w:t>3</w:t>
                  </w:r>
                  <w:r>
                    <w:rPr>
                      <w:rFonts w:hint="default"/>
                      <w:highlight w:val="none"/>
                    </w:rPr>
                    <w:t>)</w:t>
                  </w:r>
                </w:p>
              </w:tc>
              <w:tc>
                <w:tcPr>
                  <w:tcW w:w="50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E8A451">
                  <w:pPr>
                    <w:pStyle w:val="40"/>
                    <w:bidi w:val="0"/>
                    <w:rPr>
                      <w:rFonts w:hint="default"/>
                      <w:highlight w:val="none"/>
                    </w:rPr>
                  </w:pPr>
                  <w:r>
                    <w:rPr>
                      <w:rFonts w:hint="default"/>
                      <w:highlight w:val="none"/>
                    </w:rPr>
                    <w:t>速率</w:t>
                  </w:r>
                </w:p>
                <w:p w14:paraId="7864F825">
                  <w:pPr>
                    <w:pStyle w:val="40"/>
                    <w:bidi w:val="0"/>
                    <w:rPr>
                      <w:rFonts w:hint="default"/>
                      <w:highlight w:val="none"/>
                    </w:rPr>
                  </w:pPr>
                  <w:r>
                    <w:rPr>
                      <w:rFonts w:hint="default"/>
                      <w:highlight w:val="none"/>
                    </w:rPr>
                    <w:t>(kg/h)</w:t>
                  </w:r>
                </w:p>
              </w:tc>
              <w:tc>
                <w:tcPr>
                  <w:tcW w:w="5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0AE82A">
                  <w:pPr>
                    <w:pStyle w:val="40"/>
                    <w:bidi w:val="0"/>
                    <w:rPr>
                      <w:rFonts w:hint="default"/>
                      <w:highlight w:val="none"/>
                    </w:rPr>
                  </w:pPr>
                  <w:r>
                    <w:rPr>
                      <w:rFonts w:hint="default"/>
                      <w:highlight w:val="none"/>
                    </w:rPr>
                    <w:t>频次</w:t>
                  </w:r>
                </w:p>
              </w:tc>
              <w:tc>
                <w:tcPr>
                  <w:tcW w:w="4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8F9C8C">
                  <w:pPr>
                    <w:pStyle w:val="40"/>
                    <w:bidi w:val="0"/>
                    <w:rPr>
                      <w:rFonts w:hint="default"/>
                      <w:highlight w:val="none"/>
                    </w:rPr>
                  </w:pPr>
                  <w:r>
                    <w:rPr>
                      <w:rFonts w:hint="default"/>
                      <w:highlight w:val="none"/>
                    </w:rPr>
                    <w:t>持续时间</w:t>
                  </w:r>
                </w:p>
              </w:tc>
              <w:tc>
                <w:tcPr>
                  <w:tcW w:w="49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73A65B">
                  <w:pPr>
                    <w:pStyle w:val="40"/>
                    <w:bidi w:val="0"/>
                    <w:rPr>
                      <w:rFonts w:hint="default"/>
                      <w:highlight w:val="none"/>
                    </w:rPr>
                  </w:pPr>
                  <w:r>
                    <w:rPr>
                      <w:rFonts w:hint="default"/>
                      <w:highlight w:val="none"/>
                    </w:rPr>
                    <w:t>排放量</w:t>
                  </w:r>
                </w:p>
                <w:p w14:paraId="46158D51">
                  <w:pPr>
                    <w:pStyle w:val="40"/>
                    <w:bidi w:val="0"/>
                    <w:rPr>
                      <w:rFonts w:hint="default"/>
                      <w:highlight w:val="none"/>
                    </w:rPr>
                  </w:pPr>
                  <w:r>
                    <w:rPr>
                      <w:rFonts w:hint="default"/>
                      <w:highlight w:val="none"/>
                    </w:rPr>
                    <w:t>(kg/a)</w:t>
                  </w:r>
                </w:p>
              </w:tc>
              <w:tc>
                <w:tcPr>
                  <w:tcW w:w="48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3161E5">
                  <w:pPr>
                    <w:pStyle w:val="40"/>
                    <w:bidi w:val="0"/>
                    <w:rPr>
                      <w:rFonts w:hint="default"/>
                      <w:highlight w:val="none"/>
                    </w:rPr>
                  </w:pPr>
                </w:p>
              </w:tc>
            </w:tr>
            <w:tr w14:paraId="38773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87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4BC241">
                  <w:pPr>
                    <w:pStyle w:val="40"/>
                    <w:bidi w:val="0"/>
                    <w:rPr>
                      <w:rFonts w:hint="default"/>
                    </w:rPr>
                  </w:pPr>
                  <w:r>
                    <w:rPr>
                      <w:rFonts w:hint="eastAsia"/>
                      <w:lang w:val="en-US" w:eastAsia="zh-CN"/>
                    </w:rPr>
                    <w:t>现代化加气块生产线投料粉尘</w:t>
                  </w:r>
                </w:p>
              </w:tc>
              <w:tc>
                <w:tcPr>
                  <w:tcW w:w="433" w:type="pct"/>
                  <w:vMerge w:val="restart"/>
                  <w:tcBorders>
                    <w:top w:val="single" w:color="000000" w:sz="4" w:space="0"/>
                    <w:left w:val="single" w:color="000000" w:sz="4" w:space="0"/>
                    <w:right w:val="single" w:color="000000" w:sz="4" w:space="0"/>
                    <w:tl2br w:val="nil"/>
                    <w:tr2bl w:val="nil"/>
                  </w:tcBorders>
                  <w:noWrap w:val="0"/>
                  <w:vAlign w:val="center"/>
                </w:tcPr>
                <w:p w14:paraId="36EA5C80">
                  <w:pPr>
                    <w:pStyle w:val="40"/>
                    <w:bidi w:val="0"/>
                    <w:rPr>
                      <w:rFonts w:hint="default"/>
                    </w:rPr>
                  </w:pPr>
                  <w:r>
                    <w:rPr>
                      <w:rFonts w:hint="default"/>
                    </w:rPr>
                    <w:t>治理设施故障</w:t>
                  </w:r>
                </w:p>
              </w:tc>
              <w:tc>
                <w:tcPr>
                  <w:tcW w:w="5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FEFA89">
                  <w:pPr>
                    <w:pStyle w:val="40"/>
                    <w:bidi w:val="0"/>
                    <w:rPr>
                      <w:rFonts w:hint="default"/>
                    </w:rPr>
                  </w:pPr>
                  <w:r>
                    <w:rPr>
                      <w:rFonts w:hint="eastAsia"/>
                      <w:lang w:val="en-US" w:eastAsia="zh-CN"/>
                    </w:rPr>
                    <w:t>颗粒物</w:t>
                  </w:r>
                </w:p>
              </w:tc>
              <w:tc>
                <w:tcPr>
                  <w:tcW w:w="99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219463">
                  <w:pPr>
                    <w:pStyle w:val="40"/>
                    <w:bidi w:val="0"/>
                    <w:rPr>
                      <w:rFonts w:hint="default"/>
                      <w:lang w:val="en-US"/>
                    </w:rPr>
                  </w:pPr>
                  <w:r>
                    <w:rPr>
                      <w:rFonts w:hint="eastAsia"/>
                      <w:lang w:val="en-US" w:eastAsia="zh-CN"/>
                    </w:rPr>
                    <w:t>364.533</w:t>
                  </w:r>
                </w:p>
              </w:tc>
              <w:tc>
                <w:tcPr>
                  <w:tcW w:w="7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51BD76">
                  <w:pPr>
                    <w:pStyle w:val="40"/>
                    <w:bidi w:val="0"/>
                    <w:rPr>
                      <w:rFonts w:hint="default"/>
                      <w:lang w:val="en-US"/>
                    </w:rPr>
                  </w:pPr>
                  <w:r>
                    <w:rPr>
                      <w:rFonts w:hint="eastAsia"/>
                      <w:lang w:val="en-US" w:eastAsia="zh-CN"/>
                    </w:rPr>
                    <w:t>0.364</w:t>
                  </w:r>
                </w:p>
              </w:tc>
              <w:tc>
                <w:tcPr>
                  <w:tcW w:w="5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1F9F6A">
                  <w:pPr>
                    <w:pStyle w:val="40"/>
                    <w:bidi w:val="0"/>
                    <w:rPr>
                      <w:rFonts w:hint="default"/>
                    </w:rPr>
                  </w:pPr>
                  <w:r>
                    <w:rPr>
                      <w:rFonts w:hint="default"/>
                    </w:rPr>
                    <w:t>1次/a</w:t>
                  </w:r>
                </w:p>
              </w:tc>
              <w:tc>
                <w:tcPr>
                  <w:tcW w:w="4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8F2085">
                  <w:pPr>
                    <w:pStyle w:val="40"/>
                    <w:bidi w:val="0"/>
                    <w:rPr>
                      <w:rFonts w:hint="default"/>
                    </w:rPr>
                  </w:pPr>
                  <w:r>
                    <w:rPr>
                      <w:rFonts w:hint="default"/>
                    </w:rPr>
                    <w:t>1h/次</w:t>
                  </w:r>
                </w:p>
              </w:tc>
              <w:tc>
                <w:tcPr>
                  <w:tcW w:w="78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A7302C3">
                  <w:pPr>
                    <w:pStyle w:val="40"/>
                    <w:bidi w:val="0"/>
                    <w:rPr>
                      <w:rFonts w:hint="default" w:ascii="Times New Roman" w:hAnsi="Times New Roman" w:eastAsia="宋体" w:cs="Times New Roman"/>
                      <w:kern w:val="2"/>
                      <w:sz w:val="21"/>
                      <w:szCs w:val="21"/>
                      <w:lang w:val="en-US" w:eastAsia="zh-CN" w:bidi="ar-SA"/>
                    </w:rPr>
                  </w:pPr>
                  <w:r>
                    <w:rPr>
                      <w:rFonts w:hint="eastAsia"/>
                      <w:lang w:val="en-US" w:eastAsia="zh-CN"/>
                    </w:rPr>
                    <w:t>0.364</w:t>
                  </w:r>
                </w:p>
              </w:tc>
              <w:tc>
                <w:tcPr>
                  <w:tcW w:w="487" w:type="pct"/>
                  <w:vMerge w:val="restart"/>
                  <w:tcBorders>
                    <w:top w:val="single" w:color="000000" w:sz="4" w:space="0"/>
                    <w:left w:val="single" w:color="000000" w:sz="4" w:space="0"/>
                    <w:right w:val="single" w:color="000000" w:sz="4" w:space="0"/>
                    <w:tl2br w:val="nil"/>
                    <w:tr2bl w:val="nil"/>
                  </w:tcBorders>
                  <w:noWrap w:val="0"/>
                  <w:vAlign w:val="center"/>
                </w:tcPr>
                <w:p w14:paraId="57B414DD">
                  <w:pPr>
                    <w:pStyle w:val="40"/>
                    <w:bidi w:val="0"/>
                    <w:rPr>
                      <w:rFonts w:hint="default"/>
                    </w:rPr>
                  </w:pPr>
                  <w:r>
                    <w:rPr>
                      <w:rFonts w:hint="default"/>
                    </w:rPr>
                    <w:t>立即停产维修</w:t>
                  </w:r>
                </w:p>
              </w:tc>
            </w:tr>
            <w:tr w14:paraId="2A134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87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72EE83">
                  <w:pPr>
                    <w:pStyle w:val="40"/>
                    <w:bidi w:val="0"/>
                    <w:rPr>
                      <w:rFonts w:hint="default"/>
                    </w:rPr>
                  </w:pPr>
                  <w:r>
                    <w:rPr>
                      <w:rFonts w:hint="eastAsia"/>
                      <w:lang w:val="en-US" w:eastAsia="zh-CN"/>
                    </w:rPr>
                    <w:t>砼预制房一体浇筑生产线投料粉尘</w:t>
                  </w:r>
                </w:p>
              </w:tc>
              <w:tc>
                <w:tcPr>
                  <w:tcW w:w="433" w:type="pct"/>
                  <w:vMerge w:val="continue"/>
                  <w:tcBorders>
                    <w:left w:val="single" w:color="000000" w:sz="4" w:space="0"/>
                    <w:right w:val="single" w:color="000000" w:sz="4" w:space="0"/>
                    <w:tl2br w:val="nil"/>
                    <w:tr2bl w:val="nil"/>
                  </w:tcBorders>
                  <w:noWrap w:val="0"/>
                  <w:vAlign w:val="center"/>
                </w:tcPr>
                <w:p w14:paraId="60111DA7">
                  <w:pPr>
                    <w:pStyle w:val="40"/>
                    <w:bidi w:val="0"/>
                    <w:rPr>
                      <w:rFonts w:hint="default"/>
                    </w:rPr>
                  </w:pPr>
                </w:p>
              </w:tc>
              <w:tc>
                <w:tcPr>
                  <w:tcW w:w="5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5DC8C1">
                  <w:pPr>
                    <w:pStyle w:val="40"/>
                    <w:bidi w:val="0"/>
                    <w:rPr>
                      <w:rFonts w:hint="default"/>
                    </w:rPr>
                  </w:pPr>
                  <w:r>
                    <w:rPr>
                      <w:rFonts w:hint="eastAsia"/>
                      <w:lang w:val="en-US" w:eastAsia="zh-CN"/>
                    </w:rPr>
                    <w:t>颗粒物</w:t>
                  </w:r>
                </w:p>
              </w:tc>
              <w:tc>
                <w:tcPr>
                  <w:tcW w:w="99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C83ABB">
                  <w:pPr>
                    <w:pStyle w:val="40"/>
                    <w:bidi w:val="0"/>
                    <w:rPr>
                      <w:rFonts w:hint="default"/>
                      <w:lang w:val="en-US"/>
                    </w:rPr>
                  </w:pPr>
                  <w:r>
                    <w:rPr>
                      <w:rFonts w:hint="eastAsia"/>
                      <w:lang w:val="en-US" w:eastAsia="zh-CN"/>
                    </w:rPr>
                    <w:t xml:space="preserve">3206.667 </w:t>
                  </w:r>
                </w:p>
              </w:tc>
              <w:tc>
                <w:tcPr>
                  <w:tcW w:w="7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7E05C9">
                  <w:pPr>
                    <w:pStyle w:val="40"/>
                    <w:bidi w:val="0"/>
                    <w:rPr>
                      <w:rFonts w:hint="default"/>
                      <w:lang w:val="en-US"/>
                    </w:rPr>
                  </w:pPr>
                  <w:r>
                    <w:rPr>
                      <w:rFonts w:hint="eastAsia"/>
                      <w:lang w:val="en-US" w:eastAsia="zh-CN"/>
                    </w:rPr>
                    <w:t xml:space="preserve">6.413 </w:t>
                  </w:r>
                </w:p>
              </w:tc>
              <w:tc>
                <w:tcPr>
                  <w:tcW w:w="5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D1652E">
                  <w:pPr>
                    <w:pStyle w:val="40"/>
                    <w:bidi w:val="0"/>
                    <w:rPr>
                      <w:rFonts w:hint="default"/>
                    </w:rPr>
                  </w:pPr>
                  <w:r>
                    <w:rPr>
                      <w:rFonts w:hint="default"/>
                    </w:rPr>
                    <w:t>1次/a</w:t>
                  </w:r>
                </w:p>
              </w:tc>
              <w:tc>
                <w:tcPr>
                  <w:tcW w:w="47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C4E215">
                  <w:pPr>
                    <w:pStyle w:val="40"/>
                    <w:bidi w:val="0"/>
                    <w:rPr>
                      <w:rFonts w:hint="default"/>
                    </w:rPr>
                  </w:pPr>
                  <w:r>
                    <w:rPr>
                      <w:rFonts w:hint="default"/>
                    </w:rPr>
                    <w:t>1h/次</w:t>
                  </w:r>
                </w:p>
              </w:tc>
              <w:tc>
                <w:tcPr>
                  <w:tcW w:w="78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B83465E">
                  <w:pPr>
                    <w:pStyle w:val="40"/>
                    <w:bidi w:val="0"/>
                    <w:rPr>
                      <w:rFonts w:hint="default" w:ascii="Times New Roman" w:hAnsi="Times New Roman" w:eastAsia="宋体" w:cs="Times New Roman"/>
                      <w:kern w:val="2"/>
                      <w:sz w:val="21"/>
                      <w:szCs w:val="21"/>
                      <w:lang w:val="en-US" w:eastAsia="zh-CN" w:bidi="ar-SA"/>
                    </w:rPr>
                  </w:pPr>
                  <w:r>
                    <w:rPr>
                      <w:rFonts w:hint="eastAsia"/>
                      <w:lang w:val="en-US" w:eastAsia="zh-CN"/>
                    </w:rPr>
                    <w:t>6.413</w:t>
                  </w:r>
                </w:p>
              </w:tc>
              <w:tc>
                <w:tcPr>
                  <w:tcW w:w="487" w:type="pct"/>
                  <w:vMerge w:val="continue"/>
                  <w:tcBorders>
                    <w:left w:val="single" w:color="000000" w:sz="4" w:space="0"/>
                    <w:right w:val="single" w:color="000000" w:sz="4" w:space="0"/>
                    <w:tl2br w:val="nil"/>
                    <w:tr2bl w:val="nil"/>
                  </w:tcBorders>
                  <w:noWrap w:val="0"/>
                  <w:vAlign w:val="center"/>
                </w:tcPr>
                <w:p w14:paraId="64C8AF9A">
                  <w:pPr>
                    <w:pStyle w:val="40"/>
                    <w:bidi w:val="0"/>
                    <w:rPr>
                      <w:rFonts w:hint="default"/>
                    </w:rPr>
                  </w:pPr>
                </w:p>
              </w:tc>
            </w:tr>
            <w:tr w14:paraId="0E7B8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87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A4C026">
                  <w:pPr>
                    <w:pStyle w:val="40"/>
                    <w:bidi w:val="0"/>
                    <w:rPr>
                      <w:rFonts w:hint="eastAsia"/>
                      <w:lang w:val="en-US" w:eastAsia="zh-CN"/>
                    </w:rPr>
                  </w:pPr>
                  <w:r>
                    <w:rPr>
                      <w:rFonts w:hint="eastAsia"/>
                      <w:lang w:val="en-US" w:eastAsia="zh-CN"/>
                    </w:rPr>
                    <w:t>水泥砖生产线投料粉尘</w:t>
                  </w:r>
                </w:p>
              </w:tc>
              <w:tc>
                <w:tcPr>
                  <w:tcW w:w="433" w:type="pct"/>
                  <w:vMerge w:val="continue"/>
                  <w:tcBorders>
                    <w:left w:val="single" w:color="000000" w:sz="4" w:space="0"/>
                    <w:right w:val="single" w:color="000000" w:sz="4" w:space="0"/>
                    <w:tl2br w:val="nil"/>
                    <w:tr2bl w:val="nil"/>
                  </w:tcBorders>
                  <w:noWrap w:val="0"/>
                  <w:vAlign w:val="center"/>
                </w:tcPr>
                <w:p w14:paraId="53872BFF">
                  <w:pPr>
                    <w:pStyle w:val="40"/>
                    <w:bidi w:val="0"/>
                    <w:rPr>
                      <w:rFonts w:hint="default"/>
                    </w:rPr>
                  </w:pPr>
                </w:p>
              </w:tc>
              <w:tc>
                <w:tcPr>
                  <w:tcW w:w="5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CBCC6B">
                  <w:pPr>
                    <w:pStyle w:val="40"/>
                    <w:bidi w:val="0"/>
                    <w:rPr>
                      <w:rFonts w:hint="eastAsia"/>
                      <w:lang w:val="en-US" w:eastAsia="zh-CN"/>
                    </w:rPr>
                  </w:pPr>
                  <w:r>
                    <w:rPr>
                      <w:rFonts w:hint="eastAsia"/>
                      <w:lang w:val="en-US" w:eastAsia="zh-CN"/>
                    </w:rPr>
                    <w:t>颗粒物</w:t>
                  </w:r>
                </w:p>
              </w:tc>
              <w:tc>
                <w:tcPr>
                  <w:tcW w:w="99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2021A9">
                  <w:pPr>
                    <w:pStyle w:val="40"/>
                    <w:bidi w:val="0"/>
                    <w:rPr>
                      <w:rFonts w:hint="default"/>
                      <w:lang w:val="en-US" w:eastAsia="zh-CN"/>
                    </w:rPr>
                  </w:pPr>
                  <w:r>
                    <w:rPr>
                      <w:rFonts w:hint="eastAsia"/>
                      <w:lang w:val="en-US" w:eastAsia="zh-CN"/>
                    </w:rPr>
                    <w:t>897</w:t>
                  </w:r>
                </w:p>
              </w:tc>
              <w:tc>
                <w:tcPr>
                  <w:tcW w:w="7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8A13E3">
                  <w:pPr>
                    <w:pStyle w:val="40"/>
                    <w:bidi w:val="0"/>
                    <w:rPr>
                      <w:rFonts w:hint="default"/>
                      <w:lang w:val="en-US" w:eastAsia="zh-CN"/>
                    </w:rPr>
                  </w:pPr>
                  <w:r>
                    <w:rPr>
                      <w:rFonts w:hint="eastAsia"/>
                      <w:lang w:val="en-US" w:eastAsia="zh-CN"/>
                    </w:rPr>
                    <w:t xml:space="preserve">0.897 </w:t>
                  </w:r>
                </w:p>
              </w:tc>
              <w:tc>
                <w:tcPr>
                  <w:tcW w:w="85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9C0D3D">
                  <w:pPr>
                    <w:pStyle w:val="40"/>
                    <w:bidi w:val="0"/>
                    <w:rPr>
                      <w:rFonts w:hint="default"/>
                    </w:rPr>
                  </w:pPr>
                  <w:r>
                    <w:rPr>
                      <w:rFonts w:hint="default"/>
                    </w:rPr>
                    <w:t>1次/a</w:t>
                  </w:r>
                </w:p>
              </w:tc>
              <w:tc>
                <w:tcPr>
                  <w:tcW w:w="7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B98E33">
                  <w:pPr>
                    <w:pStyle w:val="40"/>
                    <w:bidi w:val="0"/>
                    <w:rPr>
                      <w:rFonts w:hint="default"/>
                    </w:rPr>
                  </w:pPr>
                  <w:r>
                    <w:rPr>
                      <w:rFonts w:hint="default"/>
                    </w:rPr>
                    <w:t>1h/次</w:t>
                  </w:r>
                </w:p>
              </w:tc>
              <w:tc>
                <w:tcPr>
                  <w:tcW w:w="78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F6CC52F">
                  <w:pPr>
                    <w:pStyle w:val="40"/>
                    <w:bidi w:val="0"/>
                    <w:rPr>
                      <w:rFonts w:hint="eastAsia"/>
                      <w:lang w:val="en-US" w:eastAsia="zh-CN"/>
                    </w:rPr>
                  </w:pPr>
                  <w:r>
                    <w:rPr>
                      <w:rFonts w:hint="eastAsia"/>
                      <w:lang w:val="en-US" w:eastAsia="zh-CN"/>
                    </w:rPr>
                    <w:t>0.897</w:t>
                  </w:r>
                </w:p>
              </w:tc>
              <w:tc>
                <w:tcPr>
                  <w:tcW w:w="487" w:type="pct"/>
                  <w:vMerge w:val="continue"/>
                  <w:tcBorders>
                    <w:left w:val="single" w:color="000000" w:sz="4" w:space="0"/>
                    <w:right w:val="single" w:color="000000" w:sz="4" w:space="0"/>
                    <w:tl2br w:val="nil"/>
                    <w:tr2bl w:val="nil"/>
                  </w:tcBorders>
                  <w:noWrap w:val="0"/>
                  <w:vAlign w:val="center"/>
                </w:tcPr>
                <w:p w14:paraId="0044A447">
                  <w:pPr>
                    <w:pStyle w:val="40"/>
                    <w:bidi w:val="0"/>
                    <w:rPr>
                      <w:rFonts w:hint="default"/>
                    </w:rPr>
                  </w:pPr>
                </w:p>
              </w:tc>
            </w:tr>
            <w:tr w14:paraId="6E91D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87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4D93AD">
                  <w:pPr>
                    <w:pStyle w:val="40"/>
                    <w:bidi w:val="0"/>
                    <w:rPr>
                      <w:rFonts w:hint="eastAsia"/>
                      <w:lang w:val="en-US" w:eastAsia="zh-CN"/>
                    </w:rPr>
                  </w:pPr>
                  <w:r>
                    <w:rPr>
                      <w:rFonts w:hint="eastAsia"/>
                      <w:lang w:val="en-US" w:eastAsia="zh-CN"/>
                    </w:rPr>
                    <w:t>现代化加气块生产线搅拌粉尘</w:t>
                  </w:r>
                </w:p>
              </w:tc>
              <w:tc>
                <w:tcPr>
                  <w:tcW w:w="433" w:type="pct"/>
                  <w:vMerge w:val="continue"/>
                  <w:tcBorders>
                    <w:left w:val="single" w:color="000000" w:sz="4" w:space="0"/>
                    <w:right w:val="single" w:color="000000" w:sz="4" w:space="0"/>
                    <w:tl2br w:val="nil"/>
                    <w:tr2bl w:val="nil"/>
                  </w:tcBorders>
                  <w:noWrap w:val="0"/>
                  <w:vAlign w:val="center"/>
                </w:tcPr>
                <w:p w14:paraId="1AB880FC">
                  <w:pPr>
                    <w:pStyle w:val="40"/>
                    <w:bidi w:val="0"/>
                    <w:rPr>
                      <w:rFonts w:hint="default"/>
                    </w:rPr>
                  </w:pPr>
                </w:p>
              </w:tc>
              <w:tc>
                <w:tcPr>
                  <w:tcW w:w="5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257029">
                  <w:pPr>
                    <w:pStyle w:val="40"/>
                    <w:bidi w:val="0"/>
                    <w:rPr>
                      <w:rFonts w:hint="eastAsia"/>
                      <w:lang w:val="en-US" w:eastAsia="zh-CN"/>
                    </w:rPr>
                  </w:pPr>
                  <w:r>
                    <w:rPr>
                      <w:rFonts w:hint="eastAsia"/>
                      <w:lang w:val="en-US" w:eastAsia="zh-CN"/>
                    </w:rPr>
                    <w:t>颗粒物</w:t>
                  </w:r>
                </w:p>
              </w:tc>
              <w:tc>
                <w:tcPr>
                  <w:tcW w:w="99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FDBB35">
                  <w:pPr>
                    <w:pStyle w:val="40"/>
                    <w:bidi w:val="0"/>
                    <w:rPr>
                      <w:rFonts w:hint="default"/>
                      <w:lang w:val="en-US" w:eastAsia="zh-CN"/>
                    </w:rPr>
                  </w:pPr>
                  <w:r>
                    <w:rPr>
                      <w:rFonts w:hint="eastAsia"/>
                      <w:lang w:val="en-US" w:eastAsia="zh-CN"/>
                    </w:rPr>
                    <w:t>5230</w:t>
                  </w:r>
                </w:p>
              </w:tc>
              <w:tc>
                <w:tcPr>
                  <w:tcW w:w="7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F6EA77">
                  <w:pPr>
                    <w:pStyle w:val="40"/>
                    <w:bidi w:val="0"/>
                    <w:rPr>
                      <w:rFonts w:hint="default"/>
                      <w:lang w:val="en-US" w:eastAsia="zh-CN"/>
                    </w:rPr>
                  </w:pPr>
                  <w:r>
                    <w:rPr>
                      <w:rFonts w:hint="eastAsia"/>
                      <w:lang w:val="en-US" w:eastAsia="zh-CN"/>
                    </w:rPr>
                    <w:t xml:space="preserve">5.230 </w:t>
                  </w:r>
                </w:p>
              </w:tc>
              <w:tc>
                <w:tcPr>
                  <w:tcW w:w="85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C83584">
                  <w:pPr>
                    <w:pStyle w:val="40"/>
                    <w:bidi w:val="0"/>
                    <w:rPr>
                      <w:rFonts w:hint="default"/>
                    </w:rPr>
                  </w:pPr>
                  <w:r>
                    <w:rPr>
                      <w:rFonts w:hint="default"/>
                    </w:rPr>
                    <w:t>1次/a</w:t>
                  </w:r>
                </w:p>
              </w:tc>
              <w:tc>
                <w:tcPr>
                  <w:tcW w:w="7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B36C38">
                  <w:pPr>
                    <w:pStyle w:val="40"/>
                    <w:bidi w:val="0"/>
                    <w:rPr>
                      <w:rFonts w:hint="default"/>
                    </w:rPr>
                  </w:pPr>
                  <w:r>
                    <w:rPr>
                      <w:rFonts w:hint="default"/>
                    </w:rPr>
                    <w:t>1h/次</w:t>
                  </w:r>
                </w:p>
              </w:tc>
              <w:tc>
                <w:tcPr>
                  <w:tcW w:w="78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5F41D1A">
                  <w:pPr>
                    <w:pStyle w:val="40"/>
                    <w:bidi w:val="0"/>
                    <w:rPr>
                      <w:rFonts w:hint="eastAsia"/>
                      <w:lang w:val="en-US" w:eastAsia="zh-CN"/>
                    </w:rPr>
                  </w:pPr>
                  <w:r>
                    <w:rPr>
                      <w:rFonts w:hint="eastAsia"/>
                      <w:lang w:val="en-US" w:eastAsia="zh-CN"/>
                    </w:rPr>
                    <w:t>5.230</w:t>
                  </w:r>
                </w:p>
              </w:tc>
              <w:tc>
                <w:tcPr>
                  <w:tcW w:w="487" w:type="pct"/>
                  <w:vMerge w:val="continue"/>
                  <w:tcBorders>
                    <w:left w:val="single" w:color="000000" w:sz="4" w:space="0"/>
                    <w:right w:val="single" w:color="000000" w:sz="4" w:space="0"/>
                    <w:tl2br w:val="nil"/>
                    <w:tr2bl w:val="nil"/>
                  </w:tcBorders>
                  <w:noWrap w:val="0"/>
                  <w:vAlign w:val="center"/>
                </w:tcPr>
                <w:p w14:paraId="6C5E1D50">
                  <w:pPr>
                    <w:pStyle w:val="40"/>
                    <w:bidi w:val="0"/>
                    <w:rPr>
                      <w:rFonts w:hint="default"/>
                    </w:rPr>
                  </w:pPr>
                </w:p>
              </w:tc>
            </w:tr>
            <w:tr w14:paraId="0E373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87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4090F9">
                  <w:pPr>
                    <w:pStyle w:val="40"/>
                    <w:bidi w:val="0"/>
                    <w:rPr>
                      <w:rFonts w:hint="eastAsia"/>
                      <w:lang w:val="en-US" w:eastAsia="zh-CN"/>
                    </w:rPr>
                  </w:pPr>
                  <w:r>
                    <w:rPr>
                      <w:rFonts w:hint="eastAsia"/>
                      <w:lang w:val="en-US" w:eastAsia="zh-CN"/>
                    </w:rPr>
                    <w:t>砼预制房一体浇筑生产线搅拌粉尘</w:t>
                  </w:r>
                </w:p>
              </w:tc>
              <w:tc>
                <w:tcPr>
                  <w:tcW w:w="433" w:type="pct"/>
                  <w:vMerge w:val="continue"/>
                  <w:tcBorders>
                    <w:left w:val="single" w:color="000000" w:sz="4" w:space="0"/>
                    <w:right w:val="single" w:color="000000" w:sz="4" w:space="0"/>
                    <w:tl2br w:val="nil"/>
                    <w:tr2bl w:val="nil"/>
                  </w:tcBorders>
                  <w:noWrap w:val="0"/>
                  <w:vAlign w:val="center"/>
                </w:tcPr>
                <w:p w14:paraId="0969CEA4">
                  <w:pPr>
                    <w:pStyle w:val="40"/>
                    <w:bidi w:val="0"/>
                    <w:rPr>
                      <w:rFonts w:hint="default"/>
                    </w:rPr>
                  </w:pPr>
                </w:p>
              </w:tc>
              <w:tc>
                <w:tcPr>
                  <w:tcW w:w="5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D01512">
                  <w:pPr>
                    <w:pStyle w:val="40"/>
                    <w:bidi w:val="0"/>
                    <w:rPr>
                      <w:rFonts w:hint="eastAsia"/>
                      <w:lang w:val="en-US" w:eastAsia="zh-CN"/>
                    </w:rPr>
                  </w:pPr>
                  <w:r>
                    <w:rPr>
                      <w:rFonts w:hint="eastAsia"/>
                      <w:lang w:val="en-US" w:eastAsia="zh-CN"/>
                    </w:rPr>
                    <w:t>颗粒物</w:t>
                  </w:r>
                </w:p>
              </w:tc>
              <w:tc>
                <w:tcPr>
                  <w:tcW w:w="99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3E40EC">
                  <w:pPr>
                    <w:pStyle w:val="40"/>
                    <w:bidi w:val="0"/>
                    <w:rPr>
                      <w:rFonts w:hint="default"/>
                      <w:lang w:val="en-US" w:eastAsia="zh-CN"/>
                    </w:rPr>
                  </w:pPr>
                  <w:r>
                    <w:rPr>
                      <w:rFonts w:hint="eastAsia"/>
                      <w:lang w:val="en-US" w:eastAsia="zh-CN"/>
                    </w:rPr>
                    <w:t>5578.667</w:t>
                  </w:r>
                </w:p>
              </w:tc>
              <w:tc>
                <w:tcPr>
                  <w:tcW w:w="7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07ABC6">
                  <w:pPr>
                    <w:pStyle w:val="40"/>
                    <w:bidi w:val="0"/>
                    <w:rPr>
                      <w:rFonts w:hint="default"/>
                      <w:lang w:val="en-US" w:eastAsia="zh-CN"/>
                    </w:rPr>
                  </w:pPr>
                  <w:r>
                    <w:rPr>
                      <w:rFonts w:hint="eastAsia"/>
                      <w:lang w:val="en-US" w:eastAsia="zh-CN"/>
                    </w:rPr>
                    <w:t>33.472</w:t>
                  </w:r>
                </w:p>
              </w:tc>
              <w:tc>
                <w:tcPr>
                  <w:tcW w:w="85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557AE2">
                  <w:pPr>
                    <w:pStyle w:val="40"/>
                    <w:bidi w:val="0"/>
                    <w:rPr>
                      <w:rFonts w:hint="default"/>
                    </w:rPr>
                  </w:pPr>
                  <w:r>
                    <w:rPr>
                      <w:rFonts w:hint="default"/>
                    </w:rPr>
                    <w:t>1次/a</w:t>
                  </w:r>
                </w:p>
              </w:tc>
              <w:tc>
                <w:tcPr>
                  <w:tcW w:w="7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3A80BE">
                  <w:pPr>
                    <w:pStyle w:val="40"/>
                    <w:bidi w:val="0"/>
                    <w:rPr>
                      <w:rFonts w:hint="default"/>
                    </w:rPr>
                  </w:pPr>
                  <w:r>
                    <w:rPr>
                      <w:rFonts w:hint="default"/>
                    </w:rPr>
                    <w:t>1h/次</w:t>
                  </w:r>
                </w:p>
              </w:tc>
              <w:tc>
                <w:tcPr>
                  <w:tcW w:w="78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7ECE4E2">
                  <w:pPr>
                    <w:pStyle w:val="40"/>
                    <w:bidi w:val="0"/>
                    <w:rPr>
                      <w:rFonts w:hint="eastAsia"/>
                      <w:lang w:val="en-US" w:eastAsia="zh-CN"/>
                    </w:rPr>
                  </w:pPr>
                  <w:r>
                    <w:rPr>
                      <w:rFonts w:hint="eastAsia"/>
                      <w:lang w:val="en-US" w:eastAsia="zh-CN"/>
                    </w:rPr>
                    <w:t>33.472</w:t>
                  </w:r>
                </w:p>
              </w:tc>
              <w:tc>
                <w:tcPr>
                  <w:tcW w:w="487" w:type="pct"/>
                  <w:vMerge w:val="continue"/>
                  <w:tcBorders>
                    <w:left w:val="single" w:color="000000" w:sz="4" w:space="0"/>
                    <w:right w:val="single" w:color="000000" w:sz="4" w:space="0"/>
                    <w:tl2br w:val="nil"/>
                    <w:tr2bl w:val="nil"/>
                  </w:tcBorders>
                  <w:noWrap w:val="0"/>
                  <w:vAlign w:val="center"/>
                </w:tcPr>
                <w:p w14:paraId="00B32C61">
                  <w:pPr>
                    <w:pStyle w:val="40"/>
                    <w:bidi w:val="0"/>
                    <w:rPr>
                      <w:rFonts w:hint="default"/>
                    </w:rPr>
                  </w:pPr>
                </w:p>
              </w:tc>
            </w:tr>
            <w:tr w14:paraId="79A3E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87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20E835">
                  <w:pPr>
                    <w:pStyle w:val="40"/>
                    <w:bidi w:val="0"/>
                    <w:rPr>
                      <w:rFonts w:hint="eastAsia"/>
                      <w:lang w:val="en-US" w:eastAsia="zh-CN"/>
                    </w:rPr>
                  </w:pPr>
                  <w:r>
                    <w:rPr>
                      <w:rFonts w:hint="eastAsia"/>
                      <w:lang w:val="en-US" w:eastAsia="zh-CN"/>
                    </w:rPr>
                    <w:t>水泥砖生产线搅拌粉尘</w:t>
                  </w:r>
                </w:p>
              </w:tc>
              <w:tc>
                <w:tcPr>
                  <w:tcW w:w="433" w:type="pct"/>
                  <w:vMerge w:val="continue"/>
                  <w:tcBorders>
                    <w:left w:val="single" w:color="000000" w:sz="4" w:space="0"/>
                    <w:right w:val="single" w:color="000000" w:sz="4" w:space="0"/>
                    <w:tl2br w:val="nil"/>
                    <w:tr2bl w:val="nil"/>
                  </w:tcBorders>
                  <w:noWrap w:val="0"/>
                  <w:vAlign w:val="center"/>
                </w:tcPr>
                <w:p w14:paraId="1127FC89">
                  <w:pPr>
                    <w:pStyle w:val="40"/>
                    <w:bidi w:val="0"/>
                    <w:rPr>
                      <w:rFonts w:hint="default"/>
                    </w:rPr>
                  </w:pPr>
                </w:p>
              </w:tc>
              <w:tc>
                <w:tcPr>
                  <w:tcW w:w="55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D999BA">
                  <w:pPr>
                    <w:pStyle w:val="40"/>
                    <w:bidi w:val="0"/>
                    <w:rPr>
                      <w:rFonts w:hint="eastAsia"/>
                      <w:lang w:val="en-US" w:eastAsia="zh-CN"/>
                    </w:rPr>
                  </w:pPr>
                  <w:r>
                    <w:rPr>
                      <w:rFonts w:hint="eastAsia"/>
                      <w:lang w:val="en-US" w:eastAsia="zh-CN"/>
                    </w:rPr>
                    <w:t>颗粒物</w:t>
                  </w:r>
                </w:p>
              </w:tc>
              <w:tc>
                <w:tcPr>
                  <w:tcW w:w="99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3235AA">
                  <w:pPr>
                    <w:pStyle w:val="40"/>
                    <w:bidi w:val="0"/>
                    <w:rPr>
                      <w:rFonts w:hint="default"/>
                      <w:lang w:val="en-US" w:eastAsia="zh-CN"/>
                    </w:rPr>
                  </w:pPr>
                  <w:r>
                    <w:rPr>
                      <w:rFonts w:hint="eastAsia"/>
                      <w:lang w:val="en-US" w:eastAsia="zh-CN"/>
                    </w:rPr>
                    <w:t>4358.333</w:t>
                  </w:r>
                </w:p>
              </w:tc>
              <w:tc>
                <w:tcPr>
                  <w:tcW w:w="7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1C06A3">
                  <w:pPr>
                    <w:pStyle w:val="40"/>
                    <w:bidi w:val="0"/>
                    <w:rPr>
                      <w:rFonts w:hint="default"/>
                      <w:lang w:val="en-US" w:eastAsia="zh-CN"/>
                    </w:rPr>
                  </w:pPr>
                  <w:r>
                    <w:rPr>
                      <w:rFonts w:hint="eastAsia"/>
                      <w:lang w:val="en-US" w:eastAsia="zh-CN"/>
                    </w:rPr>
                    <w:t xml:space="preserve">4.358 </w:t>
                  </w:r>
                </w:p>
              </w:tc>
              <w:tc>
                <w:tcPr>
                  <w:tcW w:w="85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785777">
                  <w:pPr>
                    <w:pStyle w:val="40"/>
                    <w:bidi w:val="0"/>
                    <w:rPr>
                      <w:rFonts w:hint="default"/>
                    </w:rPr>
                  </w:pPr>
                  <w:r>
                    <w:rPr>
                      <w:rFonts w:hint="default"/>
                    </w:rPr>
                    <w:t>1次/a</w:t>
                  </w:r>
                </w:p>
              </w:tc>
              <w:tc>
                <w:tcPr>
                  <w:tcW w:w="7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F075FC">
                  <w:pPr>
                    <w:pStyle w:val="40"/>
                    <w:bidi w:val="0"/>
                    <w:rPr>
                      <w:rFonts w:hint="default"/>
                    </w:rPr>
                  </w:pPr>
                  <w:r>
                    <w:rPr>
                      <w:rFonts w:hint="default"/>
                    </w:rPr>
                    <w:t>1h/次</w:t>
                  </w:r>
                </w:p>
              </w:tc>
              <w:tc>
                <w:tcPr>
                  <w:tcW w:w="78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2AFF08E">
                  <w:pPr>
                    <w:pStyle w:val="40"/>
                    <w:bidi w:val="0"/>
                    <w:rPr>
                      <w:rFonts w:hint="eastAsia"/>
                      <w:lang w:val="en-US" w:eastAsia="zh-CN"/>
                    </w:rPr>
                  </w:pPr>
                  <w:r>
                    <w:rPr>
                      <w:rFonts w:hint="eastAsia"/>
                      <w:lang w:val="en-US" w:eastAsia="zh-CN"/>
                    </w:rPr>
                    <w:t>4.358</w:t>
                  </w:r>
                </w:p>
              </w:tc>
              <w:tc>
                <w:tcPr>
                  <w:tcW w:w="487" w:type="pct"/>
                  <w:vMerge w:val="continue"/>
                  <w:tcBorders>
                    <w:left w:val="single" w:color="000000" w:sz="4" w:space="0"/>
                    <w:right w:val="single" w:color="000000" w:sz="4" w:space="0"/>
                    <w:tl2br w:val="nil"/>
                    <w:tr2bl w:val="nil"/>
                  </w:tcBorders>
                  <w:noWrap w:val="0"/>
                  <w:vAlign w:val="center"/>
                </w:tcPr>
                <w:p w14:paraId="48C6C6C3">
                  <w:pPr>
                    <w:pStyle w:val="40"/>
                    <w:bidi w:val="0"/>
                    <w:rPr>
                      <w:rFonts w:hint="default"/>
                    </w:rPr>
                  </w:pPr>
                </w:p>
              </w:tc>
            </w:tr>
          </w:tbl>
          <w:p w14:paraId="46254D46">
            <w:pPr>
              <w:pStyle w:val="8"/>
              <w:bidi w:val="0"/>
              <w:rPr>
                <w:rFonts w:hint="default"/>
                <w:lang w:val="en-US" w:eastAsia="zh-CN"/>
              </w:rPr>
            </w:pPr>
            <w:r>
              <w:rPr>
                <w:rFonts w:hint="default"/>
                <w:lang w:val="en-US" w:eastAsia="zh-CN"/>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338A71D7">
            <w:pPr>
              <w:pStyle w:val="8"/>
              <w:bidi w:val="0"/>
              <w:rPr>
                <w:rFonts w:hint="default"/>
                <w:lang w:val="en-US" w:eastAsia="zh-CN"/>
              </w:rPr>
            </w:pPr>
            <w:r>
              <w:rPr>
                <w:rFonts w:hint="default"/>
                <w:lang w:val="en-US" w:eastAsia="zh-CN"/>
              </w:rPr>
              <w:t>a.安排专人负责环保设备的日常维护和管理，每隔固定时间检查、汇报情况，及时发现废气处理设备的隐患，确保废气处理系统正常运行；</w:t>
            </w:r>
          </w:p>
          <w:p w14:paraId="25950CF4">
            <w:pPr>
              <w:pStyle w:val="8"/>
              <w:bidi w:val="0"/>
              <w:rPr>
                <w:rFonts w:hint="default"/>
                <w:lang w:val="en-US" w:eastAsia="zh-CN"/>
              </w:rPr>
            </w:pPr>
            <w:r>
              <w:rPr>
                <w:rFonts w:hint="default"/>
                <w:lang w:val="en-US" w:eastAsia="zh-CN"/>
              </w:rPr>
              <w:t>b.建立健全的环保管理机构，对环保管理人员和技术人员进行岗位培训，委托具有专业资质的环境检测单位对项目排放的各类污染物进行定期检测；</w:t>
            </w:r>
          </w:p>
          <w:p w14:paraId="2630C78D">
            <w:pPr>
              <w:pStyle w:val="8"/>
              <w:bidi w:val="0"/>
              <w:rPr>
                <w:rFonts w:hint="default"/>
                <w:lang w:val="en-US" w:eastAsia="zh-CN"/>
              </w:rPr>
            </w:pPr>
            <w:r>
              <w:rPr>
                <w:rFonts w:hint="default"/>
                <w:lang w:val="en-US" w:eastAsia="zh-CN"/>
              </w:rPr>
              <w:t>c.定期维护、检修废气净化装置，以保持废气处理装置的净化能力。</w:t>
            </w:r>
          </w:p>
          <w:p w14:paraId="75D85018">
            <w:pPr>
              <w:pStyle w:val="2"/>
              <w:bidi w:val="0"/>
              <w:rPr>
                <w:rFonts w:hint="eastAsia"/>
                <w:lang w:val="en-US" w:eastAsia="zh-CN"/>
              </w:rPr>
            </w:pPr>
            <w:r>
              <w:rPr>
                <w:rFonts w:hint="eastAsia"/>
                <w:lang w:val="en-US" w:eastAsia="zh-CN"/>
              </w:rPr>
              <w:t>1.5监测要求</w:t>
            </w:r>
          </w:p>
          <w:p w14:paraId="006BD49D">
            <w:pPr>
              <w:pStyle w:val="8"/>
              <w:bidi w:val="0"/>
              <w:rPr>
                <w:rFonts w:hint="default"/>
                <w:lang w:val="en-US" w:eastAsia="zh-CN"/>
              </w:rPr>
            </w:pPr>
            <w:r>
              <w:rPr>
                <w:rFonts w:hint="default"/>
                <w:lang w:val="en-US" w:eastAsia="zh-CN"/>
              </w:rPr>
              <w:t>根据《排污单位自行监测技术指南 总则》（HJ</w:t>
            </w:r>
            <w:r>
              <w:rPr>
                <w:rFonts w:hint="eastAsia"/>
                <w:lang w:val="en-US" w:eastAsia="zh-CN"/>
              </w:rPr>
              <w:t xml:space="preserve"> 819</w:t>
            </w:r>
            <w:r>
              <w:rPr>
                <w:rFonts w:hint="default"/>
                <w:lang w:val="en-US" w:eastAsia="zh-CN"/>
              </w:rPr>
              <w:t>-201</w:t>
            </w:r>
            <w:r>
              <w:rPr>
                <w:rFonts w:hint="eastAsia"/>
                <w:lang w:val="en-US" w:eastAsia="zh-CN"/>
              </w:rPr>
              <w:t>7</w:t>
            </w:r>
            <w:r>
              <w:rPr>
                <w:rFonts w:hint="default"/>
                <w:lang w:val="en-US" w:eastAsia="zh-CN"/>
              </w:rPr>
              <w:t>）、《排污单位自行监测技术指南 水泥工业》（HJ</w:t>
            </w:r>
            <w:r>
              <w:rPr>
                <w:rFonts w:hint="eastAsia"/>
                <w:lang w:val="en-US" w:eastAsia="zh-CN"/>
              </w:rPr>
              <w:t xml:space="preserve"> </w:t>
            </w:r>
            <w:r>
              <w:rPr>
                <w:rFonts w:hint="default"/>
                <w:lang w:val="en-US" w:eastAsia="zh-CN"/>
              </w:rPr>
              <w:t>848-2017）</w:t>
            </w:r>
            <w:r>
              <w:rPr>
                <w:rFonts w:hint="eastAsia"/>
                <w:lang w:val="en-US" w:eastAsia="zh-CN"/>
              </w:rPr>
              <w:t>、</w:t>
            </w:r>
            <w:r>
              <w:rPr>
                <w:rFonts w:hint="default"/>
                <w:lang w:val="en-US" w:eastAsia="zh-CN"/>
              </w:rPr>
              <w:t>《排污许可证申请与核发技术规范</w:t>
            </w:r>
            <w:r>
              <w:rPr>
                <w:rFonts w:hint="eastAsia"/>
                <w:lang w:val="en-US" w:eastAsia="zh-CN"/>
              </w:rPr>
              <w:t xml:space="preserve"> 水泥工业</w:t>
            </w:r>
            <w:r>
              <w:rPr>
                <w:rFonts w:hint="default"/>
                <w:lang w:val="en-US" w:eastAsia="zh-CN"/>
              </w:rPr>
              <w:t xml:space="preserve">》（HJ </w:t>
            </w:r>
            <w:r>
              <w:rPr>
                <w:rFonts w:hint="eastAsia"/>
                <w:lang w:val="en-US" w:eastAsia="zh-CN"/>
              </w:rPr>
              <w:t>847</w:t>
            </w:r>
            <w:r>
              <w:rPr>
                <w:rFonts w:hint="default"/>
                <w:lang w:val="en-US" w:eastAsia="zh-CN"/>
              </w:rPr>
              <w:t>-2017），本项目具体监测计划见下表。</w:t>
            </w:r>
          </w:p>
          <w:p w14:paraId="73CFE674">
            <w:pPr>
              <w:pStyle w:val="42"/>
              <w:bidi w:val="0"/>
              <w:rPr>
                <w:rFonts w:hint="default"/>
                <w:lang w:val="en-US" w:eastAsia="zh-CN"/>
              </w:rPr>
            </w:pPr>
            <w:r>
              <w:rPr>
                <w:rFonts w:hint="default"/>
                <w:lang w:val="en-US" w:eastAsia="zh-CN"/>
              </w:rPr>
              <w:t>表4-</w:t>
            </w:r>
            <w:r>
              <w:rPr>
                <w:rFonts w:hint="eastAsia"/>
                <w:lang w:val="en-US" w:eastAsia="zh-CN"/>
              </w:rPr>
              <w:t>5</w:t>
            </w:r>
            <w:r>
              <w:rPr>
                <w:rFonts w:hint="default"/>
                <w:lang w:val="en-US" w:eastAsia="zh-CN"/>
              </w:rPr>
              <w:t xml:space="preserve">    废气监测计划</w:t>
            </w:r>
          </w:p>
          <w:tbl>
            <w:tblPr>
              <w:tblStyle w:val="23"/>
              <w:tblW w:w="78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710"/>
              <w:gridCol w:w="1142"/>
              <w:gridCol w:w="1304"/>
              <w:gridCol w:w="3001"/>
            </w:tblGrid>
            <w:tr w14:paraId="7353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trPr>
              <w:tc>
                <w:tcPr>
                  <w:tcW w:w="714" w:type="dxa"/>
                  <w:vAlign w:val="center"/>
                </w:tcPr>
                <w:p w14:paraId="09A7E2C7">
                  <w:pPr>
                    <w:pStyle w:val="40"/>
                    <w:bidi w:val="0"/>
                    <w:jc w:val="center"/>
                    <w:rPr>
                      <w:rFonts w:hint="default"/>
                      <w:lang w:val="en-US" w:eastAsia="zh-CN"/>
                    </w:rPr>
                  </w:pPr>
                  <w:r>
                    <w:t>类别</w:t>
                  </w:r>
                </w:p>
              </w:tc>
              <w:tc>
                <w:tcPr>
                  <w:tcW w:w="1710" w:type="dxa"/>
                  <w:vAlign w:val="center"/>
                </w:tcPr>
                <w:p w14:paraId="36F9F556">
                  <w:pPr>
                    <w:pStyle w:val="40"/>
                    <w:bidi w:val="0"/>
                    <w:jc w:val="center"/>
                    <w:rPr>
                      <w:rFonts w:hint="default"/>
                      <w:lang w:val="en-US" w:eastAsia="zh-CN"/>
                    </w:rPr>
                  </w:pPr>
                  <w:r>
                    <w:t>监测位置</w:t>
                  </w:r>
                </w:p>
              </w:tc>
              <w:tc>
                <w:tcPr>
                  <w:tcW w:w="1142" w:type="dxa"/>
                  <w:vAlign w:val="center"/>
                </w:tcPr>
                <w:p w14:paraId="2EBD10F6">
                  <w:pPr>
                    <w:pStyle w:val="40"/>
                    <w:bidi w:val="0"/>
                    <w:jc w:val="center"/>
                    <w:rPr>
                      <w:rFonts w:hint="default"/>
                      <w:lang w:val="en-US" w:eastAsia="zh-CN"/>
                    </w:rPr>
                  </w:pPr>
                  <w:r>
                    <w:t>监测项目</w:t>
                  </w:r>
                </w:p>
              </w:tc>
              <w:tc>
                <w:tcPr>
                  <w:tcW w:w="1304" w:type="dxa"/>
                  <w:vAlign w:val="center"/>
                </w:tcPr>
                <w:p w14:paraId="3712D21E">
                  <w:pPr>
                    <w:pStyle w:val="40"/>
                    <w:bidi w:val="0"/>
                    <w:jc w:val="center"/>
                    <w:rPr>
                      <w:rFonts w:hint="default"/>
                      <w:lang w:val="en-US" w:eastAsia="zh-CN"/>
                    </w:rPr>
                  </w:pPr>
                  <w:r>
                    <w:t>监测频次</w:t>
                  </w:r>
                </w:p>
              </w:tc>
              <w:tc>
                <w:tcPr>
                  <w:tcW w:w="3001" w:type="dxa"/>
                  <w:vAlign w:val="center"/>
                </w:tcPr>
                <w:p w14:paraId="2986C18E">
                  <w:pPr>
                    <w:pStyle w:val="40"/>
                    <w:bidi w:val="0"/>
                    <w:jc w:val="center"/>
                    <w:rPr>
                      <w:rFonts w:hint="default"/>
                      <w:lang w:val="en-US" w:eastAsia="zh-CN"/>
                    </w:rPr>
                  </w:pPr>
                  <w:r>
                    <w:t>执行标准</w:t>
                  </w:r>
                </w:p>
              </w:tc>
            </w:tr>
            <w:tr w14:paraId="4E0F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714" w:type="dxa"/>
                  <w:vAlign w:val="center"/>
                </w:tcPr>
                <w:p w14:paraId="3183498F">
                  <w:pPr>
                    <w:pStyle w:val="40"/>
                    <w:bidi w:val="0"/>
                    <w:rPr>
                      <w:rFonts w:hint="default"/>
                      <w:lang w:val="en-US" w:eastAsia="zh-CN"/>
                    </w:rPr>
                  </w:pPr>
                  <w:r>
                    <w:rPr>
                      <w:rFonts w:hint="default"/>
                      <w:lang w:val="en-US" w:eastAsia="zh-CN"/>
                    </w:rPr>
                    <w:t>有组织废气</w:t>
                  </w:r>
                </w:p>
              </w:tc>
              <w:tc>
                <w:tcPr>
                  <w:tcW w:w="1710" w:type="dxa"/>
                  <w:vAlign w:val="center"/>
                </w:tcPr>
                <w:p w14:paraId="7331A3AF">
                  <w:pPr>
                    <w:pStyle w:val="40"/>
                    <w:bidi w:val="0"/>
                    <w:jc w:val="center"/>
                    <w:rPr>
                      <w:rFonts w:hint="default"/>
                      <w:lang w:val="en-US" w:eastAsia="zh-CN"/>
                    </w:rPr>
                  </w:pPr>
                  <w:r>
                    <w:rPr>
                      <w:rFonts w:hint="default"/>
                      <w:lang w:val="en-US" w:eastAsia="zh-CN"/>
                    </w:rPr>
                    <w:t>DA001</w:t>
                  </w:r>
                  <w:r>
                    <w:rPr>
                      <w:rFonts w:hint="eastAsia"/>
                      <w:lang w:val="en-US" w:eastAsia="zh-CN"/>
                    </w:rPr>
                    <w:t>、</w:t>
                  </w:r>
                  <w:r>
                    <w:rPr>
                      <w:rFonts w:hint="eastAsia"/>
                      <w:highlight w:val="none"/>
                      <w:lang w:val="en-US" w:eastAsia="zh-CN"/>
                    </w:rPr>
                    <w:t>DA002、</w:t>
                  </w:r>
                  <w:r>
                    <w:rPr>
                      <w:rFonts w:hint="default"/>
                      <w:lang w:val="en-US" w:eastAsia="zh-CN"/>
                    </w:rPr>
                    <w:t>DA00</w:t>
                  </w:r>
                  <w:r>
                    <w:rPr>
                      <w:rFonts w:hint="eastAsia"/>
                      <w:lang w:val="en-US" w:eastAsia="zh-CN"/>
                    </w:rPr>
                    <w:t>3、DA004、DA005、DA006</w:t>
                  </w:r>
                </w:p>
              </w:tc>
              <w:tc>
                <w:tcPr>
                  <w:tcW w:w="1142" w:type="dxa"/>
                  <w:vAlign w:val="center"/>
                </w:tcPr>
                <w:p w14:paraId="596EEB36">
                  <w:pPr>
                    <w:pStyle w:val="40"/>
                    <w:bidi w:val="0"/>
                    <w:jc w:val="center"/>
                    <w:rPr>
                      <w:rFonts w:hint="default"/>
                      <w:lang w:val="en-US" w:eastAsia="zh-CN"/>
                    </w:rPr>
                  </w:pPr>
                  <w:r>
                    <w:rPr>
                      <w:rFonts w:hint="default"/>
                      <w:lang w:val="en-US" w:eastAsia="zh-CN"/>
                    </w:rPr>
                    <w:t>颗粒物</w:t>
                  </w:r>
                </w:p>
              </w:tc>
              <w:tc>
                <w:tcPr>
                  <w:tcW w:w="1304" w:type="dxa"/>
                  <w:vAlign w:val="center"/>
                </w:tcPr>
                <w:p w14:paraId="2515DBE6">
                  <w:pPr>
                    <w:pStyle w:val="40"/>
                    <w:bidi w:val="0"/>
                    <w:jc w:val="center"/>
                    <w:rPr>
                      <w:rFonts w:hint="default"/>
                      <w:lang w:val="en-US" w:eastAsia="zh-CN"/>
                    </w:rPr>
                  </w:pPr>
                  <w:r>
                    <w:t>1次/</w:t>
                  </w:r>
                  <w:r>
                    <w:rPr>
                      <w:rFonts w:hint="eastAsia"/>
                      <w:lang w:val="en-US" w:eastAsia="zh-CN"/>
                    </w:rPr>
                    <w:t>两</w:t>
                  </w:r>
                  <w:r>
                    <w:t>年</w:t>
                  </w:r>
                </w:p>
              </w:tc>
              <w:tc>
                <w:tcPr>
                  <w:tcW w:w="3001" w:type="dxa"/>
                  <w:vAlign w:val="center"/>
                </w:tcPr>
                <w:p w14:paraId="5704CB62">
                  <w:pPr>
                    <w:pStyle w:val="40"/>
                    <w:bidi w:val="0"/>
                    <w:jc w:val="center"/>
                    <w:rPr>
                      <w:rFonts w:hint="default"/>
                      <w:lang w:val="en-US" w:eastAsia="zh-CN"/>
                    </w:rPr>
                  </w:pPr>
                  <w:r>
                    <w:rPr>
                      <w:rFonts w:hint="default"/>
                    </w:rPr>
                    <w:t>《水泥工业大气污染物排放标准》（GB4915-2013）</w:t>
                  </w:r>
                  <w:r>
                    <w:rPr>
                      <w:rFonts w:hint="default"/>
                      <w:lang w:eastAsia="zh-CN"/>
                    </w:rPr>
                    <w:t>中</w:t>
                  </w:r>
                  <w:r>
                    <w:rPr>
                      <w:rFonts w:hint="default"/>
                    </w:rPr>
                    <w:t>表</w:t>
                  </w:r>
                  <w:r>
                    <w:rPr>
                      <w:rFonts w:hint="eastAsia"/>
                      <w:lang w:val="en-US" w:eastAsia="zh-CN"/>
                    </w:rPr>
                    <w:t>1大气污染物排放限值要求</w:t>
                  </w:r>
                </w:p>
              </w:tc>
            </w:tr>
            <w:tr w14:paraId="5D545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14" w:type="dxa"/>
                  <w:vAlign w:val="center"/>
                </w:tcPr>
                <w:p w14:paraId="74DA4546">
                  <w:pPr>
                    <w:pStyle w:val="40"/>
                    <w:bidi w:val="0"/>
                    <w:rPr>
                      <w:rFonts w:hint="eastAsia"/>
                      <w:lang w:val="en-US" w:eastAsia="zh-CN"/>
                    </w:rPr>
                  </w:pPr>
                  <w:r>
                    <w:rPr>
                      <w:rFonts w:hint="default"/>
                    </w:rPr>
                    <w:t>无组织废气</w:t>
                  </w:r>
                </w:p>
              </w:tc>
              <w:tc>
                <w:tcPr>
                  <w:tcW w:w="1710" w:type="dxa"/>
                  <w:shd w:val="clear" w:color="auto" w:fill="auto"/>
                  <w:vAlign w:val="center"/>
                </w:tcPr>
                <w:p w14:paraId="2AF0E1CA">
                  <w:pPr>
                    <w:pStyle w:val="40"/>
                    <w:bidi w:val="0"/>
                    <w:jc w:val="center"/>
                    <w:rPr>
                      <w:rFonts w:hint="default" w:ascii="Times New Roman" w:hAnsi="Times New Roman" w:eastAsia="宋体" w:cs="Times New Roman"/>
                      <w:kern w:val="2"/>
                      <w:sz w:val="21"/>
                      <w:szCs w:val="21"/>
                      <w:lang w:val="en-US" w:eastAsia="zh-CN" w:bidi="ar-SA"/>
                    </w:rPr>
                  </w:pPr>
                  <w:r>
                    <w:rPr>
                      <w:rFonts w:hint="eastAsia"/>
                      <w:lang w:val="en-US" w:eastAsia="zh-CN"/>
                    </w:rPr>
                    <w:t>厂界</w:t>
                  </w:r>
                </w:p>
              </w:tc>
              <w:tc>
                <w:tcPr>
                  <w:tcW w:w="1142" w:type="dxa"/>
                  <w:shd w:val="clear" w:color="auto" w:fill="auto"/>
                  <w:vAlign w:val="center"/>
                </w:tcPr>
                <w:p w14:paraId="5881CC61">
                  <w:pPr>
                    <w:pStyle w:val="40"/>
                    <w:bidi w:val="0"/>
                    <w:jc w:val="center"/>
                    <w:rPr>
                      <w:rFonts w:hint="eastAsia" w:ascii="Times New Roman" w:hAnsi="Times New Roman" w:eastAsia="宋体" w:cs="Times New Roman"/>
                      <w:kern w:val="2"/>
                      <w:sz w:val="21"/>
                      <w:szCs w:val="21"/>
                      <w:lang w:val="en-US" w:eastAsia="zh-CN" w:bidi="ar-SA"/>
                    </w:rPr>
                  </w:pPr>
                  <w:r>
                    <w:rPr>
                      <w:rFonts w:hint="eastAsia"/>
                      <w:lang w:val="en-US" w:eastAsia="zh-CN"/>
                    </w:rPr>
                    <w:t>颗粒物</w:t>
                  </w:r>
                </w:p>
              </w:tc>
              <w:tc>
                <w:tcPr>
                  <w:tcW w:w="1304" w:type="dxa"/>
                  <w:shd w:val="clear" w:color="auto" w:fill="auto"/>
                  <w:vAlign w:val="center"/>
                </w:tcPr>
                <w:p w14:paraId="1053655C">
                  <w:pPr>
                    <w:pStyle w:val="40"/>
                    <w:bidi w:val="0"/>
                    <w:jc w:val="center"/>
                    <w:rPr>
                      <w:rFonts w:hint="eastAsia" w:ascii="Times New Roman" w:hAnsi="Times New Roman" w:eastAsia="宋体" w:cs="Times New Roman"/>
                      <w:kern w:val="2"/>
                      <w:sz w:val="21"/>
                      <w:szCs w:val="21"/>
                      <w:lang w:val="en-US" w:eastAsia="zh-CN" w:bidi="ar-SA"/>
                    </w:rPr>
                  </w:pPr>
                  <w:r>
                    <w:t>1次/</w:t>
                  </w:r>
                  <w:r>
                    <w:rPr>
                      <w:rFonts w:hint="eastAsia"/>
                      <w:lang w:val="en-US" w:eastAsia="zh-CN"/>
                    </w:rPr>
                    <w:t>季</w:t>
                  </w:r>
                </w:p>
              </w:tc>
              <w:tc>
                <w:tcPr>
                  <w:tcW w:w="3001" w:type="dxa"/>
                  <w:shd w:val="clear" w:color="auto" w:fill="auto"/>
                  <w:vAlign w:val="center"/>
                </w:tcPr>
                <w:p w14:paraId="0DD8FF71">
                  <w:pPr>
                    <w:pStyle w:val="40"/>
                    <w:bidi w:val="0"/>
                    <w:jc w:val="center"/>
                    <w:rPr>
                      <w:rFonts w:hint="default" w:ascii="Times New Roman" w:hAnsi="Times New Roman" w:eastAsia="宋体" w:cs="Times New Roman"/>
                      <w:kern w:val="2"/>
                      <w:sz w:val="21"/>
                      <w:szCs w:val="21"/>
                      <w:lang w:val="en-US" w:eastAsia="zh-CN" w:bidi="ar-SA"/>
                    </w:rPr>
                  </w:pPr>
                  <w:r>
                    <w:rPr>
                      <w:rFonts w:hint="default"/>
                    </w:rPr>
                    <w:t>《水泥工业大气污染物排放标准》（GB4915-2013）</w:t>
                  </w:r>
                  <w:r>
                    <w:rPr>
                      <w:rFonts w:hint="default"/>
                      <w:lang w:eastAsia="zh-CN"/>
                    </w:rPr>
                    <w:t>中</w:t>
                  </w:r>
                  <w:r>
                    <w:rPr>
                      <w:rFonts w:hint="default"/>
                    </w:rPr>
                    <w:t>表</w:t>
                  </w:r>
                  <w:r>
                    <w:rPr>
                      <w:rFonts w:hint="default"/>
                      <w:lang w:val="en-US" w:eastAsia="zh-CN"/>
                    </w:rPr>
                    <w:t>3无组织排放标准要求</w:t>
                  </w:r>
                </w:p>
              </w:tc>
            </w:tr>
          </w:tbl>
          <w:p w14:paraId="1CB23ECF">
            <w:pPr>
              <w:pStyle w:val="2"/>
              <w:bidi w:val="0"/>
              <w:rPr>
                <w:rFonts w:hint="eastAsia"/>
                <w:lang w:val="en-US" w:eastAsia="zh-CN"/>
              </w:rPr>
            </w:pPr>
            <w:r>
              <w:rPr>
                <w:rFonts w:hint="eastAsia"/>
                <w:lang w:val="en-US" w:eastAsia="zh-CN"/>
              </w:rPr>
              <w:t>2.水环境影响和保护措施</w:t>
            </w:r>
          </w:p>
          <w:p w14:paraId="79D6F15E">
            <w:pPr>
              <w:pStyle w:val="2"/>
              <w:bidi w:val="0"/>
              <w:rPr>
                <w:rFonts w:hint="eastAsia"/>
                <w:lang w:val="en-US" w:eastAsia="zh-CN"/>
              </w:rPr>
            </w:pPr>
            <w:r>
              <w:rPr>
                <w:rFonts w:hint="eastAsia"/>
                <w:lang w:val="en-US" w:eastAsia="zh-CN"/>
              </w:rPr>
              <w:t>2.1废水治理措施</w:t>
            </w:r>
          </w:p>
          <w:p w14:paraId="67369347">
            <w:pPr>
              <w:pStyle w:val="8"/>
              <w:bidi w:val="0"/>
              <w:rPr>
                <w:rFonts w:hint="eastAsia"/>
                <w:lang w:val="en-US" w:eastAsia="zh-CN"/>
              </w:rPr>
            </w:pPr>
            <w:r>
              <w:rPr>
                <w:rFonts w:hint="default"/>
                <w:lang w:val="en-US" w:eastAsia="zh-CN"/>
              </w:rPr>
              <w:t>本项目用水主要为员工生活用水和生产用水</w:t>
            </w:r>
            <w:r>
              <w:rPr>
                <w:rFonts w:hint="eastAsia"/>
                <w:lang w:val="en-US" w:eastAsia="zh-CN"/>
              </w:rPr>
              <w:t>。生产废水回用，不外排；生活污水经化粪池处理后拉运至若羌县城镇污水处理厂进行集中处理，其中食堂废水经隔油池处理后与生活污水一同排入化粪池。本项目生活污水中主要污染物的产生及排放情况见下表。</w:t>
            </w:r>
          </w:p>
          <w:p w14:paraId="2FC2C311">
            <w:pPr>
              <w:pStyle w:val="42"/>
              <w:bidi w:val="0"/>
              <w:rPr>
                <w:rFonts w:hint="default"/>
                <w:lang w:val="en-US" w:eastAsia="zh-CN"/>
              </w:rPr>
            </w:pPr>
            <w:bookmarkStart w:id="23" w:name="OLE_LINK7"/>
            <w:r>
              <w:rPr>
                <w:rFonts w:hint="default"/>
                <w:lang w:val="en-US" w:eastAsia="zh-CN"/>
              </w:rPr>
              <w:t>表4-</w:t>
            </w:r>
            <w:r>
              <w:rPr>
                <w:rFonts w:hint="eastAsia"/>
                <w:lang w:val="en-US" w:eastAsia="zh-CN"/>
              </w:rPr>
              <w:t>6</w:t>
            </w:r>
            <w:r>
              <w:rPr>
                <w:rFonts w:hint="default"/>
                <w:lang w:val="en-US" w:eastAsia="zh-CN"/>
              </w:rPr>
              <w:t xml:space="preserve">    项目生活污水产生和排放情况一览表</w:t>
            </w:r>
            <w:bookmarkEnd w:id="23"/>
          </w:p>
          <w:tbl>
            <w:tblPr>
              <w:tblStyle w:val="22"/>
              <w:tblW w:w="496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6"/>
              <w:gridCol w:w="647"/>
              <w:gridCol w:w="1148"/>
              <w:gridCol w:w="842"/>
              <w:gridCol w:w="1131"/>
              <w:gridCol w:w="1073"/>
              <w:gridCol w:w="2133"/>
            </w:tblGrid>
            <w:tr w14:paraId="08598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494" w:type="pct"/>
                  <w:vMerge w:val="restart"/>
                  <w:noWrap w:val="0"/>
                  <w:vAlign w:val="center"/>
                </w:tcPr>
                <w:p w14:paraId="10872522">
                  <w:pPr>
                    <w:pStyle w:val="40"/>
                    <w:bidi w:val="0"/>
                    <w:rPr>
                      <w:lang w:val="en-US" w:eastAsia="zh-CN"/>
                    </w:rPr>
                  </w:pPr>
                  <w:r>
                    <w:rPr>
                      <w:lang w:val="en-US" w:eastAsia="zh-CN"/>
                    </w:rPr>
                    <w:t>污染物</w:t>
                  </w:r>
                </w:p>
              </w:tc>
              <w:tc>
                <w:tcPr>
                  <w:tcW w:w="1703" w:type="pct"/>
                  <w:gridSpan w:val="3"/>
                  <w:noWrap w:val="0"/>
                  <w:vAlign w:val="center"/>
                </w:tcPr>
                <w:p w14:paraId="4CC18F61">
                  <w:pPr>
                    <w:pStyle w:val="40"/>
                    <w:bidi w:val="0"/>
                    <w:rPr>
                      <w:rFonts w:hint="eastAsia"/>
                      <w:lang w:val="en-US" w:eastAsia="zh-CN"/>
                    </w:rPr>
                  </w:pPr>
                  <w:r>
                    <w:rPr>
                      <w:rFonts w:hint="eastAsia"/>
                      <w:lang w:val="en-US" w:eastAsia="zh-CN"/>
                    </w:rPr>
                    <w:t>污染物</w:t>
                  </w:r>
                  <w:r>
                    <w:rPr>
                      <w:lang w:val="en-US" w:eastAsia="zh-CN"/>
                    </w:rPr>
                    <w:t>产生情况</w:t>
                  </w:r>
                </w:p>
              </w:tc>
              <w:tc>
                <w:tcPr>
                  <w:tcW w:w="730" w:type="pct"/>
                  <w:tcBorders>
                    <w:right w:val="single" w:color="auto" w:sz="4" w:space="0"/>
                  </w:tcBorders>
                  <w:noWrap w:val="0"/>
                  <w:vAlign w:val="center"/>
                </w:tcPr>
                <w:p w14:paraId="37FFDCAC">
                  <w:pPr>
                    <w:pStyle w:val="40"/>
                    <w:bidi w:val="0"/>
                    <w:rPr>
                      <w:rFonts w:hint="eastAsia"/>
                      <w:lang w:val="en-US" w:eastAsia="zh-CN"/>
                    </w:rPr>
                  </w:pPr>
                  <w:r>
                    <w:rPr>
                      <w:lang w:val="en-US" w:eastAsia="zh-CN"/>
                    </w:rPr>
                    <w:t>治理措施</w:t>
                  </w:r>
                </w:p>
              </w:tc>
              <w:tc>
                <w:tcPr>
                  <w:tcW w:w="692" w:type="pct"/>
                  <w:vMerge w:val="restart"/>
                  <w:noWrap w:val="0"/>
                  <w:vAlign w:val="center"/>
                </w:tcPr>
                <w:p w14:paraId="1C5869BF">
                  <w:pPr>
                    <w:pStyle w:val="40"/>
                    <w:bidi w:val="0"/>
                    <w:rPr>
                      <w:rFonts w:hint="eastAsia"/>
                      <w:lang w:val="en-US" w:eastAsia="zh-CN"/>
                    </w:rPr>
                  </w:pPr>
                  <w:r>
                    <w:rPr>
                      <w:lang w:val="en-US" w:eastAsia="zh-CN"/>
                    </w:rPr>
                    <w:t>排放标准</w:t>
                  </w:r>
                  <w:r>
                    <w:rPr>
                      <w:rFonts w:hint="eastAsia"/>
                      <w:lang w:val="en-US" w:eastAsia="zh-CN"/>
                    </w:rPr>
                    <w:t>（</w:t>
                  </w:r>
                  <w:r>
                    <w:rPr>
                      <w:lang w:val="en-US" w:eastAsia="zh-CN"/>
                    </w:rPr>
                    <w:t>mg/L</w:t>
                  </w:r>
                  <w:r>
                    <w:rPr>
                      <w:rFonts w:hint="eastAsia"/>
                      <w:lang w:val="en-US" w:eastAsia="zh-CN"/>
                    </w:rPr>
                    <w:t>）</w:t>
                  </w:r>
                </w:p>
              </w:tc>
              <w:tc>
                <w:tcPr>
                  <w:tcW w:w="1378" w:type="pct"/>
                  <w:vMerge w:val="restart"/>
                  <w:noWrap w:val="0"/>
                  <w:vAlign w:val="center"/>
                </w:tcPr>
                <w:p w14:paraId="45A25D07">
                  <w:pPr>
                    <w:pStyle w:val="40"/>
                    <w:bidi w:val="0"/>
                    <w:rPr>
                      <w:rFonts w:hint="eastAsia"/>
                      <w:lang w:val="en-US" w:eastAsia="zh-CN"/>
                    </w:rPr>
                  </w:pPr>
                  <w:r>
                    <w:rPr>
                      <w:rFonts w:hint="eastAsia"/>
                      <w:lang w:val="en-US" w:eastAsia="zh-CN"/>
                    </w:rPr>
                    <w:t>最终去向</w:t>
                  </w:r>
                </w:p>
              </w:tc>
            </w:tr>
            <w:tr w14:paraId="497C0A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4" w:hRule="atLeast"/>
              </w:trPr>
              <w:tc>
                <w:tcPr>
                  <w:tcW w:w="494" w:type="pct"/>
                  <w:vMerge w:val="continue"/>
                  <w:noWrap w:val="0"/>
                  <w:vAlign w:val="center"/>
                </w:tcPr>
                <w:p w14:paraId="21E3F263">
                  <w:pPr>
                    <w:pStyle w:val="40"/>
                    <w:bidi w:val="0"/>
                    <w:rPr>
                      <w:lang w:val="en-US" w:eastAsia="zh-CN"/>
                    </w:rPr>
                  </w:pPr>
                </w:p>
              </w:tc>
              <w:tc>
                <w:tcPr>
                  <w:tcW w:w="417" w:type="pct"/>
                  <w:vMerge w:val="restart"/>
                  <w:noWrap w:val="0"/>
                  <w:vAlign w:val="center"/>
                </w:tcPr>
                <w:p w14:paraId="644686CA">
                  <w:pPr>
                    <w:pStyle w:val="40"/>
                    <w:bidi w:val="0"/>
                    <w:rPr>
                      <w:lang w:val="en-US" w:eastAsia="zh-CN"/>
                    </w:rPr>
                  </w:pPr>
                  <w:r>
                    <w:rPr>
                      <w:lang w:val="en-US" w:eastAsia="zh-CN"/>
                    </w:rPr>
                    <w:t>核算方法</w:t>
                  </w:r>
                </w:p>
              </w:tc>
              <w:tc>
                <w:tcPr>
                  <w:tcW w:w="1285" w:type="pct"/>
                  <w:gridSpan w:val="2"/>
                  <w:noWrap w:val="0"/>
                  <w:vAlign w:val="center"/>
                </w:tcPr>
                <w:p w14:paraId="617C59C8">
                  <w:pPr>
                    <w:pStyle w:val="40"/>
                    <w:bidi w:val="0"/>
                    <w:rPr>
                      <w:lang w:val="en-US" w:eastAsia="zh-CN"/>
                    </w:rPr>
                  </w:pPr>
                  <w:r>
                    <w:rPr>
                      <w:lang w:val="en-US" w:eastAsia="zh-CN"/>
                    </w:rPr>
                    <w:t>生活污水</w:t>
                  </w:r>
                  <w:r>
                    <w:rPr>
                      <w:rFonts w:hint="eastAsia"/>
                      <w:lang w:val="en-US" w:eastAsia="zh-CN"/>
                    </w:rPr>
                    <w:t>768m</w:t>
                  </w:r>
                  <w:r>
                    <w:rPr>
                      <w:rFonts w:hint="eastAsia"/>
                      <w:vertAlign w:val="superscript"/>
                      <w:lang w:val="en-US" w:eastAsia="zh-CN"/>
                    </w:rPr>
                    <w:t>3</w:t>
                  </w:r>
                  <w:r>
                    <w:rPr>
                      <w:rFonts w:hint="default"/>
                      <w:lang w:val="en-US" w:eastAsia="zh-CN"/>
                    </w:rPr>
                    <w:t>/a</w:t>
                  </w:r>
                </w:p>
              </w:tc>
              <w:tc>
                <w:tcPr>
                  <w:tcW w:w="730" w:type="pct"/>
                  <w:vMerge w:val="restart"/>
                  <w:tcBorders>
                    <w:right w:val="single" w:color="auto" w:sz="4" w:space="0"/>
                  </w:tcBorders>
                  <w:noWrap w:val="0"/>
                  <w:vAlign w:val="center"/>
                </w:tcPr>
                <w:p w14:paraId="008224AF">
                  <w:pPr>
                    <w:pStyle w:val="40"/>
                    <w:bidi w:val="0"/>
                    <w:rPr>
                      <w:lang w:val="en-US" w:eastAsia="zh-CN"/>
                    </w:rPr>
                  </w:pPr>
                  <w:r>
                    <w:rPr>
                      <w:lang w:val="en-US" w:eastAsia="zh-CN"/>
                    </w:rPr>
                    <w:t>工艺</w:t>
                  </w:r>
                </w:p>
              </w:tc>
              <w:tc>
                <w:tcPr>
                  <w:tcW w:w="692" w:type="pct"/>
                  <w:vMerge w:val="continue"/>
                  <w:noWrap w:val="0"/>
                  <w:vAlign w:val="center"/>
                </w:tcPr>
                <w:p w14:paraId="0B55D7B4">
                  <w:pPr>
                    <w:pStyle w:val="40"/>
                    <w:bidi w:val="0"/>
                    <w:rPr>
                      <w:lang w:val="en-US" w:eastAsia="zh-CN"/>
                    </w:rPr>
                  </w:pPr>
                </w:p>
              </w:tc>
              <w:tc>
                <w:tcPr>
                  <w:tcW w:w="1378" w:type="pct"/>
                  <w:vMerge w:val="continue"/>
                  <w:noWrap w:val="0"/>
                  <w:vAlign w:val="center"/>
                </w:tcPr>
                <w:p w14:paraId="6A7C1E87">
                  <w:pPr>
                    <w:pStyle w:val="40"/>
                    <w:bidi w:val="0"/>
                    <w:rPr>
                      <w:lang w:val="en-US" w:eastAsia="zh-CN"/>
                    </w:rPr>
                  </w:pPr>
                </w:p>
              </w:tc>
            </w:tr>
            <w:tr w14:paraId="1D0F9B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8" w:hRule="atLeast"/>
              </w:trPr>
              <w:tc>
                <w:tcPr>
                  <w:tcW w:w="494" w:type="pct"/>
                  <w:vMerge w:val="continue"/>
                  <w:noWrap w:val="0"/>
                  <w:vAlign w:val="center"/>
                </w:tcPr>
                <w:p w14:paraId="5934E0A0">
                  <w:pPr>
                    <w:pStyle w:val="40"/>
                    <w:bidi w:val="0"/>
                    <w:rPr>
                      <w:lang w:val="en-US" w:eastAsia="zh-CN"/>
                    </w:rPr>
                  </w:pPr>
                </w:p>
              </w:tc>
              <w:tc>
                <w:tcPr>
                  <w:tcW w:w="417" w:type="pct"/>
                  <w:vMerge w:val="continue"/>
                  <w:noWrap w:val="0"/>
                  <w:vAlign w:val="center"/>
                </w:tcPr>
                <w:p w14:paraId="0873A038">
                  <w:pPr>
                    <w:pStyle w:val="40"/>
                    <w:bidi w:val="0"/>
                    <w:rPr>
                      <w:lang w:val="en-US" w:eastAsia="zh-CN"/>
                    </w:rPr>
                  </w:pPr>
                </w:p>
              </w:tc>
              <w:tc>
                <w:tcPr>
                  <w:tcW w:w="741" w:type="pct"/>
                  <w:noWrap w:val="0"/>
                  <w:vAlign w:val="center"/>
                </w:tcPr>
                <w:p w14:paraId="44BB8A96">
                  <w:pPr>
                    <w:pStyle w:val="40"/>
                    <w:bidi w:val="0"/>
                    <w:rPr>
                      <w:lang w:val="en-US" w:eastAsia="zh-CN"/>
                    </w:rPr>
                  </w:pPr>
                  <w:r>
                    <w:rPr>
                      <w:rFonts w:hint="eastAsia"/>
                      <w:lang w:val="en-US" w:eastAsia="zh-CN"/>
                    </w:rPr>
                    <w:t>产生</w:t>
                  </w:r>
                  <w:r>
                    <w:rPr>
                      <w:lang w:val="en-US" w:eastAsia="zh-CN"/>
                    </w:rPr>
                    <w:t>浓度</w:t>
                  </w:r>
                  <w:r>
                    <w:rPr>
                      <w:rFonts w:hint="eastAsia"/>
                      <w:lang w:val="en-US" w:eastAsia="zh-CN"/>
                    </w:rPr>
                    <w:t>mg/L</w:t>
                  </w:r>
                </w:p>
              </w:tc>
              <w:tc>
                <w:tcPr>
                  <w:tcW w:w="543" w:type="pct"/>
                  <w:noWrap w:val="0"/>
                  <w:vAlign w:val="center"/>
                </w:tcPr>
                <w:p w14:paraId="0793BF93">
                  <w:pPr>
                    <w:pStyle w:val="40"/>
                    <w:bidi w:val="0"/>
                    <w:rPr>
                      <w:lang w:val="en-US" w:eastAsia="zh-CN"/>
                    </w:rPr>
                  </w:pPr>
                  <w:r>
                    <w:rPr>
                      <w:rFonts w:hint="eastAsia"/>
                      <w:lang w:val="en-US" w:eastAsia="zh-CN"/>
                    </w:rPr>
                    <w:t>产生量t/a</w:t>
                  </w:r>
                </w:p>
              </w:tc>
              <w:tc>
                <w:tcPr>
                  <w:tcW w:w="730" w:type="pct"/>
                  <w:vMerge w:val="continue"/>
                  <w:noWrap w:val="0"/>
                  <w:vAlign w:val="center"/>
                </w:tcPr>
                <w:p w14:paraId="2FF2220C">
                  <w:pPr>
                    <w:pStyle w:val="40"/>
                    <w:bidi w:val="0"/>
                    <w:rPr>
                      <w:rFonts w:hint="eastAsia"/>
                      <w:lang w:val="en-US" w:eastAsia="zh-CN"/>
                    </w:rPr>
                  </w:pPr>
                </w:p>
              </w:tc>
              <w:tc>
                <w:tcPr>
                  <w:tcW w:w="692" w:type="pct"/>
                  <w:vMerge w:val="continue"/>
                  <w:noWrap w:val="0"/>
                  <w:vAlign w:val="center"/>
                </w:tcPr>
                <w:p w14:paraId="5B127E75">
                  <w:pPr>
                    <w:pStyle w:val="40"/>
                    <w:bidi w:val="0"/>
                    <w:rPr>
                      <w:lang w:val="en-US" w:eastAsia="zh-CN"/>
                    </w:rPr>
                  </w:pPr>
                </w:p>
              </w:tc>
              <w:tc>
                <w:tcPr>
                  <w:tcW w:w="1378" w:type="pct"/>
                  <w:vMerge w:val="continue"/>
                  <w:noWrap w:val="0"/>
                  <w:vAlign w:val="center"/>
                </w:tcPr>
                <w:p w14:paraId="1C2B62AE">
                  <w:pPr>
                    <w:pStyle w:val="40"/>
                    <w:bidi w:val="0"/>
                    <w:rPr>
                      <w:lang w:val="en-US" w:eastAsia="zh-CN"/>
                    </w:rPr>
                  </w:pPr>
                </w:p>
              </w:tc>
            </w:tr>
            <w:tr w14:paraId="3EE014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494" w:type="pct"/>
                  <w:noWrap w:val="0"/>
                  <w:vAlign w:val="center"/>
                </w:tcPr>
                <w:p w14:paraId="3B461857">
                  <w:pPr>
                    <w:pStyle w:val="40"/>
                    <w:bidi w:val="0"/>
                    <w:rPr>
                      <w:lang w:val="en-US" w:eastAsia="zh-CN"/>
                    </w:rPr>
                  </w:pPr>
                  <w:r>
                    <w:rPr>
                      <w:lang w:val="en-US" w:eastAsia="zh-CN"/>
                    </w:rPr>
                    <w:t>COD</w:t>
                  </w:r>
                </w:p>
              </w:tc>
              <w:tc>
                <w:tcPr>
                  <w:tcW w:w="417" w:type="pct"/>
                  <w:vMerge w:val="restart"/>
                  <w:tcBorders>
                    <w:top w:val="single" w:color="auto" w:sz="4" w:space="0"/>
                  </w:tcBorders>
                  <w:noWrap w:val="0"/>
                  <w:vAlign w:val="center"/>
                </w:tcPr>
                <w:p w14:paraId="00C40BFB">
                  <w:pPr>
                    <w:pStyle w:val="40"/>
                    <w:bidi w:val="0"/>
                    <w:rPr>
                      <w:rFonts w:hint="eastAsia"/>
                      <w:lang w:val="en-US" w:eastAsia="zh-CN"/>
                    </w:rPr>
                  </w:pPr>
                  <w:r>
                    <w:rPr>
                      <w:rFonts w:hint="eastAsia"/>
                      <w:lang w:val="en-US" w:eastAsia="zh-CN"/>
                    </w:rPr>
                    <w:t>类比法</w:t>
                  </w:r>
                </w:p>
              </w:tc>
              <w:tc>
                <w:tcPr>
                  <w:tcW w:w="741" w:type="pct"/>
                  <w:noWrap w:val="0"/>
                  <w:vAlign w:val="center"/>
                </w:tcPr>
                <w:p w14:paraId="1BA463B3">
                  <w:pPr>
                    <w:pStyle w:val="40"/>
                    <w:bidi w:val="0"/>
                    <w:rPr>
                      <w:lang w:val="en-US" w:eastAsia="zh-CN"/>
                    </w:rPr>
                  </w:pPr>
                  <w:r>
                    <w:rPr>
                      <w:rFonts w:hint="eastAsia"/>
                      <w:lang w:val="en-US" w:eastAsia="zh-CN"/>
                    </w:rPr>
                    <w:t>350</w:t>
                  </w:r>
                </w:p>
              </w:tc>
              <w:tc>
                <w:tcPr>
                  <w:tcW w:w="543" w:type="pct"/>
                  <w:noWrap w:val="0"/>
                  <w:vAlign w:val="center"/>
                </w:tcPr>
                <w:p w14:paraId="523F24ED">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0.269 </w:t>
                  </w:r>
                </w:p>
              </w:tc>
              <w:tc>
                <w:tcPr>
                  <w:tcW w:w="730" w:type="pct"/>
                  <w:vMerge w:val="restart"/>
                  <w:noWrap w:val="0"/>
                  <w:vAlign w:val="center"/>
                </w:tcPr>
                <w:p w14:paraId="0163125B">
                  <w:pPr>
                    <w:pStyle w:val="40"/>
                    <w:bidi w:val="0"/>
                    <w:rPr>
                      <w:lang w:val="en-US" w:eastAsia="zh-CN"/>
                    </w:rPr>
                  </w:pPr>
                  <w:r>
                    <w:rPr>
                      <w:lang w:val="en-US" w:eastAsia="zh-CN"/>
                    </w:rPr>
                    <w:t>化粪池</w:t>
                  </w:r>
                  <w:r>
                    <w:rPr>
                      <w:rFonts w:hint="eastAsia"/>
                      <w:lang w:val="en-US" w:eastAsia="zh-CN"/>
                    </w:rPr>
                    <w:t>预</w:t>
                  </w:r>
                  <w:r>
                    <w:rPr>
                      <w:lang w:val="en-US" w:eastAsia="zh-CN"/>
                    </w:rPr>
                    <w:t>处理</w:t>
                  </w:r>
                </w:p>
              </w:tc>
              <w:tc>
                <w:tcPr>
                  <w:tcW w:w="692" w:type="pct"/>
                  <w:noWrap w:val="0"/>
                  <w:vAlign w:val="center"/>
                </w:tcPr>
                <w:p w14:paraId="40E277EF">
                  <w:pPr>
                    <w:pStyle w:val="40"/>
                    <w:bidi w:val="0"/>
                    <w:rPr>
                      <w:lang w:val="en-US" w:eastAsia="zh-CN"/>
                    </w:rPr>
                  </w:pPr>
                  <w:r>
                    <w:rPr>
                      <w:lang w:val="en-US" w:eastAsia="zh-CN"/>
                    </w:rPr>
                    <w:t>500</w:t>
                  </w:r>
                </w:p>
              </w:tc>
              <w:tc>
                <w:tcPr>
                  <w:tcW w:w="1378" w:type="pct"/>
                  <w:vMerge w:val="restart"/>
                  <w:noWrap w:val="0"/>
                  <w:vAlign w:val="center"/>
                </w:tcPr>
                <w:p w14:paraId="3ED14327">
                  <w:pPr>
                    <w:pStyle w:val="40"/>
                    <w:bidi w:val="0"/>
                    <w:rPr>
                      <w:lang w:val="en-US" w:eastAsia="zh-CN"/>
                    </w:rPr>
                  </w:pPr>
                  <w:r>
                    <w:rPr>
                      <w:rFonts w:hint="eastAsia"/>
                      <w:lang w:val="en-US" w:eastAsia="zh-CN"/>
                    </w:rPr>
                    <w:t>本项目生活污水经化粪池处理后拉运至若羌县城镇污水处理厂进行集中处理</w:t>
                  </w:r>
                </w:p>
              </w:tc>
            </w:tr>
            <w:tr w14:paraId="34316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94" w:type="pct"/>
                  <w:noWrap w:val="0"/>
                  <w:vAlign w:val="center"/>
                </w:tcPr>
                <w:p w14:paraId="112196D2">
                  <w:pPr>
                    <w:pStyle w:val="40"/>
                    <w:bidi w:val="0"/>
                    <w:rPr>
                      <w:rFonts w:hint="eastAsia"/>
                      <w:lang w:val="en-US" w:eastAsia="zh-CN"/>
                    </w:rPr>
                  </w:pPr>
                  <w:r>
                    <w:rPr>
                      <w:lang w:val="en-US" w:eastAsia="zh-CN"/>
                    </w:rPr>
                    <w:t>BOD</w:t>
                  </w:r>
                  <w:r>
                    <w:rPr>
                      <w:rFonts w:hint="eastAsia"/>
                      <w:vertAlign w:val="subscript"/>
                      <w:lang w:val="en-US" w:eastAsia="zh-CN"/>
                    </w:rPr>
                    <w:t>5</w:t>
                  </w:r>
                </w:p>
              </w:tc>
              <w:tc>
                <w:tcPr>
                  <w:tcW w:w="417" w:type="pct"/>
                  <w:vMerge w:val="continue"/>
                  <w:noWrap w:val="0"/>
                  <w:vAlign w:val="center"/>
                </w:tcPr>
                <w:p w14:paraId="49FBC561">
                  <w:pPr>
                    <w:pStyle w:val="40"/>
                    <w:bidi w:val="0"/>
                    <w:rPr>
                      <w:lang w:val="en-US" w:eastAsia="zh-CN"/>
                    </w:rPr>
                  </w:pPr>
                </w:p>
              </w:tc>
              <w:tc>
                <w:tcPr>
                  <w:tcW w:w="741" w:type="pct"/>
                  <w:noWrap w:val="0"/>
                  <w:vAlign w:val="center"/>
                </w:tcPr>
                <w:p w14:paraId="648645AE">
                  <w:pPr>
                    <w:pStyle w:val="40"/>
                    <w:bidi w:val="0"/>
                    <w:rPr>
                      <w:lang w:val="en-US" w:eastAsia="zh-CN"/>
                    </w:rPr>
                  </w:pPr>
                  <w:r>
                    <w:rPr>
                      <w:lang w:val="en-US" w:eastAsia="zh-CN"/>
                    </w:rPr>
                    <w:t>250</w:t>
                  </w:r>
                </w:p>
              </w:tc>
              <w:tc>
                <w:tcPr>
                  <w:tcW w:w="543" w:type="pct"/>
                  <w:noWrap w:val="0"/>
                  <w:vAlign w:val="center"/>
                </w:tcPr>
                <w:p w14:paraId="07E8CF06">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0.192 </w:t>
                  </w:r>
                </w:p>
              </w:tc>
              <w:tc>
                <w:tcPr>
                  <w:tcW w:w="730" w:type="pct"/>
                  <w:vMerge w:val="continue"/>
                  <w:noWrap w:val="0"/>
                  <w:vAlign w:val="center"/>
                </w:tcPr>
                <w:p w14:paraId="58D8A888">
                  <w:pPr>
                    <w:pStyle w:val="40"/>
                    <w:bidi w:val="0"/>
                    <w:rPr>
                      <w:lang w:val="en-US" w:eastAsia="zh-CN"/>
                    </w:rPr>
                  </w:pPr>
                </w:p>
              </w:tc>
              <w:tc>
                <w:tcPr>
                  <w:tcW w:w="692" w:type="pct"/>
                  <w:noWrap w:val="0"/>
                  <w:vAlign w:val="center"/>
                </w:tcPr>
                <w:p w14:paraId="5C7BE134">
                  <w:pPr>
                    <w:pStyle w:val="40"/>
                    <w:bidi w:val="0"/>
                    <w:rPr>
                      <w:lang w:val="en-US" w:eastAsia="zh-CN"/>
                    </w:rPr>
                  </w:pPr>
                  <w:r>
                    <w:rPr>
                      <w:lang w:val="en-US" w:eastAsia="zh-CN"/>
                    </w:rPr>
                    <w:t>300</w:t>
                  </w:r>
                </w:p>
              </w:tc>
              <w:tc>
                <w:tcPr>
                  <w:tcW w:w="1378" w:type="pct"/>
                  <w:vMerge w:val="continue"/>
                  <w:noWrap w:val="0"/>
                  <w:vAlign w:val="center"/>
                </w:tcPr>
                <w:p w14:paraId="21052DBF">
                  <w:pPr>
                    <w:pStyle w:val="40"/>
                    <w:bidi w:val="0"/>
                    <w:rPr>
                      <w:lang w:val="en-US" w:eastAsia="zh-CN"/>
                    </w:rPr>
                  </w:pPr>
                </w:p>
              </w:tc>
            </w:tr>
            <w:tr w14:paraId="17292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1" w:hRule="atLeast"/>
              </w:trPr>
              <w:tc>
                <w:tcPr>
                  <w:tcW w:w="494" w:type="pct"/>
                  <w:noWrap w:val="0"/>
                  <w:vAlign w:val="center"/>
                </w:tcPr>
                <w:p w14:paraId="16023EFA">
                  <w:pPr>
                    <w:pStyle w:val="40"/>
                    <w:bidi w:val="0"/>
                    <w:rPr>
                      <w:lang w:val="en-US" w:eastAsia="zh-CN"/>
                    </w:rPr>
                  </w:pPr>
                  <w:r>
                    <w:rPr>
                      <w:lang w:val="en-US" w:eastAsia="zh-CN"/>
                    </w:rPr>
                    <w:t>SS</w:t>
                  </w:r>
                </w:p>
              </w:tc>
              <w:tc>
                <w:tcPr>
                  <w:tcW w:w="417" w:type="pct"/>
                  <w:vMerge w:val="continue"/>
                  <w:noWrap w:val="0"/>
                  <w:vAlign w:val="center"/>
                </w:tcPr>
                <w:p w14:paraId="74FCCEB8">
                  <w:pPr>
                    <w:pStyle w:val="40"/>
                    <w:bidi w:val="0"/>
                    <w:rPr>
                      <w:lang w:val="en-US" w:eastAsia="zh-CN"/>
                    </w:rPr>
                  </w:pPr>
                </w:p>
              </w:tc>
              <w:tc>
                <w:tcPr>
                  <w:tcW w:w="741" w:type="pct"/>
                  <w:noWrap w:val="0"/>
                  <w:vAlign w:val="center"/>
                </w:tcPr>
                <w:p w14:paraId="55D69EA6">
                  <w:pPr>
                    <w:pStyle w:val="40"/>
                    <w:bidi w:val="0"/>
                    <w:rPr>
                      <w:lang w:val="en-US" w:eastAsia="zh-CN"/>
                    </w:rPr>
                  </w:pPr>
                  <w:r>
                    <w:rPr>
                      <w:lang w:val="en-US" w:eastAsia="zh-CN"/>
                    </w:rPr>
                    <w:t>200</w:t>
                  </w:r>
                </w:p>
              </w:tc>
              <w:tc>
                <w:tcPr>
                  <w:tcW w:w="543" w:type="pct"/>
                  <w:noWrap w:val="0"/>
                  <w:vAlign w:val="center"/>
                </w:tcPr>
                <w:p w14:paraId="64E4DDD9">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0.154 </w:t>
                  </w:r>
                </w:p>
              </w:tc>
              <w:tc>
                <w:tcPr>
                  <w:tcW w:w="730" w:type="pct"/>
                  <w:vMerge w:val="continue"/>
                  <w:noWrap w:val="0"/>
                  <w:vAlign w:val="center"/>
                </w:tcPr>
                <w:p w14:paraId="6D84B34A">
                  <w:pPr>
                    <w:pStyle w:val="40"/>
                    <w:bidi w:val="0"/>
                    <w:rPr>
                      <w:lang w:val="en-US" w:eastAsia="zh-CN"/>
                    </w:rPr>
                  </w:pPr>
                </w:p>
              </w:tc>
              <w:tc>
                <w:tcPr>
                  <w:tcW w:w="692" w:type="pct"/>
                  <w:noWrap w:val="0"/>
                  <w:vAlign w:val="center"/>
                </w:tcPr>
                <w:p w14:paraId="09FF9416">
                  <w:pPr>
                    <w:pStyle w:val="40"/>
                    <w:bidi w:val="0"/>
                    <w:rPr>
                      <w:lang w:val="en-US" w:eastAsia="zh-CN"/>
                    </w:rPr>
                  </w:pPr>
                  <w:r>
                    <w:rPr>
                      <w:lang w:val="en-US" w:eastAsia="zh-CN"/>
                    </w:rPr>
                    <w:t>400</w:t>
                  </w:r>
                </w:p>
              </w:tc>
              <w:tc>
                <w:tcPr>
                  <w:tcW w:w="1378" w:type="pct"/>
                  <w:vMerge w:val="continue"/>
                  <w:noWrap w:val="0"/>
                  <w:vAlign w:val="center"/>
                </w:tcPr>
                <w:p w14:paraId="584D9A7D">
                  <w:pPr>
                    <w:pStyle w:val="40"/>
                    <w:bidi w:val="0"/>
                    <w:rPr>
                      <w:lang w:val="en-US" w:eastAsia="zh-CN"/>
                    </w:rPr>
                  </w:pPr>
                </w:p>
              </w:tc>
            </w:tr>
            <w:tr w14:paraId="71A9A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7" w:hRule="atLeast"/>
              </w:trPr>
              <w:tc>
                <w:tcPr>
                  <w:tcW w:w="494" w:type="pct"/>
                  <w:noWrap w:val="0"/>
                  <w:vAlign w:val="center"/>
                </w:tcPr>
                <w:p w14:paraId="0D7717A7">
                  <w:pPr>
                    <w:pStyle w:val="40"/>
                    <w:bidi w:val="0"/>
                    <w:rPr>
                      <w:lang w:val="en-US" w:eastAsia="zh-CN"/>
                    </w:rPr>
                  </w:pPr>
                  <w:r>
                    <w:rPr>
                      <w:lang w:val="en-US" w:eastAsia="zh-CN"/>
                    </w:rPr>
                    <w:t>氨氮</w:t>
                  </w:r>
                </w:p>
              </w:tc>
              <w:tc>
                <w:tcPr>
                  <w:tcW w:w="417" w:type="pct"/>
                  <w:vMerge w:val="continue"/>
                  <w:noWrap w:val="0"/>
                  <w:vAlign w:val="center"/>
                </w:tcPr>
                <w:p w14:paraId="548842DA">
                  <w:pPr>
                    <w:pStyle w:val="40"/>
                    <w:bidi w:val="0"/>
                    <w:rPr>
                      <w:lang w:val="en-US" w:eastAsia="zh-CN"/>
                    </w:rPr>
                  </w:pPr>
                </w:p>
              </w:tc>
              <w:tc>
                <w:tcPr>
                  <w:tcW w:w="741" w:type="pct"/>
                  <w:noWrap w:val="0"/>
                  <w:vAlign w:val="center"/>
                </w:tcPr>
                <w:p w14:paraId="3D9BA998">
                  <w:pPr>
                    <w:pStyle w:val="40"/>
                    <w:bidi w:val="0"/>
                    <w:rPr>
                      <w:lang w:val="en-US" w:eastAsia="zh-CN"/>
                    </w:rPr>
                  </w:pPr>
                  <w:r>
                    <w:rPr>
                      <w:rFonts w:hint="eastAsia"/>
                      <w:lang w:val="en-US" w:eastAsia="zh-CN"/>
                    </w:rPr>
                    <w:t>30</w:t>
                  </w:r>
                </w:p>
              </w:tc>
              <w:tc>
                <w:tcPr>
                  <w:tcW w:w="543" w:type="pct"/>
                  <w:noWrap w:val="0"/>
                  <w:vAlign w:val="center"/>
                </w:tcPr>
                <w:p w14:paraId="16C87FD4">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0.023 </w:t>
                  </w:r>
                </w:p>
              </w:tc>
              <w:tc>
                <w:tcPr>
                  <w:tcW w:w="730" w:type="pct"/>
                  <w:vMerge w:val="continue"/>
                  <w:noWrap w:val="0"/>
                  <w:vAlign w:val="center"/>
                </w:tcPr>
                <w:p w14:paraId="2B3092EB">
                  <w:pPr>
                    <w:pStyle w:val="40"/>
                    <w:bidi w:val="0"/>
                    <w:rPr>
                      <w:lang w:val="en-US" w:eastAsia="zh-CN"/>
                    </w:rPr>
                  </w:pPr>
                </w:p>
              </w:tc>
              <w:tc>
                <w:tcPr>
                  <w:tcW w:w="692" w:type="pct"/>
                  <w:noWrap w:val="0"/>
                  <w:vAlign w:val="center"/>
                </w:tcPr>
                <w:p w14:paraId="012918A2">
                  <w:pPr>
                    <w:pStyle w:val="40"/>
                    <w:bidi w:val="0"/>
                    <w:rPr>
                      <w:lang w:val="en-US" w:eastAsia="zh-CN"/>
                    </w:rPr>
                  </w:pPr>
                  <w:r>
                    <w:rPr>
                      <w:lang w:val="en-US" w:eastAsia="zh-CN"/>
                    </w:rPr>
                    <w:t>/</w:t>
                  </w:r>
                </w:p>
              </w:tc>
              <w:tc>
                <w:tcPr>
                  <w:tcW w:w="1378" w:type="pct"/>
                  <w:vMerge w:val="continue"/>
                  <w:noWrap w:val="0"/>
                  <w:vAlign w:val="center"/>
                </w:tcPr>
                <w:p w14:paraId="1EA8C444">
                  <w:pPr>
                    <w:pStyle w:val="40"/>
                    <w:bidi w:val="0"/>
                    <w:rPr>
                      <w:lang w:val="en-US" w:eastAsia="zh-CN"/>
                    </w:rPr>
                  </w:pPr>
                </w:p>
              </w:tc>
            </w:tr>
            <w:tr w14:paraId="1D795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494" w:type="pct"/>
                  <w:noWrap w:val="0"/>
                  <w:vAlign w:val="center"/>
                </w:tcPr>
                <w:p w14:paraId="2087599E">
                  <w:pPr>
                    <w:pStyle w:val="40"/>
                    <w:bidi w:val="0"/>
                    <w:rPr>
                      <w:rFonts w:hint="eastAsia"/>
                      <w:lang w:val="en-US" w:eastAsia="zh-CN"/>
                    </w:rPr>
                  </w:pPr>
                  <w:r>
                    <w:rPr>
                      <w:rFonts w:hint="eastAsia"/>
                      <w:lang w:val="en-US" w:eastAsia="zh-CN"/>
                    </w:rPr>
                    <w:t>动植物油</w:t>
                  </w:r>
                </w:p>
              </w:tc>
              <w:tc>
                <w:tcPr>
                  <w:tcW w:w="417" w:type="pct"/>
                  <w:vMerge w:val="continue"/>
                  <w:noWrap w:val="0"/>
                  <w:vAlign w:val="center"/>
                </w:tcPr>
                <w:p w14:paraId="7B1C894A">
                  <w:pPr>
                    <w:pStyle w:val="40"/>
                    <w:bidi w:val="0"/>
                    <w:rPr>
                      <w:lang w:val="en-US" w:eastAsia="zh-CN"/>
                    </w:rPr>
                  </w:pPr>
                </w:p>
              </w:tc>
              <w:tc>
                <w:tcPr>
                  <w:tcW w:w="741" w:type="pct"/>
                  <w:noWrap w:val="0"/>
                  <w:vAlign w:val="center"/>
                </w:tcPr>
                <w:p w14:paraId="29FB189B">
                  <w:pPr>
                    <w:pStyle w:val="40"/>
                    <w:bidi w:val="0"/>
                    <w:rPr>
                      <w:rFonts w:hint="default"/>
                      <w:lang w:val="en-US" w:eastAsia="zh-CN"/>
                    </w:rPr>
                  </w:pPr>
                  <w:r>
                    <w:rPr>
                      <w:rFonts w:hint="eastAsia"/>
                      <w:lang w:val="en-US" w:eastAsia="zh-CN"/>
                    </w:rPr>
                    <w:t>100</w:t>
                  </w:r>
                </w:p>
              </w:tc>
              <w:tc>
                <w:tcPr>
                  <w:tcW w:w="543" w:type="pct"/>
                  <w:noWrap w:val="0"/>
                  <w:vAlign w:val="center"/>
                </w:tcPr>
                <w:p w14:paraId="431BB064">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0.077 </w:t>
                  </w:r>
                </w:p>
              </w:tc>
              <w:tc>
                <w:tcPr>
                  <w:tcW w:w="730" w:type="pct"/>
                  <w:vMerge w:val="continue"/>
                  <w:noWrap w:val="0"/>
                  <w:vAlign w:val="center"/>
                </w:tcPr>
                <w:p w14:paraId="3AED3A5C">
                  <w:pPr>
                    <w:pStyle w:val="40"/>
                    <w:bidi w:val="0"/>
                    <w:rPr>
                      <w:lang w:val="en-US" w:eastAsia="zh-CN"/>
                    </w:rPr>
                  </w:pPr>
                </w:p>
              </w:tc>
              <w:tc>
                <w:tcPr>
                  <w:tcW w:w="692" w:type="pct"/>
                  <w:noWrap w:val="0"/>
                  <w:vAlign w:val="center"/>
                </w:tcPr>
                <w:p w14:paraId="51FC1BE2">
                  <w:pPr>
                    <w:pStyle w:val="40"/>
                    <w:bidi w:val="0"/>
                    <w:rPr>
                      <w:rFonts w:hint="default"/>
                      <w:lang w:val="en-US" w:eastAsia="zh-CN"/>
                    </w:rPr>
                  </w:pPr>
                  <w:r>
                    <w:rPr>
                      <w:rFonts w:hint="eastAsia"/>
                      <w:lang w:val="en-US" w:eastAsia="zh-CN"/>
                    </w:rPr>
                    <w:t>100</w:t>
                  </w:r>
                </w:p>
              </w:tc>
              <w:tc>
                <w:tcPr>
                  <w:tcW w:w="1378" w:type="pct"/>
                  <w:vMerge w:val="continue"/>
                  <w:noWrap w:val="0"/>
                  <w:vAlign w:val="center"/>
                </w:tcPr>
                <w:p w14:paraId="3D3532A9">
                  <w:pPr>
                    <w:pStyle w:val="40"/>
                    <w:bidi w:val="0"/>
                    <w:rPr>
                      <w:lang w:val="en-US" w:eastAsia="zh-CN"/>
                    </w:rPr>
                  </w:pPr>
                </w:p>
              </w:tc>
            </w:tr>
          </w:tbl>
          <w:p w14:paraId="1E2AAEF8">
            <w:pPr>
              <w:pStyle w:val="2"/>
              <w:bidi w:val="0"/>
              <w:rPr>
                <w:rFonts w:hint="default"/>
                <w:lang w:val="en-US" w:eastAsia="zh-CN"/>
              </w:rPr>
            </w:pPr>
            <w:r>
              <w:rPr>
                <w:rFonts w:hint="default"/>
                <w:lang w:val="en-US" w:eastAsia="zh-CN"/>
              </w:rPr>
              <w:t>2.2废水污染防治措施可行性</w:t>
            </w:r>
          </w:p>
          <w:p w14:paraId="30CE4684">
            <w:pPr>
              <w:pStyle w:val="8"/>
              <w:keepNext w:val="0"/>
              <w:keepLines w:val="0"/>
              <w:pageBreakBefore w:val="0"/>
              <w:widowControl/>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生活污水经化粪池预处理后拉运至若羌县城镇污水处理厂进行集中处理。</w:t>
            </w:r>
          </w:p>
          <w:p w14:paraId="4CC2E177">
            <w:pPr>
              <w:pStyle w:val="8"/>
              <w:keepNext w:val="0"/>
              <w:keepLines w:val="0"/>
              <w:pageBreakBefore w:val="0"/>
              <w:widowControl/>
              <w:kinsoku/>
              <w:wordWrap w:val="0"/>
              <w:overflowPunct/>
              <w:topLinePunct w:val="0"/>
              <w:autoSpaceDE/>
              <w:autoSpaceDN/>
              <w:bidi w:val="0"/>
              <w:adjustRightInd/>
              <w:snapToGrid w:val="0"/>
              <w:textAlignment w:val="auto"/>
              <w:rPr>
                <w:rFonts w:hint="eastAsia"/>
                <w:lang w:val="en-US" w:eastAsia="zh-CN"/>
              </w:rPr>
            </w:pPr>
            <w:r>
              <w:rPr>
                <w:rFonts w:hint="eastAsia"/>
                <w:lang w:val="en-US" w:eastAsia="zh-CN"/>
              </w:rPr>
              <w:t>若羌县城镇污水处理厂位于若羌县县城城北7.7公里（地理坐标：</w:t>
            </w:r>
            <w:r>
              <w:rPr>
                <w:rFonts w:hint="default" w:ascii="Times New Roman" w:hAnsi="Times New Roman" w:cs="Times New Roman"/>
                <w:lang w:val="en-US" w:eastAsia="zh-CN"/>
              </w:rPr>
              <w:t>E：88°10′</w:t>
            </w:r>
            <w:r>
              <w:rPr>
                <w:rFonts w:hint="eastAsia" w:cs="Times New Roman"/>
                <w:lang w:val="en-US" w:eastAsia="zh-CN"/>
              </w:rPr>
              <w:t>15.611</w:t>
            </w:r>
            <w:r>
              <w:rPr>
                <w:rFonts w:hint="default" w:ascii="Times New Roman" w:hAnsi="Times New Roman" w:cs="Times New Roman"/>
                <w:lang w:val="en-US" w:eastAsia="zh-CN"/>
              </w:rPr>
              <w:t>″，N：39°</w:t>
            </w:r>
            <w:r>
              <w:rPr>
                <w:rFonts w:hint="eastAsia" w:cs="Times New Roman"/>
                <w:lang w:val="en-US" w:eastAsia="zh-CN"/>
              </w:rPr>
              <w:t>0</w:t>
            </w:r>
            <w:r>
              <w:rPr>
                <w:rFonts w:hint="default" w:ascii="Times New Roman" w:hAnsi="Times New Roman" w:cs="Times New Roman"/>
                <w:lang w:val="en-US" w:eastAsia="zh-CN"/>
              </w:rPr>
              <w:t>5′</w:t>
            </w:r>
            <w:r>
              <w:rPr>
                <w:rFonts w:hint="eastAsia" w:cs="Times New Roman"/>
                <w:lang w:val="en-US" w:eastAsia="zh-CN"/>
              </w:rPr>
              <w:t>44.708</w:t>
            </w:r>
            <w:r>
              <w:rPr>
                <w:rFonts w:hint="default" w:ascii="Times New Roman" w:hAnsi="Times New Roman" w:cs="Times New Roman"/>
                <w:lang w:val="en-US" w:eastAsia="zh-CN"/>
              </w:rPr>
              <w:t>″</w:t>
            </w:r>
            <w:r>
              <w:rPr>
                <w:rFonts w:hint="eastAsia"/>
                <w:lang w:val="en-US" w:eastAsia="zh-CN"/>
              </w:rPr>
              <w:t>，本项目区与若羌县城镇污水处理厂相距11km），设计处理能力为10000m</w:t>
            </w:r>
            <w:r>
              <w:rPr>
                <w:rFonts w:hint="eastAsia"/>
                <w:vertAlign w:val="superscript"/>
                <w:lang w:val="en-US" w:eastAsia="zh-CN"/>
              </w:rPr>
              <w:t>3</w:t>
            </w:r>
            <w:r>
              <w:rPr>
                <w:rFonts w:hint="eastAsia"/>
                <w:lang w:val="en-US" w:eastAsia="zh-CN"/>
              </w:rPr>
              <w:t>/d，实际污水处理规模为6000m</w:t>
            </w:r>
            <w:r>
              <w:rPr>
                <w:rFonts w:hint="eastAsia"/>
                <w:vertAlign w:val="superscript"/>
                <w:lang w:val="en-US" w:eastAsia="zh-CN"/>
              </w:rPr>
              <w:t>3</w:t>
            </w:r>
            <w:r>
              <w:rPr>
                <w:rFonts w:hint="eastAsia"/>
                <w:lang w:val="en-US" w:eastAsia="zh-CN"/>
              </w:rPr>
              <w:t>/d，现有余量约4500m</w:t>
            </w:r>
            <w:r>
              <w:rPr>
                <w:rFonts w:hint="eastAsia"/>
                <w:vertAlign w:val="superscript"/>
                <w:lang w:val="en-US" w:eastAsia="zh-CN"/>
              </w:rPr>
              <w:t>3</w:t>
            </w:r>
            <w:r>
              <w:rPr>
                <w:rFonts w:hint="eastAsia"/>
                <w:lang w:val="en-US" w:eastAsia="zh-CN"/>
              </w:rPr>
              <w:t>/d。采用“A</w:t>
            </w:r>
            <w:r>
              <w:rPr>
                <w:rFonts w:hint="eastAsia"/>
                <w:vertAlign w:val="subscript"/>
                <w:lang w:val="en-US" w:eastAsia="zh-CN"/>
              </w:rPr>
              <w:t>2</w:t>
            </w:r>
            <w:r>
              <w:rPr>
                <w:rFonts w:hint="eastAsia"/>
                <w:lang w:val="en-US" w:eastAsia="zh-CN"/>
              </w:rPr>
              <w:t>/O+深度处理”污水处理工艺，经处理后的出水水质可达到《城镇污水处理厂污染物排放标准》(GB18918-2002)中的一级A标准要求，处理后尾水用于污水处理厂周边防护林灌溉。此污水处理厂于2024年5月9日取得巴州生态环境局《关于若羌县城镇污水处理厂提质扩容项目环境影响报告表的批复》（巴环评价函〔2024〕96号），2025年3月15日通过了项目竣工环境保护验收工作。</w:t>
            </w:r>
          </w:p>
          <w:p w14:paraId="7B72BE34">
            <w:pPr>
              <w:pStyle w:val="8"/>
              <w:keepNext w:val="0"/>
              <w:keepLines w:val="0"/>
              <w:pageBreakBefore w:val="0"/>
              <w:widowControl/>
              <w:kinsoku/>
              <w:wordWrap/>
              <w:overflowPunct/>
              <w:topLinePunct w:val="0"/>
              <w:autoSpaceDE/>
              <w:autoSpaceDN/>
              <w:bidi w:val="0"/>
              <w:adjustRightInd/>
              <w:snapToGrid w:val="0"/>
              <w:textAlignment w:val="auto"/>
              <w:rPr>
                <w:rFonts w:hint="default"/>
                <w:lang w:val="en-US" w:eastAsia="zh-CN"/>
              </w:rPr>
            </w:pPr>
            <w:r>
              <w:rPr>
                <w:rFonts w:hint="eastAsia"/>
                <w:lang w:val="en-US" w:eastAsia="zh-CN"/>
              </w:rPr>
              <w:t>综上，本项目废水处理措施可行</w:t>
            </w:r>
            <w:r>
              <w:rPr>
                <w:rFonts w:hint="default"/>
                <w:lang w:val="en-US" w:eastAsia="zh-CN"/>
              </w:rPr>
              <w:t>。</w:t>
            </w:r>
          </w:p>
          <w:p w14:paraId="28B961C3">
            <w:pPr>
              <w:pStyle w:val="2"/>
              <w:bidi w:val="0"/>
              <w:rPr>
                <w:rFonts w:hint="eastAsia"/>
                <w:lang w:val="en-US" w:eastAsia="zh-CN"/>
              </w:rPr>
            </w:pPr>
            <w:r>
              <w:rPr>
                <w:rFonts w:hint="eastAsia"/>
                <w:lang w:val="en-US" w:eastAsia="zh-CN"/>
              </w:rPr>
              <w:t>2.3废水排放口基本情况</w:t>
            </w:r>
          </w:p>
          <w:p w14:paraId="65274168">
            <w:pPr>
              <w:pStyle w:val="42"/>
              <w:bidi w:val="0"/>
              <w:rPr>
                <w:rFonts w:hint="eastAsia"/>
                <w:lang w:val="en-US" w:eastAsia="zh-CN"/>
              </w:rPr>
            </w:pPr>
            <w:r>
              <w:rPr>
                <w:rFonts w:hint="eastAsia"/>
                <w:lang w:val="en-US" w:eastAsia="zh-CN"/>
              </w:rPr>
              <w:t>表4-7    废水排放口基本信息</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953"/>
              <w:gridCol w:w="1754"/>
              <w:gridCol w:w="1085"/>
              <w:gridCol w:w="2859"/>
            </w:tblGrid>
            <w:tr w14:paraId="2401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732" w:type="pct"/>
                  <w:vMerge w:val="restart"/>
                  <w:vAlign w:val="center"/>
                </w:tcPr>
                <w:p w14:paraId="52A91BA2">
                  <w:pPr>
                    <w:pStyle w:val="40"/>
                    <w:bidi w:val="0"/>
                    <w:rPr>
                      <w:rFonts w:hint="eastAsia"/>
                      <w:lang w:val="en-US" w:eastAsia="zh-CN"/>
                    </w:rPr>
                  </w:pPr>
                  <w:r>
                    <w:rPr>
                      <w:rFonts w:hint="eastAsia"/>
                      <w:lang w:val="en-US" w:eastAsia="zh-CN"/>
                    </w:rPr>
                    <w:t>废水类别</w:t>
                  </w:r>
                </w:p>
              </w:tc>
              <w:tc>
                <w:tcPr>
                  <w:tcW w:w="611" w:type="pct"/>
                  <w:vMerge w:val="restart"/>
                  <w:vAlign w:val="center"/>
                </w:tcPr>
                <w:p w14:paraId="75A1CF8D">
                  <w:pPr>
                    <w:pStyle w:val="40"/>
                    <w:bidi w:val="0"/>
                    <w:rPr>
                      <w:rFonts w:hint="eastAsia"/>
                      <w:lang w:val="en-US" w:eastAsia="zh-CN"/>
                    </w:rPr>
                  </w:pPr>
                  <w:r>
                    <w:rPr>
                      <w:rFonts w:hint="eastAsia"/>
                      <w:lang w:val="en-US" w:eastAsia="zh-CN"/>
                    </w:rPr>
                    <w:t>排放口编号</w:t>
                  </w:r>
                </w:p>
              </w:tc>
              <w:tc>
                <w:tcPr>
                  <w:tcW w:w="1821" w:type="pct"/>
                  <w:gridSpan w:val="2"/>
                  <w:vAlign w:val="center"/>
                </w:tcPr>
                <w:p w14:paraId="28148CD4">
                  <w:pPr>
                    <w:pStyle w:val="40"/>
                    <w:bidi w:val="0"/>
                    <w:rPr>
                      <w:rFonts w:hint="eastAsia"/>
                      <w:lang w:val="en-US" w:eastAsia="zh-CN"/>
                    </w:rPr>
                  </w:pPr>
                  <w:r>
                    <w:rPr>
                      <w:rFonts w:hint="eastAsia"/>
                      <w:lang w:val="en-US" w:eastAsia="zh-CN"/>
                    </w:rPr>
                    <w:t>排放口基本信息</w:t>
                  </w:r>
                </w:p>
              </w:tc>
              <w:tc>
                <w:tcPr>
                  <w:tcW w:w="1834" w:type="pct"/>
                  <w:vMerge w:val="restart"/>
                  <w:vAlign w:val="center"/>
                </w:tcPr>
                <w:p w14:paraId="35A20C90">
                  <w:pPr>
                    <w:pStyle w:val="40"/>
                    <w:bidi w:val="0"/>
                    <w:rPr>
                      <w:rFonts w:hint="eastAsia"/>
                      <w:lang w:val="en-US" w:eastAsia="zh-CN"/>
                    </w:rPr>
                  </w:pPr>
                  <w:r>
                    <w:rPr>
                      <w:rFonts w:hint="eastAsia"/>
                      <w:lang w:val="en-US" w:eastAsia="zh-CN"/>
                    </w:rPr>
                    <w:t>排放去向</w:t>
                  </w:r>
                </w:p>
              </w:tc>
            </w:tr>
            <w:tr w14:paraId="785A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32" w:type="pct"/>
                  <w:vMerge w:val="continue"/>
                  <w:vAlign w:val="center"/>
                </w:tcPr>
                <w:p w14:paraId="517559C4">
                  <w:pPr>
                    <w:pStyle w:val="40"/>
                    <w:bidi w:val="0"/>
                    <w:rPr>
                      <w:rFonts w:hint="eastAsia"/>
                      <w:lang w:val="en-US" w:eastAsia="zh-CN"/>
                    </w:rPr>
                  </w:pPr>
                </w:p>
              </w:tc>
              <w:tc>
                <w:tcPr>
                  <w:tcW w:w="611" w:type="pct"/>
                  <w:vMerge w:val="continue"/>
                  <w:vAlign w:val="center"/>
                </w:tcPr>
                <w:p w14:paraId="0C1C12EE">
                  <w:pPr>
                    <w:pStyle w:val="40"/>
                    <w:bidi w:val="0"/>
                    <w:rPr>
                      <w:rFonts w:hint="eastAsia"/>
                      <w:lang w:val="en-US" w:eastAsia="zh-CN"/>
                    </w:rPr>
                  </w:pPr>
                </w:p>
              </w:tc>
              <w:tc>
                <w:tcPr>
                  <w:tcW w:w="1125" w:type="pct"/>
                  <w:vAlign w:val="center"/>
                </w:tcPr>
                <w:p w14:paraId="7A80A58C">
                  <w:pPr>
                    <w:pStyle w:val="40"/>
                    <w:bidi w:val="0"/>
                    <w:rPr>
                      <w:rFonts w:hint="eastAsia"/>
                      <w:lang w:val="en-US" w:eastAsia="zh-CN"/>
                    </w:rPr>
                  </w:pPr>
                  <w:r>
                    <w:rPr>
                      <w:rFonts w:hint="eastAsia"/>
                      <w:lang w:val="en-US" w:eastAsia="zh-CN"/>
                    </w:rPr>
                    <w:t>坐标</w:t>
                  </w:r>
                </w:p>
              </w:tc>
              <w:tc>
                <w:tcPr>
                  <w:tcW w:w="696" w:type="pct"/>
                  <w:vAlign w:val="center"/>
                </w:tcPr>
                <w:p w14:paraId="115218D0">
                  <w:pPr>
                    <w:pStyle w:val="40"/>
                    <w:bidi w:val="0"/>
                    <w:rPr>
                      <w:rFonts w:hint="eastAsia"/>
                      <w:lang w:val="en-US" w:eastAsia="zh-CN"/>
                    </w:rPr>
                  </w:pPr>
                  <w:r>
                    <w:rPr>
                      <w:rFonts w:hint="eastAsia"/>
                      <w:lang w:val="en-US" w:eastAsia="zh-CN"/>
                    </w:rPr>
                    <w:t>类型</w:t>
                  </w:r>
                </w:p>
              </w:tc>
              <w:tc>
                <w:tcPr>
                  <w:tcW w:w="1834" w:type="pct"/>
                  <w:vMerge w:val="continue"/>
                  <w:vAlign w:val="center"/>
                </w:tcPr>
                <w:p w14:paraId="4926DE38">
                  <w:pPr>
                    <w:pStyle w:val="40"/>
                    <w:bidi w:val="0"/>
                    <w:rPr>
                      <w:rFonts w:hint="eastAsia"/>
                      <w:lang w:val="en-US" w:eastAsia="zh-CN"/>
                    </w:rPr>
                  </w:pPr>
                </w:p>
              </w:tc>
            </w:tr>
            <w:tr w14:paraId="2DA7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pct"/>
                  <w:vAlign w:val="center"/>
                </w:tcPr>
                <w:p w14:paraId="079209C4">
                  <w:pPr>
                    <w:pStyle w:val="40"/>
                    <w:bidi w:val="0"/>
                    <w:rPr>
                      <w:rFonts w:hint="eastAsia"/>
                      <w:lang w:val="en-US" w:eastAsia="zh-CN"/>
                    </w:rPr>
                  </w:pPr>
                  <w:r>
                    <w:rPr>
                      <w:rFonts w:hint="eastAsia"/>
                      <w:lang w:val="en-US" w:eastAsia="zh-CN"/>
                    </w:rPr>
                    <w:t>生活污水</w:t>
                  </w:r>
                </w:p>
              </w:tc>
              <w:tc>
                <w:tcPr>
                  <w:tcW w:w="611" w:type="pct"/>
                  <w:vAlign w:val="center"/>
                </w:tcPr>
                <w:p w14:paraId="20D7F8EC">
                  <w:pPr>
                    <w:pStyle w:val="40"/>
                    <w:bidi w:val="0"/>
                    <w:rPr>
                      <w:rFonts w:hint="eastAsia"/>
                      <w:lang w:val="en-US" w:eastAsia="zh-CN"/>
                    </w:rPr>
                  </w:pPr>
                  <w:r>
                    <w:rPr>
                      <w:rFonts w:hint="eastAsia"/>
                      <w:lang w:val="en-US" w:eastAsia="zh-CN"/>
                    </w:rPr>
                    <w:t>DW001</w:t>
                  </w:r>
                </w:p>
              </w:tc>
              <w:tc>
                <w:tcPr>
                  <w:tcW w:w="1125" w:type="pct"/>
                  <w:vAlign w:val="center"/>
                </w:tcPr>
                <w:p w14:paraId="6B91482F">
                  <w:pPr>
                    <w:pStyle w:val="40"/>
                    <w:bidi w:val="0"/>
                    <w:rPr>
                      <w:rFonts w:hint="default" w:ascii="Times New Roman" w:hAnsi="Times New Roman" w:cs="Times New Roman"/>
                      <w:lang w:val="en-US" w:eastAsia="zh-CN"/>
                    </w:rPr>
                  </w:pPr>
                  <w:r>
                    <w:rPr>
                      <w:rFonts w:hint="default" w:ascii="Times New Roman" w:hAnsi="Times New Roman" w:cs="Times New Roman"/>
                      <w:lang w:val="en-US" w:eastAsia="zh-CN"/>
                    </w:rPr>
                    <w:t>E:88°14′32.773″,N:39°0′59.720″</w:t>
                  </w:r>
                </w:p>
              </w:tc>
              <w:tc>
                <w:tcPr>
                  <w:tcW w:w="696" w:type="pct"/>
                  <w:vAlign w:val="center"/>
                </w:tcPr>
                <w:p w14:paraId="64374251">
                  <w:pPr>
                    <w:pStyle w:val="40"/>
                    <w:bidi w:val="0"/>
                    <w:rPr>
                      <w:rFonts w:hint="eastAsia"/>
                      <w:lang w:val="en-US" w:eastAsia="zh-CN"/>
                    </w:rPr>
                  </w:pPr>
                  <w:r>
                    <w:rPr>
                      <w:rFonts w:hint="eastAsia"/>
                      <w:lang w:val="en-US" w:eastAsia="zh-CN"/>
                    </w:rPr>
                    <w:t>一般排放口</w:t>
                  </w:r>
                </w:p>
              </w:tc>
              <w:tc>
                <w:tcPr>
                  <w:tcW w:w="1834" w:type="pct"/>
                  <w:vAlign w:val="center"/>
                </w:tcPr>
                <w:p w14:paraId="1FE2CBCF">
                  <w:pPr>
                    <w:pStyle w:val="40"/>
                    <w:bidi w:val="0"/>
                    <w:rPr>
                      <w:rFonts w:hint="eastAsia"/>
                      <w:lang w:val="en-US" w:eastAsia="zh-CN"/>
                    </w:rPr>
                  </w:pPr>
                  <w:r>
                    <w:rPr>
                      <w:rFonts w:hint="eastAsia"/>
                      <w:lang w:val="en-US" w:eastAsia="zh-CN"/>
                    </w:rPr>
                    <w:t>经化粪池预处理后拉运至若羌县城镇污水处理厂进行集中处理</w:t>
                  </w:r>
                </w:p>
              </w:tc>
            </w:tr>
          </w:tbl>
          <w:p w14:paraId="2B501214">
            <w:pPr>
              <w:pStyle w:val="2"/>
              <w:bidi w:val="0"/>
              <w:rPr>
                <w:rFonts w:hint="eastAsia"/>
                <w:highlight w:val="none"/>
                <w:lang w:val="en-US" w:eastAsia="zh-CN"/>
              </w:rPr>
            </w:pPr>
            <w:r>
              <w:rPr>
                <w:rFonts w:hint="eastAsia"/>
                <w:highlight w:val="none"/>
                <w:lang w:val="en-US" w:eastAsia="zh-CN"/>
              </w:rPr>
              <w:t>2.4监测要求</w:t>
            </w:r>
          </w:p>
          <w:p w14:paraId="6995348C">
            <w:pPr>
              <w:pStyle w:val="44"/>
              <w:bidi w:val="0"/>
              <w:rPr>
                <w:rFonts w:hint="default"/>
                <w:lang w:val="en-US" w:eastAsia="zh-CN"/>
              </w:rPr>
            </w:pPr>
            <w:r>
              <w:rPr>
                <w:rFonts w:hint="default"/>
                <w:lang w:val="en-US" w:eastAsia="zh-CN"/>
              </w:rPr>
              <w:t xml:space="preserve">参照《排污单位自行监测技术指南 总则》（HJ819-2017）、《排污单位自行监测技术指南 水泥工业》（HJ 1086-2020）以及《排污许可证申请与核发技术规范 </w:t>
            </w:r>
            <w:r>
              <w:rPr>
                <w:rFonts w:hint="eastAsia"/>
                <w:lang w:val="en-US" w:eastAsia="zh-CN"/>
              </w:rPr>
              <w:t>水泥工业</w:t>
            </w:r>
            <w:r>
              <w:rPr>
                <w:rFonts w:hint="default"/>
                <w:lang w:val="en-US" w:eastAsia="zh-CN"/>
              </w:rPr>
              <w:t>》（HJ</w:t>
            </w:r>
            <w:r>
              <w:rPr>
                <w:rFonts w:hint="eastAsia"/>
                <w:lang w:val="en-US" w:eastAsia="zh-CN"/>
              </w:rPr>
              <w:t>847-2017</w:t>
            </w:r>
            <w:r>
              <w:rPr>
                <w:rFonts w:hint="default"/>
                <w:lang w:val="en-US" w:eastAsia="zh-CN"/>
              </w:rPr>
              <w:t>）的相关要求，本项目监测计划详见下表。</w:t>
            </w:r>
          </w:p>
          <w:p w14:paraId="3D2B0D43">
            <w:pPr>
              <w:pStyle w:val="5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表4-8    废水污染物监测计划一览表</w:t>
            </w:r>
          </w:p>
          <w:tbl>
            <w:tblPr>
              <w:tblStyle w:val="23"/>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644"/>
              <w:gridCol w:w="1031"/>
              <w:gridCol w:w="819"/>
              <w:gridCol w:w="1524"/>
              <w:gridCol w:w="1218"/>
              <w:gridCol w:w="773"/>
              <w:gridCol w:w="681"/>
              <w:gridCol w:w="677"/>
            </w:tblGrid>
            <w:tr w14:paraId="3EFC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restart"/>
                  <w:vAlign w:val="center"/>
                </w:tcPr>
                <w:p w14:paraId="025CA9A7">
                  <w:pPr>
                    <w:pStyle w:val="5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废水类别</w:t>
                  </w:r>
                </w:p>
              </w:tc>
              <w:tc>
                <w:tcPr>
                  <w:tcW w:w="413" w:type="pct"/>
                  <w:vMerge w:val="restart"/>
                  <w:vAlign w:val="center"/>
                </w:tcPr>
                <w:p w14:paraId="2E96A1A7">
                  <w:pPr>
                    <w:pStyle w:val="5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排放口编号</w:t>
                  </w:r>
                </w:p>
              </w:tc>
              <w:tc>
                <w:tcPr>
                  <w:tcW w:w="1188" w:type="pct"/>
                  <w:gridSpan w:val="2"/>
                  <w:vAlign w:val="center"/>
                </w:tcPr>
                <w:p w14:paraId="32FC5F58">
                  <w:pPr>
                    <w:pStyle w:val="5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排放口基本信息</w:t>
                  </w:r>
                </w:p>
              </w:tc>
              <w:tc>
                <w:tcPr>
                  <w:tcW w:w="978" w:type="pct"/>
                  <w:vAlign w:val="center"/>
                </w:tcPr>
                <w:p w14:paraId="237503DC">
                  <w:pPr>
                    <w:pStyle w:val="5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排放去向</w:t>
                  </w:r>
                </w:p>
              </w:tc>
              <w:tc>
                <w:tcPr>
                  <w:tcW w:w="782" w:type="pct"/>
                  <w:vAlign w:val="center"/>
                </w:tcPr>
                <w:p w14:paraId="01BB2E28">
                  <w:pPr>
                    <w:pStyle w:val="5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污染物种类</w:t>
                  </w:r>
                </w:p>
              </w:tc>
              <w:tc>
                <w:tcPr>
                  <w:tcW w:w="496" w:type="pct"/>
                  <w:vAlign w:val="center"/>
                </w:tcPr>
                <w:p w14:paraId="66BEFF44">
                  <w:pPr>
                    <w:pStyle w:val="5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监测点位</w:t>
                  </w:r>
                </w:p>
              </w:tc>
              <w:tc>
                <w:tcPr>
                  <w:tcW w:w="872" w:type="pct"/>
                  <w:gridSpan w:val="2"/>
                  <w:vAlign w:val="center"/>
                </w:tcPr>
                <w:p w14:paraId="5423F66B">
                  <w:pPr>
                    <w:pStyle w:val="57"/>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最低监测频次</w:t>
                  </w:r>
                </w:p>
              </w:tc>
            </w:tr>
            <w:tr w14:paraId="2FC7F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69" w:type="pct"/>
                  <w:vMerge w:val="continue"/>
                  <w:vAlign w:val="center"/>
                </w:tcPr>
                <w:p w14:paraId="2B6B325D">
                  <w:pPr>
                    <w:pStyle w:val="57"/>
                    <w:keepNext w:val="0"/>
                    <w:keepLines w:val="0"/>
                    <w:suppressLineNumbers w:val="0"/>
                    <w:bidi w:val="0"/>
                    <w:spacing w:before="0" w:beforeAutospacing="0" w:after="0" w:afterAutospacing="0"/>
                    <w:ind w:left="0" w:right="0"/>
                    <w:rPr>
                      <w:rFonts w:hint="default"/>
                      <w:lang w:val="en-US" w:eastAsia="zh-CN"/>
                    </w:rPr>
                  </w:pPr>
                </w:p>
              </w:tc>
              <w:tc>
                <w:tcPr>
                  <w:tcW w:w="413" w:type="pct"/>
                  <w:vMerge w:val="continue"/>
                  <w:vAlign w:val="center"/>
                </w:tcPr>
                <w:p w14:paraId="05EFC7A7">
                  <w:pPr>
                    <w:pStyle w:val="57"/>
                    <w:keepNext w:val="0"/>
                    <w:keepLines w:val="0"/>
                    <w:suppressLineNumbers w:val="0"/>
                    <w:bidi w:val="0"/>
                    <w:spacing w:before="0" w:beforeAutospacing="0" w:after="0" w:afterAutospacing="0"/>
                    <w:ind w:left="0" w:right="0"/>
                    <w:rPr>
                      <w:rFonts w:hint="default"/>
                      <w:lang w:val="en-US" w:eastAsia="zh-CN"/>
                    </w:rPr>
                  </w:pPr>
                </w:p>
              </w:tc>
              <w:tc>
                <w:tcPr>
                  <w:tcW w:w="662" w:type="pct"/>
                  <w:vAlign w:val="center"/>
                </w:tcPr>
                <w:p w14:paraId="5DBE7C3B">
                  <w:pPr>
                    <w:pStyle w:val="5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坐标</w:t>
                  </w:r>
                </w:p>
              </w:tc>
              <w:tc>
                <w:tcPr>
                  <w:tcW w:w="525" w:type="pct"/>
                  <w:vAlign w:val="center"/>
                </w:tcPr>
                <w:p w14:paraId="25DCB8F7">
                  <w:pPr>
                    <w:pStyle w:val="5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类型</w:t>
                  </w:r>
                </w:p>
              </w:tc>
              <w:tc>
                <w:tcPr>
                  <w:tcW w:w="978" w:type="pct"/>
                  <w:vMerge w:val="restart"/>
                  <w:vAlign w:val="center"/>
                </w:tcPr>
                <w:p w14:paraId="4E381A2B">
                  <w:pPr>
                    <w:pStyle w:val="5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生活污水经化粪池预处理后拉运至若羌县城镇污水处理厂进行集中处理</w:t>
                  </w:r>
                </w:p>
              </w:tc>
              <w:tc>
                <w:tcPr>
                  <w:tcW w:w="782" w:type="pct"/>
                  <w:vMerge w:val="restart"/>
                  <w:vAlign w:val="center"/>
                </w:tcPr>
                <w:p w14:paraId="7BA2796A">
                  <w:pPr>
                    <w:pStyle w:val="5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pH值、化学需氧量、氨氮、悬浮物、五日生化需氧量、总磷</w:t>
                  </w:r>
                </w:p>
              </w:tc>
              <w:tc>
                <w:tcPr>
                  <w:tcW w:w="496" w:type="pct"/>
                  <w:vMerge w:val="restart"/>
                  <w:vAlign w:val="center"/>
                </w:tcPr>
                <w:p w14:paraId="1D2B957A">
                  <w:pPr>
                    <w:pStyle w:val="5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生活污水单独排放口</w:t>
                  </w:r>
                </w:p>
              </w:tc>
              <w:tc>
                <w:tcPr>
                  <w:tcW w:w="437" w:type="pct"/>
                  <w:vAlign w:val="center"/>
                </w:tcPr>
                <w:p w14:paraId="17BF80A3">
                  <w:pPr>
                    <w:pStyle w:val="5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直接排放</w:t>
                  </w:r>
                </w:p>
              </w:tc>
              <w:tc>
                <w:tcPr>
                  <w:tcW w:w="434" w:type="pct"/>
                  <w:vAlign w:val="center"/>
                </w:tcPr>
                <w:p w14:paraId="7AE26817">
                  <w:pPr>
                    <w:pStyle w:val="5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间接排放</w:t>
                  </w:r>
                </w:p>
              </w:tc>
            </w:tr>
            <w:tr w14:paraId="71AD2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69" w:type="pct"/>
                  <w:vAlign w:val="center"/>
                </w:tcPr>
                <w:p w14:paraId="021FB739">
                  <w:pPr>
                    <w:pStyle w:val="5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生活污水</w:t>
                  </w:r>
                </w:p>
              </w:tc>
              <w:tc>
                <w:tcPr>
                  <w:tcW w:w="413" w:type="pct"/>
                  <w:vAlign w:val="center"/>
                </w:tcPr>
                <w:p w14:paraId="2B5A6326">
                  <w:pPr>
                    <w:pStyle w:val="5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DW001</w:t>
                  </w:r>
                </w:p>
              </w:tc>
              <w:tc>
                <w:tcPr>
                  <w:tcW w:w="662" w:type="pct"/>
                  <w:vAlign w:val="center"/>
                </w:tcPr>
                <w:p w14:paraId="714BCC8F">
                  <w:pPr>
                    <w:pStyle w:val="57"/>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E:88°14′32.773″,N:39°0′59.720″</w:t>
                  </w:r>
                </w:p>
              </w:tc>
              <w:tc>
                <w:tcPr>
                  <w:tcW w:w="525" w:type="pct"/>
                  <w:vAlign w:val="center"/>
                </w:tcPr>
                <w:p w14:paraId="48D87181">
                  <w:pPr>
                    <w:pStyle w:val="5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一般排放口</w:t>
                  </w:r>
                </w:p>
              </w:tc>
              <w:tc>
                <w:tcPr>
                  <w:tcW w:w="978" w:type="pct"/>
                  <w:vMerge w:val="continue"/>
                  <w:vAlign w:val="center"/>
                </w:tcPr>
                <w:p w14:paraId="4D9EAA52">
                  <w:pPr>
                    <w:pStyle w:val="57"/>
                    <w:keepNext w:val="0"/>
                    <w:keepLines w:val="0"/>
                    <w:suppressLineNumbers w:val="0"/>
                    <w:bidi w:val="0"/>
                    <w:spacing w:before="0" w:beforeAutospacing="0" w:after="0" w:afterAutospacing="0"/>
                    <w:ind w:left="0" w:right="0"/>
                    <w:rPr>
                      <w:rFonts w:hint="default"/>
                      <w:lang w:val="en-US" w:eastAsia="zh-CN"/>
                    </w:rPr>
                  </w:pPr>
                </w:p>
              </w:tc>
              <w:tc>
                <w:tcPr>
                  <w:tcW w:w="782" w:type="pct"/>
                  <w:vMerge w:val="continue"/>
                  <w:vAlign w:val="center"/>
                </w:tcPr>
                <w:p w14:paraId="2EBBB692">
                  <w:pPr>
                    <w:pStyle w:val="57"/>
                    <w:keepNext w:val="0"/>
                    <w:keepLines w:val="0"/>
                    <w:suppressLineNumbers w:val="0"/>
                    <w:bidi w:val="0"/>
                    <w:spacing w:before="0" w:beforeAutospacing="0" w:after="0" w:afterAutospacing="0"/>
                    <w:ind w:left="0" w:right="0"/>
                    <w:rPr>
                      <w:rFonts w:hint="default"/>
                      <w:lang w:val="en-US" w:eastAsia="zh-CN"/>
                    </w:rPr>
                  </w:pPr>
                </w:p>
              </w:tc>
              <w:tc>
                <w:tcPr>
                  <w:tcW w:w="496" w:type="pct"/>
                  <w:vMerge w:val="continue"/>
                  <w:vAlign w:val="center"/>
                </w:tcPr>
                <w:p w14:paraId="70770142">
                  <w:pPr>
                    <w:pStyle w:val="57"/>
                    <w:keepNext w:val="0"/>
                    <w:keepLines w:val="0"/>
                    <w:suppressLineNumbers w:val="0"/>
                    <w:bidi w:val="0"/>
                    <w:spacing w:before="0" w:beforeAutospacing="0" w:after="0" w:afterAutospacing="0"/>
                    <w:ind w:left="0" w:right="0"/>
                    <w:rPr>
                      <w:rFonts w:hint="default"/>
                      <w:lang w:val="en-US" w:eastAsia="zh-CN"/>
                    </w:rPr>
                  </w:pPr>
                </w:p>
              </w:tc>
              <w:tc>
                <w:tcPr>
                  <w:tcW w:w="437" w:type="pct"/>
                  <w:vAlign w:val="center"/>
                </w:tcPr>
                <w:p w14:paraId="2E01425D">
                  <w:pPr>
                    <w:pStyle w:val="5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半年</w:t>
                  </w:r>
                </w:p>
              </w:tc>
              <w:tc>
                <w:tcPr>
                  <w:tcW w:w="434" w:type="pct"/>
                  <w:vAlign w:val="center"/>
                </w:tcPr>
                <w:p w14:paraId="36B246F6">
                  <w:pPr>
                    <w:pStyle w:val="5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r>
          </w:tbl>
          <w:p w14:paraId="2E8F62B4">
            <w:pPr>
              <w:pStyle w:val="2"/>
              <w:bidi w:val="0"/>
              <w:rPr>
                <w:rFonts w:hint="default"/>
                <w:lang w:val="en-US" w:eastAsia="zh-CN"/>
              </w:rPr>
            </w:pPr>
            <w:r>
              <w:rPr>
                <w:rFonts w:hint="default"/>
                <w:lang w:val="en-US" w:eastAsia="zh-CN"/>
              </w:rPr>
              <w:t>3.声环境影响和保护措施</w:t>
            </w:r>
          </w:p>
          <w:p w14:paraId="4F6C242F">
            <w:pPr>
              <w:pStyle w:val="2"/>
              <w:bidi w:val="0"/>
              <w:rPr>
                <w:rFonts w:hint="default"/>
                <w:lang w:val="en-US" w:eastAsia="zh-CN"/>
              </w:rPr>
            </w:pPr>
            <w:r>
              <w:rPr>
                <w:rFonts w:hint="default"/>
                <w:lang w:val="en-US" w:eastAsia="zh-CN"/>
              </w:rPr>
              <w:t>3.1预测模型</w:t>
            </w:r>
          </w:p>
          <w:p w14:paraId="7B7E1112">
            <w:pPr>
              <w:pStyle w:val="8"/>
              <w:bidi w:val="0"/>
              <w:rPr>
                <w:rFonts w:hint="default"/>
                <w:lang w:val="en-US" w:eastAsia="zh-CN"/>
              </w:rPr>
            </w:pPr>
            <w:r>
              <w:rPr>
                <w:rFonts w:hint="default"/>
                <w:lang w:val="en-US" w:eastAsia="zh-CN"/>
              </w:rPr>
              <w:t>根据项目建设内容及《环境影响评价技术导则 声环境》（HJ2.4-2021）的要求，项目环评采用的模型为《环境影响评价技术导则 声环境》（HJ2.4.2021）附录A（规范性附录）户外声传播的衰减和附录B（规范性附录）中</w:t>
            </w:r>
            <w:r>
              <w:rPr>
                <w:rFonts w:hint="eastAsia"/>
                <w:lang w:val="en-US" w:eastAsia="zh-CN"/>
              </w:rPr>
              <w:t>“</w:t>
            </w:r>
            <w:r>
              <w:rPr>
                <w:rFonts w:hint="default"/>
                <w:lang w:val="en-US" w:eastAsia="zh-CN"/>
              </w:rPr>
              <w:t>B.1工业噪声预测计算模型</w:t>
            </w:r>
            <w:r>
              <w:rPr>
                <w:rFonts w:hint="eastAsia"/>
                <w:lang w:val="en-US" w:eastAsia="zh-CN"/>
              </w:rPr>
              <w:t>”</w:t>
            </w:r>
            <w:r>
              <w:rPr>
                <w:rFonts w:hint="default"/>
                <w:lang w:val="en-US" w:eastAsia="zh-CN"/>
              </w:rPr>
              <w:t>。</w:t>
            </w:r>
          </w:p>
          <w:p w14:paraId="021B14A8">
            <w:pPr>
              <w:pStyle w:val="8"/>
              <w:bidi w:val="0"/>
              <w:rPr>
                <w:rFonts w:hint="eastAsia"/>
                <w:lang w:val="en-US" w:eastAsia="zh-CN"/>
              </w:rPr>
            </w:pPr>
            <w:r>
              <w:rPr>
                <w:rFonts w:hint="eastAsia"/>
                <w:lang w:val="en-US" w:eastAsia="zh-CN"/>
              </w:rPr>
              <w:t>户外声传播的衰减公式：</w:t>
            </w:r>
          </w:p>
          <w:p w14:paraId="53C59F86">
            <w:pPr>
              <w:pStyle w:val="8"/>
              <w:bidi w:val="0"/>
              <w:spacing w:line="240" w:lineRule="auto"/>
              <w:ind w:left="0" w:leftChars="0" w:firstLine="0" w:firstLineChars="0"/>
              <w:rPr>
                <w:rFonts w:hint="default"/>
                <w:lang w:val="en-US" w:eastAsia="zh-CN"/>
              </w:rPr>
            </w:pPr>
            <w:r>
              <w:rPr>
                <w:rFonts w:hint="default"/>
                <w:lang w:val="en-US" w:eastAsia="zh-CN"/>
              </w:rPr>
              <w:drawing>
                <wp:inline distT="0" distB="0" distL="114300" distR="114300">
                  <wp:extent cx="4578350" cy="318135"/>
                  <wp:effectExtent l="0" t="0" r="0" b="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15"/>
                          <a:srcRect r="7600" b="-4593"/>
                          <a:stretch>
                            <a:fillRect/>
                          </a:stretch>
                        </pic:blipFill>
                        <pic:spPr>
                          <a:xfrm>
                            <a:off x="0" y="0"/>
                            <a:ext cx="4578350" cy="318135"/>
                          </a:xfrm>
                          <a:prstGeom prst="rect">
                            <a:avLst/>
                          </a:prstGeom>
                          <a:noFill/>
                          <a:ln>
                            <a:noFill/>
                          </a:ln>
                        </pic:spPr>
                      </pic:pic>
                    </a:graphicData>
                  </a:graphic>
                </wp:inline>
              </w:drawing>
            </w:r>
            <w:r>
              <w:rPr>
                <w:rFonts w:hint="default"/>
                <w:lang w:val="en-US" w:eastAsia="zh-CN"/>
              </w:rPr>
              <w:drawing>
                <wp:inline distT="0" distB="0" distL="114300" distR="114300">
                  <wp:extent cx="4955540" cy="344805"/>
                  <wp:effectExtent l="0" t="0" r="0" b="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16"/>
                          <a:srcRect l="-154" r="154" b="73667"/>
                          <a:stretch>
                            <a:fillRect/>
                          </a:stretch>
                        </pic:blipFill>
                        <pic:spPr>
                          <a:xfrm>
                            <a:off x="0" y="0"/>
                            <a:ext cx="4955540" cy="344805"/>
                          </a:xfrm>
                          <a:prstGeom prst="rect">
                            <a:avLst/>
                          </a:prstGeom>
                          <a:noFill/>
                          <a:ln>
                            <a:noFill/>
                          </a:ln>
                        </pic:spPr>
                      </pic:pic>
                    </a:graphicData>
                  </a:graphic>
                </wp:inline>
              </w:drawing>
            </w:r>
            <w:r>
              <w:rPr>
                <w:rFonts w:hint="default"/>
                <w:lang w:val="en-US" w:eastAsia="zh-CN"/>
              </w:rPr>
              <w:drawing>
                <wp:inline distT="0" distB="0" distL="114300" distR="114300">
                  <wp:extent cx="4955540" cy="972820"/>
                  <wp:effectExtent l="0" t="0" r="0" b="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16"/>
                          <a:srcRect l="-154" t="25703" r="154"/>
                          <a:stretch>
                            <a:fillRect/>
                          </a:stretch>
                        </pic:blipFill>
                        <pic:spPr>
                          <a:xfrm>
                            <a:off x="0" y="0"/>
                            <a:ext cx="4955540" cy="972820"/>
                          </a:xfrm>
                          <a:prstGeom prst="rect">
                            <a:avLst/>
                          </a:prstGeom>
                          <a:noFill/>
                          <a:ln>
                            <a:noFill/>
                          </a:ln>
                        </pic:spPr>
                      </pic:pic>
                    </a:graphicData>
                  </a:graphic>
                </wp:inline>
              </w:drawing>
            </w:r>
          </w:p>
          <w:p w14:paraId="6FA7C543">
            <w:pPr>
              <w:pStyle w:val="53"/>
              <w:bidi w:val="0"/>
              <w:rPr>
                <w:rFonts w:hint="eastAsia"/>
                <w:lang w:val="en-US" w:eastAsia="zh-CN"/>
              </w:rPr>
            </w:pPr>
            <w:r>
              <w:rPr>
                <w:rFonts w:hint="eastAsia"/>
                <w:lang w:val="en-US" w:eastAsia="zh-CN"/>
              </w:rPr>
              <w:t>B.1工业噪声预测模型</w:t>
            </w:r>
          </w:p>
          <w:p w14:paraId="4332F8B0">
            <w:pPr>
              <w:pStyle w:val="53"/>
              <w:bidi w:val="0"/>
              <w:spacing w:line="240" w:lineRule="auto"/>
              <w:ind w:left="0" w:leftChars="0" w:firstLine="0" w:firstLineChars="0"/>
              <w:rPr>
                <w:rFonts w:hint="default"/>
                <w:lang w:val="en-US" w:eastAsia="zh-CN"/>
              </w:rPr>
            </w:pPr>
            <w:r>
              <w:rPr>
                <w:rFonts w:hint="default"/>
                <w:lang w:val="en-US" w:eastAsia="zh-CN"/>
              </w:rPr>
              <w:drawing>
                <wp:inline distT="0" distB="0" distL="114300" distR="114300">
                  <wp:extent cx="4950460" cy="2488565"/>
                  <wp:effectExtent l="0" t="0" r="2540" b="6985"/>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17"/>
                          <a:stretch>
                            <a:fillRect/>
                          </a:stretch>
                        </pic:blipFill>
                        <pic:spPr>
                          <a:xfrm>
                            <a:off x="0" y="0"/>
                            <a:ext cx="4950460" cy="2488565"/>
                          </a:xfrm>
                          <a:prstGeom prst="rect">
                            <a:avLst/>
                          </a:prstGeom>
                          <a:noFill/>
                          <a:ln>
                            <a:noFill/>
                          </a:ln>
                        </pic:spPr>
                      </pic:pic>
                    </a:graphicData>
                  </a:graphic>
                </wp:inline>
              </w:drawing>
            </w:r>
          </w:p>
          <w:p w14:paraId="08212638">
            <w:pPr>
              <w:pStyle w:val="2"/>
              <w:bidi w:val="0"/>
              <w:rPr>
                <w:rFonts w:hint="default"/>
                <w:lang w:val="en-US" w:eastAsia="zh-CN"/>
              </w:rPr>
            </w:pPr>
            <w:r>
              <w:rPr>
                <w:rFonts w:hint="default"/>
                <w:lang w:val="en-US" w:eastAsia="zh-CN"/>
              </w:rPr>
              <w:t>3.2预测参数</w:t>
            </w:r>
          </w:p>
          <w:p w14:paraId="55522898">
            <w:pPr>
              <w:pStyle w:val="8"/>
              <w:bidi w:val="0"/>
              <w:rPr>
                <w:rFonts w:hint="default"/>
                <w:lang w:val="en-US" w:eastAsia="zh-CN"/>
              </w:rPr>
            </w:pPr>
            <w:r>
              <w:rPr>
                <w:rFonts w:hint="default"/>
                <w:lang w:val="en-US" w:eastAsia="zh-CN"/>
              </w:rPr>
              <w:t>噪声</w:t>
            </w:r>
            <w:r>
              <w:rPr>
                <w:rFonts w:hint="eastAsia"/>
                <w:lang w:val="en-US" w:eastAsia="zh-CN"/>
              </w:rPr>
              <w:t>源</w:t>
            </w:r>
            <w:r>
              <w:rPr>
                <w:rFonts w:hint="default"/>
                <w:lang w:val="en-US" w:eastAsia="zh-CN"/>
              </w:rPr>
              <w:t>主要</w:t>
            </w:r>
            <w:r>
              <w:rPr>
                <w:rFonts w:hint="eastAsia"/>
                <w:lang w:val="en-US" w:eastAsia="zh-CN"/>
              </w:rPr>
              <w:t>为</w:t>
            </w:r>
            <w:r>
              <w:rPr>
                <w:rFonts w:hint="default"/>
                <w:lang w:val="en-US" w:eastAsia="zh-CN"/>
              </w:rPr>
              <w:t>搅拌机、</w:t>
            </w:r>
            <w:r>
              <w:rPr>
                <w:rFonts w:hint="eastAsia"/>
                <w:lang w:val="en-US" w:eastAsia="zh-CN"/>
              </w:rPr>
              <w:t>切割机、振捣器</w:t>
            </w:r>
            <w:r>
              <w:rPr>
                <w:rFonts w:hint="default"/>
                <w:lang w:val="en-US" w:eastAsia="zh-CN"/>
              </w:rPr>
              <w:t>等，噪声值一般为</w:t>
            </w:r>
            <w:r>
              <w:rPr>
                <w:rFonts w:hint="eastAsia"/>
                <w:lang w:val="en-US" w:eastAsia="zh-CN"/>
              </w:rPr>
              <w:t>6</w:t>
            </w:r>
            <w:r>
              <w:rPr>
                <w:rFonts w:hint="eastAsia"/>
                <w:highlight w:val="none"/>
                <w:lang w:val="en-US" w:eastAsia="zh-CN"/>
              </w:rPr>
              <w:t>5</w:t>
            </w:r>
            <w:r>
              <w:rPr>
                <w:rFonts w:hint="default"/>
                <w:highlight w:val="none"/>
                <w:lang w:val="en-US" w:eastAsia="zh-CN"/>
              </w:rPr>
              <w:t>～</w:t>
            </w:r>
            <w:r>
              <w:rPr>
                <w:rFonts w:hint="eastAsia"/>
                <w:highlight w:val="none"/>
                <w:lang w:val="en-US" w:eastAsia="zh-CN"/>
              </w:rPr>
              <w:t>87</w:t>
            </w:r>
            <w:r>
              <w:rPr>
                <w:rFonts w:hint="default"/>
                <w:lang w:val="en-US" w:eastAsia="zh-CN"/>
              </w:rPr>
              <w:t>dB（A）。设备正常运行过程中产生的噪声污染是各机械设备单台噪声值的叠加值，具体污染工序中生产设备直接噪声影响值分析及单台噪声值见下表。各生产设备噪声值详见下表。</w:t>
            </w:r>
          </w:p>
        </w:tc>
      </w:tr>
    </w:tbl>
    <w:p w14:paraId="79D525AC">
      <w:pPr>
        <w:pStyle w:val="11"/>
        <w:rPr>
          <w:rFonts w:hint="eastAsia"/>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3"/>
        <w:tblpPr w:leftFromText="180" w:rightFromText="180" w:vertAnchor="text" w:horzAnchor="page" w:tblpX="2506" w:tblpY="2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0"/>
      </w:tblGrid>
      <w:tr w14:paraId="62DB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6" w:hRule="atLeast"/>
        </w:trPr>
        <w:tc>
          <w:tcPr>
            <w:tcW w:w="12640" w:type="dxa"/>
          </w:tcPr>
          <w:p w14:paraId="7046873C">
            <w:pPr>
              <w:pStyle w:val="42"/>
              <w:bidi w:val="0"/>
              <w:rPr>
                <w:rFonts w:hint="default"/>
                <w:lang w:val="en-US" w:eastAsia="zh-CN"/>
              </w:rPr>
            </w:pPr>
            <w:r>
              <w:rPr>
                <w:rFonts w:hint="default"/>
                <w:lang w:val="en-US" w:eastAsia="zh-CN"/>
              </w:rPr>
              <w:t>表4-</w:t>
            </w:r>
            <w:r>
              <w:rPr>
                <w:rFonts w:hint="eastAsia"/>
                <w:lang w:val="en-US" w:eastAsia="zh-CN"/>
              </w:rPr>
              <w:t>9</w:t>
            </w:r>
            <w:r>
              <w:rPr>
                <w:rFonts w:hint="default"/>
                <w:lang w:val="en-US" w:eastAsia="zh-CN"/>
              </w:rPr>
              <w:t xml:space="preserve">    项目主要设备噪声源强</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35"/>
              <w:gridCol w:w="494"/>
              <w:gridCol w:w="1403"/>
              <w:gridCol w:w="900"/>
              <w:gridCol w:w="508"/>
              <w:gridCol w:w="450"/>
              <w:gridCol w:w="404"/>
              <w:gridCol w:w="357"/>
              <w:gridCol w:w="450"/>
              <w:gridCol w:w="427"/>
              <w:gridCol w:w="381"/>
              <w:gridCol w:w="427"/>
              <w:gridCol w:w="415"/>
              <w:gridCol w:w="427"/>
              <w:gridCol w:w="404"/>
              <w:gridCol w:w="381"/>
              <w:gridCol w:w="415"/>
              <w:gridCol w:w="381"/>
              <w:gridCol w:w="404"/>
              <w:gridCol w:w="404"/>
              <w:gridCol w:w="392"/>
              <w:gridCol w:w="415"/>
              <w:gridCol w:w="393"/>
              <w:gridCol w:w="380"/>
              <w:gridCol w:w="385"/>
              <w:gridCol w:w="575"/>
            </w:tblGrid>
            <w:tr w14:paraId="1308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exact"/>
                <w:jc w:val="center"/>
              </w:trPr>
              <w:tc>
                <w:tcPr>
                  <w:tcW w:w="175" w:type="pct"/>
                  <w:vMerge w:val="restart"/>
                  <w:tcBorders>
                    <w:tl2br w:val="nil"/>
                    <w:tr2bl w:val="nil"/>
                  </w:tcBorders>
                  <w:shd w:val="clear" w:color="auto" w:fill="auto"/>
                  <w:vAlign w:val="center"/>
                </w:tcPr>
                <w:p w14:paraId="04D1CE8B">
                  <w:pPr>
                    <w:pStyle w:val="40"/>
                    <w:bidi w:val="0"/>
                  </w:pPr>
                  <w:bookmarkStart w:id="24" w:name="PT_6"/>
                  <w:r>
                    <w:t>序号</w:t>
                  </w:r>
                </w:p>
              </w:tc>
              <w:tc>
                <w:tcPr>
                  <w:tcW w:w="199" w:type="pct"/>
                  <w:vMerge w:val="restart"/>
                  <w:tcBorders>
                    <w:tl2br w:val="nil"/>
                    <w:tr2bl w:val="nil"/>
                  </w:tcBorders>
                  <w:shd w:val="clear" w:color="auto" w:fill="auto"/>
                  <w:vAlign w:val="center"/>
                </w:tcPr>
                <w:p w14:paraId="4D895EBF">
                  <w:pPr>
                    <w:pStyle w:val="40"/>
                    <w:bidi w:val="0"/>
                  </w:pPr>
                  <w:r>
                    <w:t>建筑物名称</w:t>
                  </w:r>
                </w:p>
              </w:tc>
              <w:tc>
                <w:tcPr>
                  <w:tcW w:w="565" w:type="pct"/>
                  <w:vMerge w:val="restart"/>
                  <w:tcBorders>
                    <w:tl2br w:val="nil"/>
                    <w:tr2bl w:val="nil"/>
                  </w:tcBorders>
                  <w:shd w:val="clear" w:color="auto" w:fill="auto"/>
                  <w:vAlign w:val="center"/>
                </w:tcPr>
                <w:p w14:paraId="3E426BEB">
                  <w:pPr>
                    <w:pStyle w:val="40"/>
                    <w:bidi w:val="0"/>
                  </w:pPr>
                  <w:r>
                    <w:t>声源名称</w:t>
                  </w:r>
                </w:p>
              </w:tc>
              <w:tc>
                <w:tcPr>
                  <w:tcW w:w="362" w:type="pct"/>
                  <w:vMerge w:val="restart"/>
                  <w:tcBorders>
                    <w:tl2br w:val="nil"/>
                    <w:tr2bl w:val="nil"/>
                  </w:tcBorders>
                  <w:shd w:val="clear" w:color="auto" w:fill="auto"/>
                  <w:vAlign w:val="center"/>
                </w:tcPr>
                <w:p w14:paraId="53CBC0F8">
                  <w:pPr>
                    <w:pStyle w:val="40"/>
                    <w:bidi w:val="0"/>
                  </w:pPr>
                  <w:r>
                    <w:t>声功率级/dB(A)</w:t>
                  </w:r>
                </w:p>
              </w:tc>
              <w:tc>
                <w:tcPr>
                  <w:tcW w:w="204" w:type="pct"/>
                  <w:vMerge w:val="restart"/>
                  <w:tcBorders>
                    <w:tl2br w:val="nil"/>
                    <w:tr2bl w:val="nil"/>
                  </w:tcBorders>
                  <w:shd w:val="clear" w:color="auto" w:fill="auto"/>
                  <w:vAlign w:val="center"/>
                </w:tcPr>
                <w:p w14:paraId="4832CA3E">
                  <w:pPr>
                    <w:pStyle w:val="40"/>
                    <w:bidi w:val="0"/>
                  </w:pPr>
                  <w:r>
                    <w:t>声源控制措施</w:t>
                  </w:r>
                </w:p>
              </w:tc>
              <w:tc>
                <w:tcPr>
                  <w:tcW w:w="488" w:type="pct"/>
                  <w:gridSpan w:val="3"/>
                  <w:tcBorders>
                    <w:tl2br w:val="nil"/>
                    <w:tr2bl w:val="nil"/>
                  </w:tcBorders>
                  <w:shd w:val="clear" w:color="auto" w:fill="auto"/>
                  <w:vAlign w:val="center"/>
                </w:tcPr>
                <w:p w14:paraId="59727ABE">
                  <w:pPr>
                    <w:pStyle w:val="40"/>
                    <w:bidi w:val="0"/>
                  </w:pPr>
                  <w:r>
                    <w:t>空间相对位置/m</w:t>
                  </w:r>
                </w:p>
              </w:tc>
              <w:tc>
                <w:tcPr>
                  <w:tcW w:w="679" w:type="pct"/>
                  <w:gridSpan w:val="4"/>
                  <w:tcBorders>
                    <w:tl2br w:val="nil"/>
                    <w:tr2bl w:val="nil"/>
                  </w:tcBorders>
                  <w:shd w:val="clear" w:color="auto" w:fill="auto"/>
                  <w:vAlign w:val="center"/>
                </w:tcPr>
                <w:p w14:paraId="0A45571E">
                  <w:pPr>
                    <w:pStyle w:val="40"/>
                    <w:bidi w:val="0"/>
                  </w:pPr>
                  <w:r>
                    <w:t>距室内边界距离/m</w:t>
                  </w:r>
                </w:p>
              </w:tc>
              <w:tc>
                <w:tcPr>
                  <w:tcW w:w="655" w:type="pct"/>
                  <w:gridSpan w:val="4"/>
                  <w:tcBorders>
                    <w:tl2br w:val="nil"/>
                    <w:tr2bl w:val="nil"/>
                  </w:tcBorders>
                  <w:shd w:val="clear" w:color="auto" w:fill="auto"/>
                  <w:vAlign w:val="center"/>
                </w:tcPr>
                <w:p w14:paraId="797328FD">
                  <w:pPr>
                    <w:pStyle w:val="40"/>
                    <w:bidi w:val="0"/>
                  </w:pPr>
                  <w:r>
                    <w:t>室内边界声级/dB(A)</w:t>
                  </w:r>
                </w:p>
              </w:tc>
              <w:tc>
                <w:tcPr>
                  <w:tcW w:w="167" w:type="pct"/>
                  <w:vMerge w:val="restart"/>
                  <w:tcBorders>
                    <w:tl2br w:val="nil"/>
                    <w:tr2bl w:val="nil"/>
                  </w:tcBorders>
                  <w:shd w:val="clear" w:color="auto" w:fill="auto"/>
                  <w:vAlign w:val="center"/>
                </w:tcPr>
                <w:p w14:paraId="356E62B3">
                  <w:pPr>
                    <w:pStyle w:val="40"/>
                    <w:bidi w:val="0"/>
                  </w:pPr>
                  <w:r>
                    <w:t>运行时段</w:t>
                  </w:r>
                </w:p>
              </w:tc>
              <w:tc>
                <w:tcPr>
                  <w:tcW w:w="637" w:type="pct"/>
                  <w:gridSpan w:val="4"/>
                  <w:tcBorders>
                    <w:tl2br w:val="nil"/>
                    <w:tr2bl w:val="nil"/>
                  </w:tcBorders>
                  <w:shd w:val="clear" w:color="auto" w:fill="auto"/>
                  <w:vAlign w:val="center"/>
                </w:tcPr>
                <w:p w14:paraId="45AF3CF4">
                  <w:pPr>
                    <w:pStyle w:val="40"/>
                    <w:bidi w:val="0"/>
                  </w:pPr>
                  <w:r>
                    <w:t>建筑物插入损失/dB(A)</w:t>
                  </w:r>
                  <w:bookmarkStart w:id="25" w:name="PT_10"/>
                  <w:bookmarkEnd w:id="25"/>
                </w:p>
              </w:tc>
              <w:tc>
                <w:tcPr>
                  <w:tcW w:w="865" w:type="pct"/>
                  <w:gridSpan w:val="5"/>
                  <w:tcBorders>
                    <w:tl2br w:val="nil"/>
                    <w:tr2bl w:val="nil"/>
                  </w:tcBorders>
                  <w:shd w:val="clear" w:color="auto" w:fill="auto"/>
                  <w:vAlign w:val="center"/>
                </w:tcPr>
                <w:p w14:paraId="4AC64078">
                  <w:pPr>
                    <w:pStyle w:val="40"/>
                    <w:bidi w:val="0"/>
                  </w:pPr>
                  <w:r>
                    <w:t>建筑物外噪声声压级/dB(A)</w:t>
                  </w:r>
                </w:p>
              </w:tc>
            </w:tr>
            <w:tr w14:paraId="37C8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5" w:type="pct"/>
                  <w:vMerge w:val="continue"/>
                  <w:tcBorders>
                    <w:tl2br w:val="nil"/>
                    <w:tr2bl w:val="nil"/>
                  </w:tcBorders>
                  <w:shd w:val="clear" w:color="auto" w:fill="auto"/>
                  <w:tcMar>
                    <w:top w:w="0" w:type="dxa"/>
                    <w:left w:w="0" w:type="dxa"/>
                    <w:bottom w:w="0" w:type="dxa"/>
                    <w:right w:w="0" w:type="dxa"/>
                  </w:tcMar>
                  <w:vAlign w:val="center"/>
                </w:tcPr>
                <w:p w14:paraId="2970D90B">
                  <w:pPr>
                    <w:pStyle w:val="40"/>
                    <w:bidi w:val="0"/>
                    <w:rPr>
                      <w:rFonts w:hint="default"/>
                      <w:lang w:val="en-US" w:eastAsia="zh-CN"/>
                    </w:rPr>
                  </w:pPr>
                </w:p>
              </w:tc>
              <w:tc>
                <w:tcPr>
                  <w:tcW w:w="199" w:type="pct"/>
                  <w:vMerge w:val="continue"/>
                  <w:tcBorders>
                    <w:tl2br w:val="nil"/>
                    <w:tr2bl w:val="nil"/>
                  </w:tcBorders>
                  <w:shd w:val="clear" w:color="auto" w:fill="auto"/>
                  <w:tcMar>
                    <w:top w:w="0" w:type="dxa"/>
                    <w:left w:w="0" w:type="dxa"/>
                    <w:bottom w:w="0" w:type="dxa"/>
                    <w:right w:w="0" w:type="dxa"/>
                  </w:tcMar>
                  <w:vAlign w:val="center"/>
                </w:tcPr>
                <w:p w14:paraId="48AE6D0C">
                  <w:pPr>
                    <w:pStyle w:val="40"/>
                    <w:bidi w:val="0"/>
                  </w:pPr>
                </w:p>
              </w:tc>
              <w:tc>
                <w:tcPr>
                  <w:tcW w:w="565" w:type="pct"/>
                  <w:vMerge w:val="continue"/>
                  <w:tcBorders>
                    <w:tl2br w:val="nil"/>
                    <w:tr2bl w:val="nil"/>
                  </w:tcBorders>
                  <w:shd w:val="clear" w:color="auto" w:fill="auto"/>
                  <w:tcMar>
                    <w:top w:w="0" w:type="dxa"/>
                    <w:left w:w="0" w:type="dxa"/>
                    <w:bottom w:w="0" w:type="dxa"/>
                    <w:right w:w="0" w:type="dxa"/>
                  </w:tcMar>
                  <w:vAlign w:val="center"/>
                </w:tcPr>
                <w:p w14:paraId="18DB6527">
                  <w:pPr>
                    <w:pStyle w:val="40"/>
                    <w:bidi w:val="0"/>
                  </w:pPr>
                </w:p>
              </w:tc>
              <w:tc>
                <w:tcPr>
                  <w:tcW w:w="362" w:type="pct"/>
                  <w:vMerge w:val="continue"/>
                  <w:tcBorders>
                    <w:tl2br w:val="nil"/>
                    <w:tr2bl w:val="nil"/>
                  </w:tcBorders>
                  <w:shd w:val="clear" w:color="auto" w:fill="auto"/>
                  <w:tcMar>
                    <w:top w:w="0" w:type="dxa"/>
                    <w:left w:w="0" w:type="dxa"/>
                    <w:bottom w:w="0" w:type="dxa"/>
                    <w:right w:w="0" w:type="dxa"/>
                  </w:tcMar>
                  <w:vAlign w:val="center"/>
                </w:tcPr>
                <w:p w14:paraId="54030632">
                  <w:pPr>
                    <w:pStyle w:val="40"/>
                    <w:bidi w:val="0"/>
                  </w:pPr>
                </w:p>
              </w:tc>
              <w:tc>
                <w:tcPr>
                  <w:tcW w:w="204" w:type="pct"/>
                  <w:vMerge w:val="continue"/>
                  <w:tcBorders>
                    <w:tl2br w:val="nil"/>
                    <w:tr2bl w:val="nil"/>
                  </w:tcBorders>
                  <w:shd w:val="clear" w:color="auto" w:fill="auto"/>
                  <w:tcMar>
                    <w:top w:w="0" w:type="dxa"/>
                    <w:left w:w="0" w:type="dxa"/>
                    <w:bottom w:w="0" w:type="dxa"/>
                    <w:right w:w="0" w:type="dxa"/>
                  </w:tcMar>
                  <w:vAlign w:val="center"/>
                </w:tcPr>
                <w:p w14:paraId="1EF0EA43">
                  <w:pPr>
                    <w:pStyle w:val="40"/>
                    <w:bidi w:val="0"/>
                  </w:pPr>
                </w:p>
              </w:tc>
              <w:tc>
                <w:tcPr>
                  <w:tcW w:w="181" w:type="pct"/>
                  <w:tcBorders>
                    <w:tl2br w:val="nil"/>
                    <w:tr2bl w:val="nil"/>
                  </w:tcBorders>
                  <w:shd w:val="clear" w:color="auto" w:fill="auto"/>
                  <w:tcMar>
                    <w:top w:w="0" w:type="dxa"/>
                    <w:left w:w="0" w:type="dxa"/>
                    <w:bottom w:w="0" w:type="dxa"/>
                    <w:right w:w="0" w:type="dxa"/>
                  </w:tcMar>
                  <w:vAlign w:val="center"/>
                </w:tcPr>
                <w:p w14:paraId="62000E68">
                  <w:pPr>
                    <w:pStyle w:val="40"/>
                    <w:bidi w:val="0"/>
                  </w:pPr>
                  <w:r>
                    <w:t>X</w:t>
                  </w:r>
                </w:p>
              </w:tc>
              <w:tc>
                <w:tcPr>
                  <w:tcW w:w="162" w:type="pct"/>
                  <w:tcBorders>
                    <w:tl2br w:val="nil"/>
                    <w:tr2bl w:val="nil"/>
                  </w:tcBorders>
                  <w:shd w:val="clear" w:color="auto" w:fill="auto"/>
                  <w:tcMar>
                    <w:top w:w="0" w:type="dxa"/>
                    <w:left w:w="0" w:type="dxa"/>
                    <w:bottom w:w="0" w:type="dxa"/>
                    <w:right w:w="0" w:type="dxa"/>
                  </w:tcMar>
                  <w:vAlign w:val="center"/>
                </w:tcPr>
                <w:p w14:paraId="1A04DB63">
                  <w:pPr>
                    <w:pStyle w:val="40"/>
                    <w:bidi w:val="0"/>
                  </w:pPr>
                  <w:r>
                    <w:t>Y</w:t>
                  </w:r>
                </w:p>
              </w:tc>
              <w:tc>
                <w:tcPr>
                  <w:tcW w:w="143" w:type="pct"/>
                  <w:tcBorders>
                    <w:tl2br w:val="nil"/>
                    <w:tr2bl w:val="nil"/>
                  </w:tcBorders>
                  <w:shd w:val="clear" w:color="auto" w:fill="auto"/>
                  <w:tcMar>
                    <w:top w:w="0" w:type="dxa"/>
                    <w:left w:w="0" w:type="dxa"/>
                    <w:bottom w:w="0" w:type="dxa"/>
                    <w:right w:w="0" w:type="dxa"/>
                  </w:tcMar>
                  <w:vAlign w:val="center"/>
                </w:tcPr>
                <w:p w14:paraId="60F2E15E">
                  <w:pPr>
                    <w:pStyle w:val="40"/>
                    <w:bidi w:val="0"/>
                  </w:pPr>
                  <w:r>
                    <w:t>Z</w:t>
                  </w:r>
                </w:p>
              </w:tc>
              <w:tc>
                <w:tcPr>
                  <w:tcW w:w="181" w:type="pct"/>
                  <w:tcBorders>
                    <w:tl2br w:val="nil"/>
                    <w:tr2bl w:val="nil"/>
                  </w:tcBorders>
                  <w:shd w:val="clear" w:color="auto" w:fill="auto"/>
                  <w:tcMar>
                    <w:top w:w="0" w:type="dxa"/>
                    <w:left w:w="0" w:type="dxa"/>
                    <w:bottom w:w="0" w:type="dxa"/>
                    <w:right w:w="0" w:type="dxa"/>
                  </w:tcMar>
                  <w:vAlign w:val="center"/>
                </w:tcPr>
                <w:p w14:paraId="5190A2D9">
                  <w:pPr>
                    <w:pStyle w:val="40"/>
                    <w:bidi w:val="0"/>
                  </w:pPr>
                  <w:r>
                    <w:rPr>
                      <w:rFonts w:hint="eastAsia"/>
                      <w:lang w:val="en-US" w:eastAsia="zh-CN"/>
                    </w:rPr>
                    <w:t>东</w:t>
                  </w:r>
                </w:p>
              </w:tc>
              <w:tc>
                <w:tcPr>
                  <w:tcW w:w="172" w:type="pct"/>
                  <w:tcBorders>
                    <w:tl2br w:val="nil"/>
                    <w:tr2bl w:val="nil"/>
                  </w:tcBorders>
                  <w:shd w:val="clear" w:color="auto" w:fill="auto"/>
                  <w:tcMar>
                    <w:top w:w="0" w:type="dxa"/>
                    <w:left w:w="0" w:type="dxa"/>
                    <w:bottom w:w="0" w:type="dxa"/>
                    <w:right w:w="0" w:type="dxa"/>
                  </w:tcMar>
                  <w:vAlign w:val="center"/>
                </w:tcPr>
                <w:p w14:paraId="69858738">
                  <w:pPr>
                    <w:pStyle w:val="40"/>
                    <w:bidi w:val="0"/>
                  </w:pPr>
                  <w:r>
                    <w:rPr>
                      <w:rFonts w:hint="eastAsia"/>
                      <w:lang w:val="en-US" w:eastAsia="zh-CN"/>
                    </w:rPr>
                    <w:t>南</w:t>
                  </w:r>
                </w:p>
              </w:tc>
              <w:tc>
                <w:tcPr>
                  <w:tcW w:w="153" w:type="pct"/>
                  <w:tcBorders>
                    <w:tl2br w:val="nil"/>
                    <w:tr2bl w:val="nil"/>
                  </w:tcBorders>
                  <w:shd w:val="clear" w:color="auto" w:fill="auto"/>
                  <w:tcMar>
                    <w:top w:w="0" w:type="dxa"/>
                    <w:left w:w="0" w:type="dxa"/>
                    <w:bottom w:w="0" w:type="dxa"/>
                    <w:right w:w="0" w:type="dxa"/>
                  </w:tcMar>
                  <w:vAlign w:val="center"/>
                </w:tcPr>
                <w:p w14:paraId="4E106BEE">
                  <w:pPr>
                    <w:pStyle w:val="40"/>
                    <w:bidi w:val="0"/>
                  </w:pPr>
                  <w:r>
                    <w:rPr>
                      <w:rFonts w:hint="eastAsia"/>
                      <w:lang w:val="en-US" w:eastAsia="zh-CN"/>
                    </w:rPr>
                    <w:t>西</w:t>
                  </w:r>
                </w:p>
              </w:tc>
              <w:tc>
                <w:tcPr>
                  <w:tcW w:w="172" w:type="pct"/>
                  <w:tcBorders>
                    <w:tl2br w:val="nil"/>
                    <w:tr2bl w:val="nil"/>
                  </w:tcBorders>
                  <w:shd w:val="clear" w:color="auto" w:fill="auto"/>
                  <w:tcMar>
                    <w:top w:w="0" w:type="dxa"/>
                    <w:left w:w="0" w:type="dxa"/>
                    <w:bottom w:w="0" w:type="dxa"/>
                    <w:right w:w="0" w:type="dxa"/>
                  </w:tcMar>
                  <w:vAlign w:val="center"/>
                </w:tcPr>
                <w:p w14:paraId="19873780">
                  <w:pPr>
                    <w:pStyle w:val="40"/>
                    <w:bidi w:val="0"/>
                  </w:pPr>
                  <w:r>
                    <w:rPr>
                      <w:rFonts w:hint="eastAsia"/>
                      <w:lang w:val="en-US" w:eastAsia="zh-CN"/>
                    </w:rPr>
                    <w:t>北</w:t>
                  </w:r>
                </w:p>
              </w:tc>
              <w:tc>
                <w:tcPr>
                  <w:tcW w:w="167" w:type="pct"/>
                  <w:tcBorders>
                    <w:tl2br w:val="nil"/>
                    <w:tr2bl w:val="nil"/>
                  </w:tcBorders>
                  <w:shd w:val="clear" w:color="auto" w:fill="auto"/>
                  <w:tcMar>
                    <w:top w:w="0" w:type="dxa"/>
                    <w:left w:w="0" w:type="dxa"/>
                    <w:bottom w:w="0" w:type="dxa"/>
                    <w:right w:w="0" w:type="dxa"/>
                  </w:tcMar>
                  <w:vAlign w:val="center"/>
                </w:tcPr>
                <w:p w14:paraId="0C8A8C5C">
                  <w:pPr>
                    <w:pStyle w:val="40"/>
                    <w:bidi w:val="0"/>
                  </w:pPr>
                  <w:r>
                    <w:rPr>
                      <w:rFonts w:hint="eastAsia"/>
                      <w:lang w:val="en-US" w:eastAsia="zh-CN"/>
                    </w:rPr>
                    <w:t>东</w:t>
                  </w:r>
                </w:p>
              </w:tc>
              <w:tc>
                <w:tcPr>
                  <w:tcW w:w="172" w:type="pct"/>
                  <w:tcBorders>
                    <w:tl2br w:val="nil"/>
                    <w:tr2bl w:val="nil"/>
                  </w:tcBorders>
                  <w:shd w:val="clear" w:color="auto" w:fill="auto"/>
                  <w:tcMar>
                    <w:top w:w="0" w:type="dxa"/>
                    <w:left w:w="0" w:type="dxa"/>
                    <w:bottom w:w="0" w:type="dxa"/>
                    <w:right w:w="0" w:type="dxa"/>
                  </w:tcMar>
                  <w:vAlign w:val="center"/>
                </w:tcPr>
                <w:p w14:paraId="4E73E19C">
                  <w:pPr>
                    <w:pStyle w:val="40"/>
                    <w:bidi w:val="0"/>
                  </w:pPr>
                  <w:r>
                    <w:rPr>
                      <w:rFonts w:hint="eastAsia"/>
                      <w:lang w:val="en-US" w:eastAsia="zh-CN"/>
                    </w:rPr>
                    <w:t>南</w:t>
                  </w:r>
                </w:p>
              </w:tc>
              <w:tc>
                <w:tcPr>
                  <w:tcW w:w="162" w:type="pct"/>
                  <w:tcBorders>
                    <w:tl2br w:val="nil"/>
                    <w:tr2bl w:val="nil"/>
                  </w:tcBorders>
                  <w:shd w:val="clear" w:color="auto" w:fill="auto"/>
                  <w:tcMar>
                    <w:top w:w="0" w:type="dxa"/>
                    <w:left w:w="0" w:type="dxa"/>
                    <w:bottom w:w="0" w:type="dxa"/>
                    <w:right w:w="0" w:type="dxa"/>
                  </w:tcMar>
                  <w:vAlign w:val="center"/>
                </w:tcPr>
                <w:p w14:paraId="45C160CE">
                  <w:pPr>
                    <w:pStyle w:val="40"/>
                    <w:bidi w:val="0"/>
                  </w:pPr>
                  <w:r>
                    <w:rPr>
                      <w:rFonts w:hint="eastAsia"/>
                      <w:lang w:val="en-US" w:eastAsia="zh-CN"/>
                    </w:rPr>
                    <w:t>西</w:t>
                  </w:r>
                </w:p>
              </w:tc>
              <w:tc>
                <w:tcPr>
                  <w:tcW w:w="153" w:type="pct"/>
                  <w:tcBorders>
                    <w:tl2br w:val="nil"/>
                    <w:tr2bl w:val="nil"/>
                  </w:tcBorders>
                  <w:shd w:val="clear" w:color="auto" w:fill="auto"/>
                  <w:tcMar>
                    <w:top w:w="0" w:type="dxa"/>
                    <w:left w:w="0" w:type="dxa"/>
                    <w:bottom w:w="0" w:type="dxa"/>
                    <w:right w:w="0" w:type="dxa"/>
                  </w:tcMar>
                  <w:vAlign w:val="center"/>
                </w:tcPr>
                <w:p w14:paraId="6B343256">
                  <w:pPr>
                    <w:pStyle w:val="40"/>
                    <w:bidi w:val="0"/>
                  </w:pPr>
                  <w:r>
                    <w:rPr>
                      <w:rFonts w:hint="eastAsia"/>
                      <w:lang w:val="en-US" w:eastAsia="zh-CN"/>
                    </w:rPr>
                    <w:t>北</w:t>
                  </w:r>
                </w:p>
              </w:tc>
              <w:tc>
                <w:tcPr>
                  <w:tcW w:w="167" w:type="pct"/>
                  <w:vMerge w:val="continue"/>
                  <w:tcBorders>
                    <w:tl2br w:val="nil"/>
                    <w:tr2bl w:val="nil"/>
                  </w:tcBorders>
                  <w:shd w:val="clear" w:color="auto" w:fill="auto"/>
                  <w:tcMar>
                    <w:top w:w="0" w:type="dxa"/>
                    <w:left w:w="0" w:type="dxa"/>
                    <w:bottom w:w="0" w:type="dxa"/>
                    <w:right w:w="0" w:type="dxa"/>
                  </w:tcMar>
                  <w:vAlign w:val="center"/>
                </w:tcPr>
                <w:p w14:paraId="2B228F01">
                  <w:pPr>
                    <w:pStyle w:val="40"/>
                    <w:bidi w:val="0"/>
                  </w:pPr>
                </w:p>
              </w:tc>
              <w:tc>
                <w:tcPr>
                  <w:tcW w:w="153" w:type="pct"/>
                  <w:tcBorders>
                    <w:tl2br w:val="nil"/>
                    <w:tr2bl w:val="nil"/>
                  </w:tcBorders>
                  <w:shd w:val="clear" w:color="auto" w:fill="auto"/>
                  <w:tcMar>
                    <w:top w:w="0" w:type="dxa"/>
                    <w:left w:w="0" w:type="dxa"/>
                    <w:bottom w:w="0" w:type="dxa"/>
                    <w:right w:w="0" w:type="dxa"/>
                  </w:tcMar>
                  <w:vAlign w:val="center"/>
                </w:tcPr>
                <w:p w14:paraId="53E8FDE4">
                  <w:pPr>
                    <w:pStyle w:val="40"/>
                    <w:bidi w:val="0"/>
                  </w:pPr>
                  <w:r>
                    <w:rPr>
                      <w:rFonts w:hint="eastAsia"/>
                      <w:lang w:val="en-US" w:eastAsia="zh-CN"/>
                    </w:rPr>
                    <w:t>东</w:t>
                  </w:r>
                </w:p>
              </w:tc>
              <w:tc>
                <w:tcPr>
                  <w:tcW w:w="162" w:type="pct"/>
                  <w:tcBorders>
                    <w:tl2br w:val="nil"/>
                    <w:tr2bl w:val="nil"/>
                  </w:tcBorders>
                  <w:shd w:val="clear" w:color="auto" w:fill="auto"/>
                  <w:tcMar>
                    <w:top w:w="0" w:type="dxa"/>
                    <w:left w:w="0" w:type="dxa"/>
                    <w:bottom w:w="0" w:type="dxa"/>
                    <w:right w:w="0" w:type="dxa"/>
                  </w:tcMar>
                  <w:vAlign w:val="center"/>
                </w:tcPr>
                <w:p w14:paraId="55FEB1EB">
                  <w:pPr>
                    <w:pStyle w:val="40"/>
                    <w:bidi w:val="0"/>
                  </w:pPr>
                  <w:r>
                    <w:rPr>
                      <w:rFonts w:hint="eastAsia"/>
                      <w:lang w:val="en-US" w:eastAsia="zh-CN"/>
                    </w:rPr>
                    <w:t>南</w:t>
                  </w:r>
                </w:p>
              </w:tc>
              <w:tc>
                <w:tcPr>
                  <w:tcW w:w="162" w:type="pct"/>
                  <w:tcBorders>
                    <w:tl2br w:val="nil"/>
                    <w:tr2bl w:val="nil"/>
                  </w:tcBorders>
                  <w:shd w:val="clear" w:color="auto" w:fill="auto"/>
                  <w:tcMar>
                    <w:top w:w="0" w:type="dxa"/>
                    <w:left w:w="0" w:type="dxa"/>
                    <w:bottom w:w="0" w:type="dxa"/>
                    <w:right w:w="0" w:type="dxa"/>
                  </w:tcMar>
                  <w:vAlign w:val="center"/>
                </w:tcPr>
                <w:p w14:paraId="46D90F7F">
                  <w:pPr>
                    <w:pStyle w:val="40"/>
                    <w:bidi w:val="0"/>
                  </w:pPr>
                  <w:r>
                    <w:rPr>
                      <w:rFonts w:hint="eastAsia"/>
                      <w:lang w:val="en-US" w:eastAsia="zh-CN"/>
                    </w:rPr>
                    <w:t>西</w:t>
                  </w:r>
                </w:p>
              </w:tc>
              <w:tc>
                <w:tcPr>
                  <w:tcW w:w="157" w:type="pct"/>
                  <w:tcBorders>
                    <w:tl2br w:val="nil"/>
                    <w:tr2bl w:val="nil"/>
                  </w:tcBorders>
                  <w:shd w:val="clear" w:color="auto" w:fill="auto"/>
                  <w:tcMar>
                    <w:top w:w="0" w:type="dxa"/>
                    <w:left w:w="0" w:type="dxa"/>
                    <w:bottom w:w="0" w:type="dxa"/>
                    <w:right w:w="0" w:type="dxa"/>
                  </w:tcMar>
                  <w:vAlign w:val="center"/>
                </w:tcPr>
                <w:p w14:paraId="65B08828">
                  <w:pPr>
                    <w:pStyle w:val="40"/>
                    <w:bidi w:val="0"/>
                  </w:pPr>
                  <w:r>
                    <w:rPr>
                      <w:rFonts w:hint="eastAsia"/>
                      <w:lang w:val="en-US" w:eastAsia="zh-CN"/>
                    </w:rPr>
                    <w:t>北</w:t>
                  </w:r>
                </w:p>
              </w:tc>
              <w:tc>
                <w:tcPr>
                  <w:tcW w:w="167" w:type="pct"/>
                  <w:tcBorders>
                    <w:tl2br w:val="nil"/>
                    <w:tr2bl w:val="nil"/>
                  </w:tcBorders>
                  <w:shd w:val="clear" w:color="auto" w:fill="auto"/>
                  <w:tcMar>
                    <w:top w:w="0" w:type="dxa"/>
                    <w:left w:w="0" w:type="dxa"/>
                    <w:bottom w:w="0" w:type="dxa"/>
                    <w:right w:w="0" w:type="dxa"/>
                  </w:tcMar>
                  <w:vAlign w:val="center"/>
                </w:tcPr>
                <w:p w14:paraId="78E1E0EC">
                  <w:pPr>
                    <w:pStyle w:val="40"/>
                    <w:bidi w:val="0"/>
                  </w:pPr>
                  <w:r>
                    <w:rPr>
                      <w:rFonts w:hint="eastAsia"/>
                      <w:lang w:val="en-US" w:eastAsia="zh-CN"/>
                    </w:rPr>
                    <w:t>东</w:t>
                  </w:r>
                </w:p>
              </w:tc>
              <w:tc>
                <w:tcPr>
                  <w:tcW w:w="158" w:type="pct"/>
                  <w:tcBorders>
                    <w:tl2br w:val="nil"/>
                    <w:tr2bl w:val="nil"/>
                  </w:tcBorders>
                  <w:shd w:val="clear" w:color="auto" w:fill="auto"/>
                  <w:tcMar>
                    <w:top w:w="0" w:type="dxa"/>
                    <w:left w:w="0" w:type="dxa"/>
                    <w:bottom w:w="0" w:type="dxa"/>
                    <w:right w:w="0" w:type="dxa"/>
                  </w:tcMar>
                  <w:vAlign w:val="center"/>
                </w:tcPr>
                <w:p w14:paraId="5DB1E990">
                  <w:pPr>
                    <w:pStyle w:val="40"/>
                    <w:bidi w:val="0"/>
                  </w:pPr>
                  <w:r>
                    <w:rPr>
                      <w:rFonts w:hint="eastAsia"/>
                      <w:lang w:val="en-US" w:eastAsia="zh-CN"/>
                    </w:rPr>
                    <w:t>南</w:t>
                  </w:r>
                </w:p>
              </w:tc>
              <w:tc>
                <w:tcPr>
                  <w:tcW w:w="153" w:type="pct"/>
                  <w:tcBorders>
                    <w:tl2br w:val="nil"/>
                    <w:tr2bl w:val="nil"/>
                  </w:tcBorders>
                  <w:shd w:val="clear" w:color="auto" w:fill="auto"/>
                  <w:tcMar>
                    <w:top w:w="0" w:type="dxa"/>
                    <w:left w:w="0" w:type="dxa"/>
                    <w:bottom w:w="0" w:type="dxa"/>
                    <w:right w:w="0" w:type="dxa"/>
                  </w:tcMar>
                  <w:vAlign w:val="center"/>
                </w:tcPr>
                <w:p w14:paraId="6E0895FC">
                  <w:pPr>
                    <w:pStyle w:val="40"/>
                    <w:bidi w:val="0"/>
                  </w:pPr>
                  <w:r>
                    <w:rPr>
                      <w:rFonts w:hint="eastAsia"/>
                      <w:lang w:val="en-US" w:eastAsia="zh-CN"/>
                    </w:rPr>
                    <w:t>西</w:t>
                  </w:r>
                </w:p>
              </w:tc>
              <w:tc>
                <w:tcPr>
                  <w:tcW w:w="155" w:type="pct"/>
                  <w:tcBorders>
                    <w:tl2br w:val="nil"/>
                    <w:tr2bl w:val="nil"/>
                  </w:tcBorders>
                  <w:shd w:val="clear" w:color="auto" w:fill="auto"/>
                  <w:tcMar>
                    <w:top w:w="0" w:type="dxa"/>
                    <w:left w:w="0" w:type="dxa"/>
                    <w:bottom w:w="0" w:type="dxa"/>
                    <w:right w:w="0" w:type="dxa"/>
                  </w:tcMar>
                  <w:vAlign w:val="center"/>
                </w:tcPr>
                <w:p w14:paraId="4A26C1CE">
                  <w:pPr>
                    <w:pStyle w:val="40"/>
                    <w:bidi w:val="0"/>
                  </w:pPr>
                  <w:r>
                    <w:rPr>
                      <w:rFonts w:hint="eastAsia"/>
                      <w:lang w:val="en-US" w:eastAsia="zh-CN"/>
                    </w:rPr>
                    <w:t>北</w:t>
                  </w:r>
                </w:p>
              </w:tc>
              <w:tc>
                <w:tcPr>
                  <w:tcW w:w="231" w:type="pct"/>
                  <w:tcBorders>
                    <w:tl2br w:val="nil"/>
                    <w:tr2bl w:val="nil"/>
                  </w:tcBorders>
                  <w:shd w:val="clear" w:color="auto" w:fill="auto"/>
                  <w:tcMar>
                    <w:top w:w="0" w:type="dxa"/>
                    <w:left w:w="0" w:type="dxa"/>
                    <w:bottom w:w="0" w:type="dxa"/>
                    <w:right w:w="0" w:type="dxa"/>
                  </w:tcMar>
                  <w:vAlign w:val="center"/>
                </w:tcPr>
                <w:p w14:paraId="56AE8FE8">
                  <w:pPr>
                    <w:pStyle w:val="40"/>
                    <w:bidi w:val="0"/>
                  </w:pPr>
                  <w:r>
                    <w:t>建筑物外距离</w:t>
                  </w:r>
                </w:p>
              </w:tc>
            </w:tr>
            <w:tr w14:paraId="2889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26"/>
                  <w:tcBorders>
                    <w:tl2br w:val="nil"/>
                    <w:tr2bl w:val="nil"/>
                  </w:tcBorders>
                  <w:shd w:val="clear" w:color="auto" w:fill="auto"/>
                  <w:tcMar>
                    <w:top w:w="0" w:type="dxa"/>
                    <w:left w:w="0" w:type="dxa"/>
                    <w:bottom w:w="0" w:type="dxa"/>
                    <w:right w:w="0" w:type="dxa"/>
                  </w:tcMar>
                  <w:vAlign w:val="center"/>
                </w:tcPr>
                <w:p w14:paraId="27C4C423">
                  <w:pPr>
                    <w:pStyle w:val="40"/>
                    <w:bidi w:val="0"/>
                    <w:rPr>
                      <w:rFonts w:hint="default" w:eastAsia="宋体"/>
                      <w:lang w:val="en-US" w:eastAsia="zh-CN"/>
                    </w:rPr>
                  </w:pPr>
                  <w:r>
                    <w:rPr>
                      <w:rFonts w:hint="eastAsia"/>
                      <w:lang w:val="en-US" w:eastAsia="zh-CN"/>
                    </w:rPr>
                    <w:t>室内声源</w:t>
                  </w:r>
                </w:p>
              </w:tc>
            </w:tr>
            <w:tr w14:paraId="09C8C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75" w:type="pct"/>
                  <w:tcBorders>
                    <w:tl2br w:val="nil"/>
                    <w:tr2bl w:val="nil"/>
                  </w:tcBorders>
                  <w:shd w:val="clear" w:color="auto" w:fill="auto"/>
                  <w:tcMar>
                    <w:top w:w="0" w:type="dxa"/>
                    <w:left w:w="0" w:type="dxa"/>
                    <w:bottom w:w="0" w:type="dxa"/>
                    <w:right w:w="0" w:type="dxa"/>
                  </w:tcMar>
                  <w:vAlign w:val="center"/>
                </w:tcPr>
                <w:p w14:paraId="1A7256D6">
                  <w:pPr>
                    <w:pStyle w:val="40"/>
                    <w:bidi w:val="0"/>
                  </w:pPr>
                  <w:r>
                    <w:t>1</w:t>
                  </w:r>
                </w:p>
              </w:tc>
              <w:tc>
                <w:tcPr>
                  <w:tcW w:w="199" w:type="pct"/>
                  <w:vMerge w:val="restart"/>
                  <w:tcBorders>
                    <w:tl2br w:val="nil"/>
                    <w:tr2bl w:val="nil"/>
                  </w:tcBorders>
                  <w:shd w:val="clear" w:color="auto" w:fill="auto"/>
                  <w:tcMar>
                    <w:top w:w="0" w:type="dxa"/>
                    <w:left w:w="0" w:type="dxa"/>
                    <w:bottom w:w="0" w:type="dxa"/>
                    <w:right w:w="0" w:type="dxa"/>
                  </w:tcMar>
                  <w:vAlign w:val="center"/>
                </w:tcPr>
                <w:p w14:paraId="747F8554">
                  <w:pPr>
                    <w:pStyle w:val="40"/>
                    <w:bidi w:val="0"/>
                    <w:rPr>
                      <w:rFonts w:hint="eastAsia" w:eastAsia="宋体"/>
                      <w:lang w:val="en-US" w:eastAsia="zh-CN"/>
                    </w:rPr>
                  </w:pPr>
                  <w:r>
                    <w:t>1#</w:t>
                  </w:r>
                  <w:r>
                    <w:rPr>
                      <w:rFonts w:hint="eastAsia"/>
                      <w:lang w:val="en-US" w:eastAsia="zh-CN"/>
                    </w:rPr>
                    <w:t>厂房</w:t>
                  </w:r>
                </w:p>
              </w:tc>
              <w:tc>
                <w:tcPr>
                  <w:tcW w:w="565" w:type="pct"/>
                  <w:tcBorders>
                    <w:tl2br w:val="nil"/>
                    <w:tr2bl w:val="nil"/>
                  </w:tcBorders>
                  <w:shd w:val="clear" w:color="auto" w:fill="auto"/>
                  <w:tcMar>
                    <w:top w:w="0" w:type="dxa"/>
                    <w:left w:w="0" w:type="dxa"/>
                    <w:bottom w:w="0" w:type="dxa"/>
                    <w:right w:w="0" w:type="dxa"/>
                  </w:tcMar>
                  <w:vAlign w:val="center"/>
                </w:tcPr>
                <w:p w14:paraId="7534E56F">
                  <w:pPr>
                    <w:pStyle w:val="40"/>
                    <w:bidi w:val="0"/>
                    <w:rPr>
                      <w:rFonts w:hint="eastAsia"/>
                      <w:lang w:eastAsia="zh-CN"/>
                    </w:rPr>
                  </w:pPr>
                  <w:r>
                    <w:t>双螺旋带搅拌机,2台（按点声源组预测）</w:t>
                  </w:r>
                </w:p>
              </w:tc>
              <w:tc>
                <w:tcPr>
                  <w:tcW w:w="362" w:type="pct"/>
                  <w:tcBorders>
                    <w:tl2br w:val="nil"/>
                    <w:tr2bl w:val="nil"/>
                  </w:tcBorders>
                  <w:shd w:val="clear" w:color="auto" w:fill="auto"/>
                  <w:tcMar>
                    <w:top w:w="0" w:type="dxa"/>
                    <w:left w:w="0" w:type="dxa"/>
                    <w:bottom w:w="0" w:type="dxa"/>
                    <w:right w:w="0" w:type="dxa"/>
                  </w:tcMar>
                  <w:vAlign w:val="center"/>
                </w:tcPr>
                <w:p w14:paraId="23F19809">
                  <w:pPr>
                    <w:pStyle w:val="40"/>
                    <w:bidi w:val="0"/>
                  </w:pPr>
                  <w:r>
                    <w:t>85（等效后：88.0)</w:t>
                  </w:r>
                </w:p>
              </w:tc>
              <w:tc>
                <w:tcPr>
                  <w:tcW w:w="204" w:type="pct"/>
                  <w:vMerge w:val="restart"/>
                  <w:tcBorders>
                    <w:tl2br w:val="nil"/>
                    <w:tr2bl w:val="nil"/>
                  </w:tcBorders>
                  <w:shd w:val="clear" w:color="auto" w:fill="auto"/>
                  <w:tcMar>
                    <w:top w:w="0" w:type="dxa"/>
                    <w:left w:w="0" w:type="dxa"/>
                    <w:bottom w:w="0" w:type="dxa"/>
                    <w:right w:w="0" w:type="dxa"/>
                  </w:tcMar>
                  <w:vAlign w:val="center"/>
                </w:tcPr>
                <w:p w14:paraId="3BA43E0A">
                  <w:pPr>
                    <w:pStyle w:val="40"/>
                    <w:bidi w:val="0"/>
                  </w:pPr>
                  <w:r>
                    <w:rPr>
                      <w:rFonts w:hint="default"/>
                    </w:rPr>
                    <w:t>减振降噪和距离衰减</w:t>
                  </w:r>
                </w:p>
              </w:tc>
              <w:tc>
                <w:tcPr>
                  <w:tcW w:w="181" w:type="pct"/>
                  <w:tcBorders>
                    <w:tl2br w:val="nil"/>
                    <w:tr2bl w:val="nil"/>
                  </w:tcBorders>
                  <w:shd w:val="clear" w:color="auto" w:fill="auto"/>
                  <w:tcMar>
                    <w:top w:w="0" w:type="dxa"/>
                    <w:left w:w="0" w:type="dxa"/>
                    <w:bottom w:w="0" w:type="dxa"/>
                    <w:right w:w="0" w:type="dxa"/>
                  </w:tcMar>
                  <w:vAlign w:val="center"/>
                </w:tcPr>
                <w:p w14:paraId="38D7864E">
                  <w:pPr>
                    <w:pStyle w:val="40"/>
                    <w:bidi w:val="0"/>
                  </w:pPr>
                  <w:r>
                    <w:t>-81.4</w:t>
                  </w:r>
                </w:p>
              </w:tc>
              <w:tc>
                <w:tcPr>
                  <w:tcW w:w="162" w:type="pct"/>
                  <w:tcBorders>
                    <w:tl2br w:val="nil"/>
                    <w:tr2bl w:val="nil"/>
                  </w:tcBorders>
                  <w:shd w:val="clear" w:color="auto" w:fill="auto"/>
                  <w:tcMar>
                    <w:top w:w="0" w:type="dxa"/>
                    <w:left w:w="0" w:type="dxa"/>
                    <w:bottom w:w="0" w:type="dxa"/>
                    <w:right w:w="0" w:type="dxa"/>
                  </w:tcMar>
                  <w:vAlign w:val="center"/>
                </w:tcPr>
                <w:p w14:paraId="2B298FC5">
                  <w:pPr>
                    <w:pStyle w:val="40"/>
                    <w:bidi w:val="0"/>
                  </w:pPr>
                  <w:r>
                    <w:t>67.4</w:t>
                  </w:r>
                </w:p>
              </w:tc>
              <w:tc>
                <w:tcPr>
                  <w:tcW w:w="143" w:type="pct"/>
                  <w:tcBorders>
                    <w:tl2br w:val="nil"/>
                    <w:tr2bl w:val="nil"/>
                  </w:tcBorders>
                  <w:shd w:val="clear" w:color="auto" w:fill="auto"/>
                  <w:tcMar>
                    <w:top w:w="0" w:type="dxa"/>
                    <w:left w:w="0" w:type="dxa"/>
                    <w:bottom w:w="0" w:type="dxa"/>
                    <w:right w:w="0" w:type="dxa"/>
                  </w:tcMar>
                  <w:vAlign w:val="center"/>
                </w:tcPr>
                <w:p w14:paraId="750A0A83">
                  <w:pPr>
                    <w:pStyle w:val="40"/>
                    <w:bidi w:val="0"/>
                  </w:pPr>
                  <w:r>
                    <w:t>1.2</w:t>
                  </w:r>
                </w:p>
              </w:tc>
              <w:tc>
                <w:tcPr>
                  <w:tcW w:w="181" w:type="pct"/>
                  <w:tcBorders>
                    <w:tl2br w:val="nil"/>
                    <w:tr2bl w:val="nil"/>
                  </w:tcBorders>
                  <w:shd w:val="clear" w:color="auto" w:fill="auto"/>
                  <w:tcMar>
                    <w:top w:w="0" w:type="dxa"/>
                    <w:left w:w="0" w:type="dxa"/>
                    <w:bottom w:w="0" w:type="dxa"/>
                    <w:right w:w="0" w:type="dxa"/>
                  </w:tcMar>
                  <w:vAlign w:val="center"/>
                </w:tcPr>
                <w:p w14:paraId="0EB0D07C">
                  <w:pPr>
                    <w:pStyle w:val="40"/>
                    <w:bidi w:val="0"/>
                  </w:pPr>
                  <w:r>
                    <w:t>120.8</w:t>
                  </w:r>
                </w:p>
              </w:tc>
              <w:tc>
                <w:tcPr>
                  <w:tcW w:w="172" w:type="pct"/>
                  <w:tcBorders>
                    <w:tl2br w:val="nil"/>
                    <w:tr2bl w:val="nil"/>
                  </w:tcBorders>
                  <w:shd w:val="clear" w:color="auto" w:fill="auto"/>
                  <w:tcMar>
                    <w:top w:w="0" w:type="dxa"/>
                    <w:left w:w="0" w:type="dxa"/>
                    <w:bottom w:w="0" w:type="dxa"/>
                    <w:right w:w="0" w:type="dxa"/>
                  </w:tcMar>
                  <w:vAlign w:val="center"/>
                </w:tcPr>
                <w:p w14:paraId="6E8FA0B1">
                  <w:pPr>
                    <w:pStyle w:val="40"/>
                    <w:bidi w:val="0"/>
                  </w:pPr>
                  <w:r>
                    <w:t>26.7</w:t>
                  </w:r>
                </w:p>
              </w:tc>
              <w:tc>
                <w:tcPr>
                  <w:tcW w:w="153" w:type="pct"/>
                  <w:tcBorders>
                    <w:tl2br w:val="nil"/>
                    <w:tr2bl w:val="nil"/>
                  </w:tcBorders>
                  <w:shd w:val="clear" w:color="auto" w:fill="auto"/>
                  <w:tcMar>
                    <w:top w:w="0" w:type="dxa"/>
                    <w:left w:w="0" w:type="dxa"/>
                    <w:bottom w:w="0" w:type="dxa"/>
                    <w:right w:w="0" w:type="dxa"/>
                  </w:tcMar>
                  <w:vAlign w:val="center"/>
                </w:tcPr>
                <w:p w14:paraId="00F6C3F4">
                  <w:pPr>
                    <w:pStyle w:val="40"/>
                    <w:bidi w:val="0"/>
                  </w:pPr>
                  <w:r>
                    <w:t>17.4</w:t>
                  </w:r>
                </w:p>
              </w:tc>
              <w:tc>
                <w:tcPr>
                  <w:tcW w:w="172" w:type="pct"/>
                  <w:tcBorders>
                    <w:tl2br w:val="nil"/>
                    <w:tr2bl w:val="nil"/>
                  </w:tcBorders>
                  <w:shd w:val="clear" w:color="auto" w:fill="auto"/>
                  <w:tcMar>
                    <w:top w:w="0" w:type="dxa"/>
                    <w:left w:w="0" w:type="dxa"/>
                    <w:bottom w:w="0" w:type="dxa"/>
                    <w:right w:w="0" w:type="dxa"/>
                  </w:tcMar>
                  <w:vAlign w:val="center"/>
                </w:tcPr>
                <w:p w14:paraId="7F164CAE">
                  <w:pPr>
                    <w:pStyle w:val="40"/>
                    <w:bidi w:val="0"/>
                  </w:pPr>
                  <w:r>
                    <w:t>10.0</w:t>
                  </w:r>
                </w:p>
              </w:tc>
              <w:tc>
                <w:tcPr>
                  <w:tcW w:w="167" w:type="pct"/>
                  <w:tcBorders>
                    <w:tl2br w:val="nil"/>
                    <w:tr2bl w:val="nil"/>
                  </w:tcBorders>
                  <w:shd w:val="clear" w:color="auto" w:fill="auto"/>
                  <w:tcMar>
                    <w:top w:w="0" w:type="dxa"/>
                    <w:left w:w="0" w:type="dxa"/>
                    <w:bottom w:w="0" w:type="dxa"/>
                    <w:right w:w="0" w:type="dxa"/>
                  </w:tcMar>
                  <w:vAlign w:val="center"/>
                </w:tcPr>
                <w:p w14:paraId="4F4DB297">
                  <w:pPr>
                    <w:pStyle w:val="40"/>
                    <w:bidi w:val="0"/>
                  </w:pPr>
                  <w:r>
                    <w:t>69.7</w:t>
                  </w:r>
                </w:p>
              </w:tc>
              <w:tc>
                <w:tcPr>
                  <w:tcW w:w="172" w:type="pct"/>
                  <w:tcBorders>
                    <w:tl2br w:val="nil"/>
                    <w:tr2bl w:val="nil"/>
                  </w:tcBorders>
                  <w:shd w:val="clear" w:color="auto" w:fill="auto"/>
                  <w:tcMar>
                    <w:top w:w="0" w:type="dxa"/>
                    <w:left w:w="0" w:type="dxa"/>
                    <w:bottom w:w="0" w:type="dxa"/>
                    <w:right w:w="0" w:type="dxa"/>
                  </w:tcMar>
                  <w:vAlign w:val="center"/>
                </w:tcPr>
                <w:p w14:paraId="4A0A908A">
                  <w:pPr>
                    <w:pStyle w:val="40"/>
                    <w:bidi w:val="0"/>
                  </w:pPr>
                  <w:r>
                    <w:t>69.8</w:t>
                  </w:r>
                </w:p>
              </w:tc>
              <w:tc>
                <w:tcPr>
                  <w:tcW w:w="162" w:type="pct"/>
                  <w:tcBorders>
                    <w:tl2br w:val="nil"/>
                    <w:tr2bl w:val="nil"/>
                  </w:tcBorders>
                  <w:shd w:val="clear" w:color="auto" w:fill="auto"/>
                  <w:tcMar>
                    <w:top w:w="0" w:type="dxa"/>
                    <w:left w:w="0" w:type="dxa"/>
                    <w:bottom w:w="0" w:type="dxa"/>
                    <w:right w:w="0" w:type="dxa"/>
                  </w:tcMar>
                  <w:vAlign w:val="center"/>
                </w:tcPr>
                <w:p w14:paraId="4FF727F2">
                  <w:pPr>
                    <w:pStyle w:val="40"/>
                    <w:bidi w:val="0"/>
                  </w:pPr>
                  <w:r>
                    <w:t>69.8</w:t>
                  </w:r>
                </w:p>
              </w:tc>
              <w:tc>
                <w:tcPr>
                  <w:tcW w:w="153" w:type="pct"/>
                  <w:tcBorders>
                    <w:tl2br w:val="nil"/>
                    <w:tr2bl w:val="nil"/>
                  </w:tcBorders>
                  <w:shd w:val="clear" w:color="auto" w:fill="auto"/>
                  <w:tcMar>
                    <w:top w:w="0" w:type="dxa"/>
                    <w:left w:w="0" w:type="dxa"/>
                    <w:bottom w:w="0" w:type="dxa"/>
                    <w:right w:w="0" w:type="dxa"/>
                  </w:tcMar>
                  <w:vAlign w:val="center"/>
                </w:tcPr>
                <w:p w14:paraId="20EE5E70">
                  <w:pPr>
                    <w:pStyle w:val="40"/>
                    <w:bidi w:val="0"/>
                  </w:pPr>
                  <w:r>
                    <w:t>70.0</w:t>
                  </w:r>
                </w:p>
              </w:tc>
              <w:tc>
                <w:tcPr>
                  <w:tcW w:w="167" w:type="pct"/>
                  <w:tcBorders>
                    <w:tl2br w:val="nil"/>
                    <w:tr2bl w:val="nil"/>
                  </w:tcBorders>
                  <w:shd w:val="clear" w:color="auto" w:fill="auto"/>
                  <w:tcMar>
                    <w:top w:w="0" w:type="dxa"/>
                    <w:left w:w="0" w:type="dxa"/>
                    <w:bottom w:w="0" w:type="dxa"/>
                    <w:right w:w="0" w:type="dxa"/>
                  </w:tcMar>
                  <w:vAlign w:val="center"/>
                </w:tcPr>
                <w:p w14:paraId="6F7BE4A1">
                  <w:pPr>
                    <w:pStyle w:val="40"/>
                    <w:bidi w:val="0"/>
                  </w:pPr>
                  <w:r>
                    <w:t>8.0</w:t>
                  </w:r>
                </w:p>
              </w:tc>
              <w:tc>
                <w:tcPr>
                  <w:tcW w:w="153" w:type="pct"/>
                  <w:tcBorders>
                    <w:tl2br w:val="nil"/>
                    <w:tr2bl w:val="nil"/>
                  </w:tcBorders>
                  <w:shd w:val="clear" w:color="auto" w:fill="auto"/>
                  <w:tcMar>
                    <w:top w:w="0" w:type="dxa"/>
                    <w:left w:w="0" w:type="dxa"/>
                    <w:bottom w:w="0" w:type="dxa"/>
                    <w:right w:w="0" w:type="dxa"/>
                  </w:tcMar>
                  <w:vAlign w:val="center"/>
                </w:tcPr>
                <w:p w14:paraId="647A24AF">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6DCF4C98">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50EC45AC">
                  <w:pPr>
                    <w:pStyle w:val="40"/>
                    <w:bidi w:val="0"/>
                  </w:pPr>
                  <w:r>
                    <w:t>26.0</w:t>
                  </w:r>
                </w:p>
              </w:tc>
              <w:tc>
                <w:tcPr>
                  <w:tcW w:w="157" w:type="pct"/>
                  <w:tcBorders>
                    <w:tl2br w:val="nil"/>
                    <w:tr2bl w:val="nil"/>
                  </w:tcBorders>
                  <w:shd w:val="clear" w:color="auto" w:fill="auto"/>
                  <w:tcMar>
                    <w:top w:w="0" w:type="dxa"/>
                    <w:left w:w="0" w:type="dxa"/>
                    <w:bottom w:w="0" w:type="dxa"/>
                    <w:right w:w="0" w:type="dxa"/>
                  </w:tcMar>
                  <w:vAlign w:val="center"/>
                </w:tcPr>
                <w:p w14:paraId="192300FD">
                  <w:pPr>
                    <w:pStyle w:val="40"/>
                    <w:bidi w:val="0"/>
                  </w:pPr>
                  <w:r>
                    <w:t>26.0</w:t>
                  </w:r>
                </w:p>
              </w:tc>
              <w:tc>
                <w:tcPr>
                  <w:tcW w:w="167" w:type="pct"/>
                  <w:tcBorders>
                    <w:tl2br w:val="nil"/>
                    <w:tr2bl w:val="nil"/>
                  </w:tcBorders>
                  <w:shd w:val="clear" w:color="auto" w:fill="auto"/>
                  <w:tcMar>
                    <w:top w:w="0" w:type="dxa"/>
                    <w:left w:w="0" w:type="dxa"/>
                    <w:bottom w:w="0" w:type="dxa"/>
                    <w:right w:w="0" w:type="dxa"/>
                  </w:tcMar>
                  <w:vAlign w:val="center"/>
                </w:tcPr>
                <w:p w14:paraId="3D54C71A">
                  <w:pPr>
                    <w:pStyle w:val="40"/>
                    <w:bidi w:val="0"/>
                  </w:pPr>
                  <w:r>
                    <w:t>43.7</w:t>
                  </w:r>
                </w:p>
              </w:tc>
              <w:tc>
                <w:tcPr>
                  <w:tcW w:w="158" w:type="pct"/>
                  <w:tcBorders>
                    <w:tl2br w:val="nil"/>
                    <w:tr2bl w:val="nil"/>
                  </w:tcBorders>
                  <w:shd w:val="clear" w:color="auto" w:fill="auto"/>
                  <w:tcMar>
                    <w:top w:w="0" w:type="dxa"/>
                    <w:left w:w="0" w:type="dxa"/>
                    <w:bottom w:w="0" w:type="dxa"/>
                    <w:right w:w="0" w:type="dxa"/>
                  </w:tcMar>
                  <w:vAlign w:val="center"/>
                </w:tcPr>
                <w:p w14:paraId="356A4ECF">
                  <w:pPr>
                    <w:pStyle w:val="40"/>
                    <w:bidi w:val="0"/>
                  </w:pPr>
                  <w:r>
                    <w:t>43.8</w:t>
                  </w:r>
                </w:p>
              </w:tc>
              <w:tc>
                <w:tcPr>
                  <w:tcW w:w="153" w:type="pct"/>
                  <w:tcBorders>
                    <w:tl2br w:val="nil"/>
                    <w:tr2bl w:val="nil"/>
                  </w:tcBorders>
                  <w:shd w:val="clear" w:color="auto" w:fill="auto"/>
                  <w:tcMar>
                    <w:top w:w="0" w:type="dxa"/>
                    <w:left w:w="0" w:type="dxa"/>
                    <w:bottom w:w="0" w:type="dxa"/>
                    <w:right w:w="0" w:type="dxa"/>
                  </w:tcMar>
                  <w:vAlign w:val="center"/>
                </w:tcPr>
                <w:p w14:paraId="4ADDBAD2">
                  <w:pPr>
                    <w:pStyle w:val="40"/>
                    <w:bidi w:val="0"/>
                  </w:pPr>
                  <w:r>
                    <w:t>43.8</w:t>
                  </w:r>
                </w:p>
              </w:tc>
              <w:tc>
                <w:tcPr>
                  <w:tcW w:w="155" w:type="pct"/>
                  <w:tcBorders>
                    <w:tl2br w:val="nil"/>
                    <w:tr2bl w:val="nil"/>
                  </w:tcBorders>
                  <w:shd w:val="clear" w:color="auto" w:fill="auto"/>
                  <w:tcMar>
                    <w:top w:w="0" w:type="dxa"/>
                    <w:left w:w="0" w:type="dxa"/>
                    <w:bottom w:w="0" w:type="dxa"/>
                    <w:right w:w="0" w:type="dxa"/>
                  </w:tcMar>
                  <w:vAlign w:val="center"/>
                </w:tcPr>
                <w:p w14:paraId="502EC5FE">
                  <w:pPr>
                    <w:pStyle w:val="40"/>
                    <w:bidi w:val="0"/>
                  </w:pPr>
                  <w:r>
                    <w:t>44.0</w:t>
                  </w:r>
                </w:p>
              </w:tc>
              <w:tc>
                <w:tcPr>
                  <w:tcW w:w="231" w:type="pct"/>
                  <w:tcBorders>
                    <w:tl2br w:val="nil"/>
                    <w:tr2bl w:val="nil"/>
                  </w:tcBorders>
                  <w:shd w:val="clear" w:color="auto" w:fill="auto"/>
                  <w:tcMar>
                    <w:top w:w="0" w:type="dxa"/>
                    <w:left w:w="0" w:type="dxa"/>
                    <w:bottom w:w="0" w:type="dxa"/>
                    <w:right w:w="0" w:type="dxa"/>
                  </w:tcMar>
                  <w:vAlign w:val="center"/>
                </w:tcPr>
                <w:p w14:paraId="55B62EA3">
                  <w:pPr>
                    <w:pStyle w:val="40"/>
                    <w:bidi w:val="0"/>
                  </w:pPr>
                  <w:r>
                    <w:t>1</w:t>
                  </w:r>
                </w:p>
              </w:tc>
            </w:tr>
            <w:tr w14:paraId="74343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75" w:type="pct"/>
                  <w:tcBorders>
                    <w:tl2br w:val="nil"/>
                    <w:tr2bl w:val="nil"/>
                  </w:tcBorders>
                  <w:shd w:val="clear" w:color="auto" w:fill="auto"/>
                  <w:tcMar>
                    <w:top w:w="0" w:type="dxa"/>
                    <w:left w:w="0" w:type="dxa"/>
                    <w:bottom w:w="0" w:type="dxa"/>
                    <w:right w:w="0" w:type="dxa"/>
                  </w:tcMar>
                  <w:vAlign w:val="center"/>
                </w:tcPr>
                <w:p w14:paraId="5FC98303">
                  <w:pPr>
                    <w:pStyle w:val="40"/>
                    <w:bidi w:val="0"/>
                  </w:pPr>
                  <w:r>
                    <w:t>2</w:t>
                  </w:r>
                </w:p>
              </w:tc>
              <w:tc>
                <w:tcPr>
                  <w:tcW w:w="199" w:type="pct"/>
                  <w:vMerge w:val="continue"/>
                  <w:tcBorders>
                    <w:tl2br w:val="nil"/>
                    <w:tr2bl w:val="nil"/>
                  </w:tcBorders>
                  <w:shd w:val="clear" w:color="auto" w:fill="auto"/>
                  <w:tcMar>
                    <w:top w:w="0" w:type="dxa"/>
                    <w:left w:w="0" w:type="dxa"/>
                    <w:bottom w:w="0" w:type="dxa"/>
                    <w:right w:w="0" w:type="dxa"/>
                  </w:tcMar>
                  <w:vAlign w:val="center"/>
                </w:tcPr>
                <w:p w14:paraId="3D6937F7">
                  <w:pPr>
                    <w:pStyle w:val="40"/>
                    <w:bidi w:val="0"/>
                  </w:pPr>
                </w:p>
              </w:tc>
              <w:tc>
                <w:tcPr>
                  <w:tcW w:w="565" w:type="pct"/>
                  <w:tcBorders>
                    <w:tl2br w:val="nil"/>
                    <w:tr2bl w:val="nil"/>
                  </w:tcBorders>
                  <w:shd w:val="clear" w:color="auto" w:fill="auto"/>
                  <w:tcMar>
                    <w:top w:w="0" w:type="dxa"/>
                    <w:left w:w="0" w:type="dxa"/>
                    <w:bottom w:w="0" w:type="dxa"/>
                    <w:right w:w="0" w:type="dxa"/>
                  </w:tcMar>
                  <w:vAlign w:val="center"/>
                </w:tcPr>
                <w:p w14:paraId="44043228">
                  <w:pPr>
                    <w:pStyle w:val="40"/>
                    <w:bidi w:val="0"/>
                  </w:pPr>
                  <w:r>
                    <w:t>强制式搅拌机,2台（按点声源组预测）</w:t>
                  </w:r>
                </w:p>
              </w:tc>
              <w:tc>
                <w:tcPr>
                  <w:tcW w:w="362" w:type="pct"/>
                  <w:tcBorders>
                    <w:tl2br w:val="nil"/>
                    <w:tr2bl w:val="nil"/>
                  </w:tcBorders>
                  <w:shd w:val="clear" w:color="auto" w:fill="auto"/>
                  <w:tcMar>
                    <w:top w:w="0" w:type="dxa"/>
                    <w:left w:w="0" w:type="dxa"/>
                    <w:bottom w:w="0" w:type="dxa"/>
                    <w:right w:w="0" w:type="dxa"/>
                  </w:tcMar>
                  <w:vAlign w:val="center"/>
                </w:tcPr>
                <w:p w14:paraId="2FB45AE5">
                  <w:pPr>
                    <w:pStyle w:val="40"/>
                    <w:bidi w:val="0"/>
                  </w:pPr>
                  <w:r>
                    <w:t>83（等效后：86.0)</w:t>
                  </w:r>
                </w:p>
              </w:tc>
              <w:tc>
                <w:tcPr>
                  <w:tcW w:w="204" w:type="pct"/>
                  <w:vMerge w:val="continue"/>
                  <w:tcBorders>
                    <w:tl2br w:val="nil"/>
                    <w:tr2bl w:val="nil"/>
                  </w:tcBorders>
                  <w:shd w:val="clear" w:color="auto" w:fill="auto"/>
                  <w:tcMar>
                    <w:top w:w="0" w:type="dxa"/>
                    <w:left w:w="0" w:type="dxa"/>
                    <w:bottom w:w="0" w:type="dxa"/>
                    <w:right w:w="0" w:type="dxa"/>
                  </w:tcMar>
                  <w:vAlign w:val="center"/>
                </w:tcPr>
                <w:p w14:paraId="34BEA160">
                  <w:pPr>
                    <w:pStyle w:val="40"/>
                    <w:bidi w:val="0"/>
                  </w:pPr>
                </w:p>
              </w:tc>
              <w:tc>
                <w:tcPr>
                  <w:tcW w:w="181" w:type="pct"/>
                  <w:tcBorders>
                    <w:tl2br w:val="nil"/>
                    <w:tr2bl w:val="nil"/>
                  </w:tcBorders>
                  <w:shd w:val="clear" w:color="auto" w:fill="auto"/>
                  <w:tcMar>
                    <w:top w:w="0" w:type="dxa"/>
                    <w:left w:w="0" w:type="dxa"/>
                    <w:bottom w:w="0" w:type="dxa"/>
                    <w:right w:w="0" w:type="dxa"/>
                  </w:tcMar>
                  <w:vAlign w:val="center"/>
                </w:tcPr>
                <w:p w14:paraId="6112FE92">
                  <w:pPr>
                    <w:pStyle w:val="40"/>
                    <w:bidi w:val="0"/>
                  </w:pPr>
                  <w:r>
                    <w:t>-50.3</w:t>
                  </w:r>
                </w:p>
              </w:tc>
              <w:tc>
                <w:tcPr>
                  <w:tcW w:w="162" w:type="pct"/>
                  <w:tcBorders>
                    <w:tl2br w:val="nil"/>
                    <w:tr2bl w:val="nil"/>
                  </w:tcBorders>
                  <w:shd w:val="clear" w:color="auto" w:fill="auto"/>
                  <w:tcMar>
                    <w:top w:w="0" w:type="dxa"/>
                    <w:left w:w="0" w:type="dxa"/>
                    <w:bottom w:w="0" w:type="dxa"/>
                    <w:right w:w="0" w:type="dxa"/>
                  </w:tcMar>
                  <w:vAlign w:val="center"/>
                </w:tcPr>
                <w:p w14:paraId="2848FA22">
                  <w:pPr>
                    <w:pStyle w:val="40"/>
                    <w:bidi w:val="0"/>
                  </w:pPr>
                  <w:r>
                    <w:t>61.8</w:t>
                  </w:r>
                </w:p>
              </w:tc>
              <w:tc>
                <w:tcPr>
                  <w:tcW w:w="143" w:type="pct"/>
                  <w:tcBorders>
                    <w:tl2br w:val="nil"/>
                    <w:tr2bl w:val="nil"/>
                  </w:tcBorders>
                  <w:shd w:val="clear" w:color="auto" w:fill="auto"/>
                  <w:tcMar>
                    <w:top w:w="0" w:type="dxa"/>
                    <w:left w:w="0" w:type="dxa"/>
                    <w:bottom w:w="0" w:type="dxa"/>
                    <w:right w:w="0" w:type="dxa"/>
                  </w:tcMar>
                  <w:vAlign w:val="center"/>
                </w:tcPr>
                <w:p w14:paraId="5EA6C7D5">
                  <w:pPr>
                    <w:pStyle w:val="40"/>
                    <w:bidi w:val="0"/>
                  </w:pPr>
                  <w:r>
                    <w:t>1.2</w:t>
                  </w:r>
                </w:p>
              </w:tc>
              <w:tc>
                <w:tcPr>
                  <w:tcW w:w="181" w:type="pct"/>
                  <w:tcBorders>
                    <w:tl2br w:val="nil"/>
                    <w:tr2bl w:val="nil"/>
                  </w:tcBorders>
                  <w:shd w:val="clear" w:color="auto" w:fill="auto"/>
                  <w:tcMar>
                    <w:top w:w="0" w:type="dxa"/>
                    <w:left w:w="0" w:type="dxa"/>
                    <w:bottom w:w="0" w:type="dxa"/>
                    <w:right w:w="0" w:type="dxa"/>
                  </w:tcMar>
                  <w:vAlign w:val="center"/>
                </w:tcPr>
                <w:p w14:paraId="7F109A37">
                  <w:pPr>
                    <w:pStyle w:val="40"/>
                    <w:bidi w:val="0"/>
                  </w:pPr>
                  <w:r>
                    <w:t>89.3</w:t>
                  </w:r>
                </w:p>
              </w:tc>
              <w:tc>
                <w:tcPr>
                  <w:tcW w:w="172" w:type="pct"/>
                  <w:tcBorders>
                    <w:tl2br w:val="nil"/>
                    <w:tr2bl w:val="nil"/>
                  </w:tcBorders>
                  <w:shd w:val="clear" w:color="auto" w:fill="auto"/>
                  <w:tcMar>
                    <w:top w:w="0" w:type="dxa"/>
                    <w:left w:w="0" w:type="dxa"/>
                    <w:bottom w:w="0" w:type="dxa"/>
                    <w:right w:w="0" w:type="dxa"/>
                  </w:tcMar>
                  <w:vAlign w:val="center"/>
                </w:tcPr>
                <w:p w14:paraId="047842AA">
                  <w:pPr>
                    <w:pStyle w:val="40"/>
                    <w:bidi w:val="0"/>
                  </w:pPr>
                  <w:r>
                    <w:t>25.0</w:t>
                  </w:r>
                </w:p>
              </w:tc>
              <w:tc>
                <w:tcPr>
                  <w:tcW w:w="153" w:type="pct"/>
                  <w:tcBorders>
                    <w:tl2br w:val="nil"/>
                    <w:tr2bl w:val="nil"/>
                  </w:tcBorders>
                  <w:shd w:val="clear" w:color="auto" w:fill="auto"/>
                  <w:tcMar>
                    <w:top w:w="0" w:type="dxa"/>
                    <w:left w:w="0" w:type="dxa"/>
                    <w:bottom w:w="0" w:type="dxa"/>
                    <w:right w:w="0" w:type="dxa"/>
                  </w:tcMar>
                  <w:vAlign w:val="center"/>
                </w:tcPr>
                <w:p w14:paraId="096DACC5">
                  <w:pPr>
                    <w:pStyle w:val="40"/>
                    <w:bidi w:val="0"/>
                  </w:pPr>
                  <w:r>
                    <w:t>49.0</w:t>
                  </w:r>
                </w:p>
              </w:tc>
              <w:tc>
                <w:tcPr>
                  <w:tcW w:w="172" w:type="pct"/>
                  <w:tcBorders>
                    <w:tl2br w:val="nil"/>
                    <w:tr2bl w:val="nil"/>
                  </w:tcBorders>
                  <w:shd w:val="clear" w:color="auto" w:fill="auto"/>
                  <w:tcMar>
                    <w:top w:w="0" w:type="dxa"/>
                    <w:left w:w="0" w:type="dxa"/>
                    <w:bottom w:w="0" w:type="dxa"/>
                    <w:right w:w="0" w:type="dxa"/>
                  </w:tcMar>
                  <w:vAlign w:val="center"/>
                </w:tcPr>
                <w:p w14:paraId="0255B3FB">
                  <w:pPr>
                    <w:pStyle w:val="40"/>
                    <w:bidi w:val="0"/>
                  </w:pPr>
                  <w:r>
                    <w:t>11.6</w:t>
                  </w:r>
                </w:p>
              </w:tc>
              <w:tc>
                <w:tcPr>
                  <w:tcW w:w="167" w:type="pct"/>
                  <w:tcBorders>
                    <w:tl2br w:val="nil"/>
                    <w:tr2bl w:val="nil"/>
                  </w:tcBorders>
                  <w:shd w:val="clear" w:color="auto" w:fill="auto"/>
                  <w:tcMar>
                    <w:top w:w="0" w:type="dxa"/>
                    <w:left w:w="0" w:type="dxa"/>
                    <w:bottom w:w="0" w:type="dxa"/>
                    <w:right w:w="0" w:type="dxa"/>
                  </w:tcMar>
                  <w:vAlign w:val="center"/>
                </w:tcPr>
                <w:p w14:paraId="5EBFC651">
                  <w:pPr>
                    <w:pStyle w:val="40"/>
                    <w:bidi w:val="0"/>
                  </w:pPr>
                  <w:r>
                    <w:t>67.7</w:t>
                  </w:r>
                </w:p>
              </w:tc>
              <w:tc>
                <w:tcPr>
                  <w:tcW w:w="172" w:type="pct"/>
                  <w:tcBorders>
                    <w:tl2br w:val="nil"/>
                    <w:tr2bl w:val="nil"/>
                  </w:tcBorders>
                  <w:shd w:val="clear" w:color="auto" w:fill="auto"/>
                  <w:tcMar>
                    <w:top w:w="0" w:type="dxa"/>
                    <w:left w:w="0" w:type="dxa"/>
                    <w:bottom w:w="0" w:type="dxa"/>
                    <w:right w:w="0" w:type="dxa"/>
                  </w:tcMar>
                  <w:vAlign w:val="center"/>
                </w:tcPr>
                <w:p w14:paraId="6DFAB8C8">
                  <w:pPr>
                    <w:pStyle w:val="40"/>
                    <w:bidi w:val="0"/>
                  </w:pPr>
                  <w:r>
                    <w:t>67.8</w:t>
                  </w:r>
                </w:p>
              </w:tc>
              <w:tc>
                <w:tcPr>
                  <w:tcW w:w="162" w:type="pct"/>
                  <w:tcBorders>
                    <w:tl2br w:val="nil"/>
                    <w:tr2bl w:val="nil"/>
                  </w:tcBorders>
                  <w:shd w:val="clear" w:color="auto" w:fill="auto"/>
                  <w:tcMar>
                    <w:top w:w="0" w:type="dxa"/>
                    <w:left w:w="0" w:type="dxa"/>
                    <w:bottom w:w="0" w:type="dxa"/>
                    <w:right w:w="0" w:type="dxa"/>
                  </w:tcMar>
                  <w:vAlign w:val="center"/>
                </w:tcPr>
                <w:p w14:paraId="3E7F134D">
                  <w:pPr>
                    <w:pStyle w:val="40"/>
                    <w:bidi w:val="0"/>
                  </w:pPr>
                  <w:r>
                    <w:t>67.8</w:t>
                  </w:r>
                </w:p>
              </w:tc>
              <w:tc>
                <w:tcPr>
                  <w:tcW w:w="153" w:type="pct"/>
                  <w:tcBorders>
                    <w:tl2br w:val="nil"/>
                    <w:tr2bl w:val="nil"/>
                  </w:tcBorders>
                  <w:shd w:val="clear" w:color="auto" w:fill="auto"/>
                  <w:tcMar>
                    <w:top w:w="0" w:type="dxa"/>
                    <w:left w:w="0" w:type="dxa"/>
                    <w:bottom w:w="0" w:type="dxa"/>
                    <w:right w:w="0" w:type="dxa"/>
                  </w:tcMar>
                  <w:vAlign w:val="center"/>
                </w:tcPr>
                <w:p w14:paraId="1E6EF837">
                  <w:pPr>
                    <w:pStyle w:val="40"/>
                    <w:bidi w:val="0"/>
                  </w:pPr>
                  <w:r>
                    <w:t>67.9</w:t>
                  </w:r>
                </w:p>
              </w:tc>
              <w:tc>
                <w:tcPr>
                  <w:tcW w:w="167" w:type="pct"/>
                  <w:tcBorders>
                    <w:tl2br w:val="nil"/>
                    <w:tr2bl w:val="nil"/>
                  </w:tcBorders>
                  <w:shd w:val="clear" w:color="auto" w:fill="auto"/>
                  <w:tcMar>
                    <w:top w:w="0" w:type="dxa"/>
                    <w:left w:w="0" w:type="dxa"/>
                    <w:bottom w:w="0" w:type="dxa"/>
                    <w:right w:w="0" w:type="dxa"/>
                  </w:tcMar>
                  <w:vAlign w:val="center"/>
                </w:tcPr>
                <w:p w14:paraId="307C4C61">
                  <w:pPr>
                    <w:pStyle w:val="40"/>
                    <w:bidi w:val="0"/>
                  </w:pPr>
                  <w:r>
                    <w:t>8.0</w:t>
                  </w:r>
                </w:p>
              </w:tc>
              <w:tc>
                <w:tcPr>
                  <w:tcW w:w="153" w:type="pct"/>
                  <w:tcBorders>
                    <w:tl2br w:val="nil"/>
                    <w:tr2bl w:val="nil"/>
                  </w:tcBorders>
                  <w:shd w:val="clear" w:color="auto" w:fill="auto"/>
                  <w:tcMar>
                    <w:top w:w="0" w:type="dxa"/>
                    <w:left w:w="0" w:type="dxa"/>
                    <w:bottom w:w="0" w:type="dxa"/>
                    <w:right w:w="0" w:type="dxa"/>
                  </w:tcMar>
                  <w:vAlign w:val="center"/>
                </w:tcPr>
                <w:p w14:paraId="7174AD4A">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3C40B887">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67F9D471">
                  <w:pPr>
                    <w:pStyle w:val="40"/>
                    <w:bidi w:val="0"/>
                  </w:pPr>
                  <w:r>
                    <w:t>26.0</w:t>
                  </w:r>
                </w:p>
              </w:tc>
              <w:tc>
                <w:tcPr>
                  <w:tcW w:w="157" w:type="pct"/>
                  <w:tcBorders>
                    <w:tl2br w:val="nil"/>
                    <w:tr2bl w:val="nil"/>
                  </w:tcBorders>
                  <w:shd w:val="clear" w:color="auto" w:fill="auto"/>
                  <w:tcMar>
                    <w:top w:w="0" w:type="dxa"/>
                    <w:left w:w="0" w:type="dxa"/>
                    <w:bottom w:w="0" w:type="dxa"/>
                    <w:right w:w="0" w:type="dxa"/>
                  </w:tcMar>
                  <w:vAlign w:val="center"/>
                </w:tcPr>
                <w:p w14:paraId="1F467E8C">
                  <w:pPr>
                    <w:pStyle w:val="40"/>
                    <w:bidi w:val="0"/>
                  </w:pPr>
                  <w:r>
                    <w:t>26.0</w:t>
                  </w:r>
                </w:p>
              </w:tc>
              <w:tc>
                <w:tcPr>
                  <w:tcW w:w="167" w:type="pct"/>
                  <w:tcBorders>
                    <w:tl2br w:val="nil"/>
                    <w:tr2bl w:val="nil"/>
                  </w:tcBorders>
                  <w:shd w:val="clear" w:color="auto" w:fill="auto"/>
                  <w:tcMar>
                    <w:top w:w="0" w:type="dxa"/>
                    <w:left w:w="0" w:type="dxa"/>
                    <w:bottom w:w="0" w:type="dxa"/>
                    <w:right w:w="0" w:type="dxa"/>
                  </w:tcMar>
                  <w:vAlign w:val="center"/>
                </w:tcPr>
                <w:p w14:paraId="1285D807">
                  <w:pPr>
                    <w:pStyle w:val="40"/>
                    <w:bidi w:val="0"/>
                  </w:pPr>
                  <w:r>
                    <w:t>41.7</w:t>
                  </w:r>
                </w:p>
              </w:tc>
              <w:tc>
                <w:tcPr>
                  <w:tcW w:w="158" w:type="pct"/>
                  <w:tcBorders>
                    <w:tl2br w:val="nil"/>
                    <w:tr2bl w:val="nil"/>
                  </w:tcBorders>
                  <w:shd w:val="clear" w:color="auto" w:fill="auto"/>
                  <w:tcMar>
                    <w:top w:w="0" w:type="dxa"/>
                    <w:left w:w="0" w:type="dxa"/>
                    <w:bottom w:w="0" w:type="dxa"/>
                    <w:right w:w="0" w:type="dxa"/>
                  </w:tcMar>
                  <w:vAlign w:val="center"/>
                </w:tcPr>
                <w:p w14:paraId="6053A53F">
                  <w:pPr>
                    <w:pStyle w:val="40"/>
                    <w:bidi w:val="0"/>
                  </w:pPr>
                  <w:r>
                    <w:t>41.8</w:t>
                  </w:r>
                </w:p>
              </w:tc>
              <w:tc>
                <w:tcPr>
                  <w:tcW w:w="153" w:type="pct"/>
                  <w:tcBorders>
                    <w:tl2br w:val="nil"/>
                    <w:tr2bl w:val="nil"/>
                  </w:tcBorders>
                  <w:shd w:val="clear" w:color="auto" w:fill="auto"/>
                  <w:tcMar>
                    <w:top w:w="0" w:type="dxa"/>
                    <w:left w:w="0" w:type="dxa"/>
                    <w:bottom w:w="0" w:type="dxa"/>
                    <w:right w:w="0" w:type="dxa"/>
                  </w:tcMar>
                  <w:vAlign w:val="center"/>
                </w:tcPr>
                <w:p w14:paraId="655723A3">
                  <w:pPr>
                    <w:pStyle w:val="40"/>
                    <w:bidi w:val="0"/>
                  </w:pPr>
                  <w:r>
                    <w:t>41.8</w:t>
                  </w:r>
                </w:p>
              </w:tc>
              <w:tc>
                <w:tcPr>
                  <w:tcW w:w="155" w:type="pct"/>
                  <w:tcBorders>
                    <w:tl2br w:val="nil"/>
                    <w:tr2bl w:val="nil"/>
                  </w:tcBorders>
                  <w:shd w:val="clear" w:color="auto" w:fill="auto"/>
                  <w:tcMar>
                    <w:top w:w="0" w:type="dxa"/>
                    <w:left w:w="0" w:type="dxa"/>
                    <w:bottom w:w="0" w:type="dxa"/>
                    <w:right w:w="0" w:type="dxa"/>
                  </w:tcMar>
                  <w:vAlign w:val="center"/>
                </w:tcPr>
                <w:p w14:paraId="22E4E1A6">
                  <w:pPr>
                    <w:pStyle w:val="40"/>
                    <w:bidi w:val="0"/>
                  </w:pPr>
                  <w:r>
                    <w:t>41.9</w:t>
                  </w:r>
                </w:p>
              </w:tc>
              <w:tc>
                <w:tcPr>
                  <w:tcW w:w="231" w:type="pct"/>
                  <w:tcBorders>
                    <w:tl2br w:val="nil"/>
                    <w:tr2bl w:val="nil"/>
                  </w:tcBorders>
                  <w:shd w:val="clear" w:color="auto" w:fill="auto"/>
                  <w:tcMar>
                    <w:top w:w="0" w:type="dxa"/>
                    <w:left w:w="0" w:type="dxa"/>
                    <w:bottom w:w="0" w:type="dxa"/>
                    <w:right w:w="0" w:type="dxa"/>
                  </w:tcMar>
                  <w:vAlign w:val="center"/>
                </w:tcPr>
                <w:p w14:paraId="5FFFEB24">
                  <w:pPr>
                    <w:pStyle w:val="40"/>
                    <w:bidi w:val="0"/>
                  </w:pPr>
                  <w:r>
                    <w:t>1</w:t>
                  </w:r>
                </w:p>
              </w:tc>
            </w:tr>
            <w:tr w14:paraId="3EED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6" w:hRule="atLeast"/>
                <w:jc w:val="center"/>
              </w:trPr>
              <w:tc>
                <w:tcPr>
                  <w:tcW w:w="175" w:type="pct"/>
                  <w:tcBorders>
                    <w:tl2br w:val="nil"/>
                    <w:tr2bl w:val="nil"/>
                  </w:tcBorders>
                  <w:shd w:val="clear" w:color="auto" w:fill="auto"/>
                  <w:tcMar>
                    <w:top w:w="0" w:type="dxa"/>
                    <w:left w:w="0" w:type="dxa"/>
                    <w:bottom w:w="0" w:type="dxa"/>
                    <w:right w:w="0" w:type="dxa"/>
                  </w:tcMar>
                  <w:vAlign w:val="center"/>
                </w:tcPr>
                <w:p w14:paraId="5F3F6106">
                  <w:pPr>
                    <w:pStyle w:val="40"/>
                    <w:bidi w:val="0"/>
                  </w:pPr>
                  <w:r>
                    <w:t>3</w:t>
                  </w:r>
                </w:p>
              </w:tc>
              <w:tc>
                <w:tcPr>
                  <w:tcW w:w="199" w:type="pct"/>
                  <w:vMerge w:val="continue"/>
                  <w:tcBorders>
                    <w:tl2br w:val="nil"/>
                    <w:tr2bl w:val="nil"/>
                  </w:tcBorders>
                  <w:shd w:val="clear" w:color="auto" w:fill="auto"/>
                  <w:tcMar>
                    <w:top w:w="0" w:type="dxa"/>
                    <w:left w:w="0" w:type="dxa"/>
                    <w:bottom w:w="0" w:type="dxa"/>
                    <w:right w:w="0" w:type="dxa"/>
                  </w:tcMar>
                  <w:vAlign w:val="center"/>
                </w:tcPr>
                <w:p w14:paraId="769F1DA7">
                  <w:pPr>
                    <w:pStyle w:val="40"/>
                    <w:bidi w:val="0"/>
                  </w:pPr>
                </w:p>
              </w:tc>
              <w:tc>
                <w:tcPr>
                  <w:tcW w:w="565" w:type="pct"/>
                  <w:tcBorders>
                    <w:tl2br w:val="nil"/>
                    <w:tr2bl w:val="nil"/>
                  </w:tcBorders>
                  <w:shd w:val="clear" w:color="auto" w:fill="auto"/>
                  <w:tcMar>
                    <w:top w:w="0" w:type="dxa"/>
                    <w:left w:w="0" w:type="dxa"/>
                    <w:bottom w:w="0" w:type="dxa"/>
                    <w:right w:w="0" w:type="dxa"/>
                  </w:tcMar>
                  <w:vAlign w:val="center"/>
                </w:tcPr>
                <w:p w14:paraId="38B51041">
                  <w:pPr>
                    <w:pStyle w:val="40"/>
                    <w:bidi w:val="0"/>
                  </w:pPr>
                  <w:r>
                    <w:t>翻转式切割机,2台（按点声源组预测）</w:t>
                  </w:r>
                </w:p>
              </w:tc>
              <w:tc>
                <w:tcPr>
                  <w:tcW w:w="362" w:type="pct"/>
                  <w:tcBorders>
                    <w:tl2br w:val="nil"/>
                    <w:tr2bl w:val="nil"/>
                  </w:tcBorders>
                  <w:shd w:val="clear" w:color="auto" w:fill="auto"/>
                  <w:tcMar>
                    <w:top w:w="0" w:type="dxa"/>
                    <w:left w:w="0" w:type="dxa"/>
                    <w:bottom w:w="0" w:type="dxa"/>
                    <w:right w:w="0" w:type="dxa"/>
                  </w:tcMar>
                  <w:vAlign w:val="center"/>
                </w:tcPr>
                <w:p w14:paraId="5F068C5D">
                  <w:pPr>
                    <w:pStyle w:val="40"/>
                    <w:bidi w:val="0"/>
                  </w:pPr>
                  <w:r>
                    <w:t>72（等效后：75.0)</w:t>
                  </w:r>
                </w:p>
              </w:tc>
              <w:tc>
                <w:tcPr>
                  <w:tcW w:w="204" w:type="pct"/>
                  <w:vMerge w:val="continue"/>
                  <w:tcBorders>
                    <w:tl2br w:val="nil"/>
                    <w:tr2bl w:val="nil"/>
                  </w:tcBorders>
                  <w:shd w:val="clear" w:color="auto" w:fill="auto"/>
                  <w:tcMar>
                    <w:top w:w="0" w:type="dxa"/>
                    <w:left w:w="0" w:type="dxa"/>
                    <w:bottom w:w="0" w:type="dxa"/>
                    <w:right w:w="0" w:type="dxa"/>
                  </w:tcMar>
                  <w:vAlign w:val="center"/>
                </w:tcPr>
                <w:p w14:paraId="53D23F67">
                  <w:pPr>
                    <w:pStyle w:val="40"/>
                    <w:bidi w:val="0"/>
                  </w:pPr>
                </w:p>
              </w:tc>
              <w:tc>
                <w:tcPr>
                  <w:tcW w:w="181" w:type="pct"/>
                  <w:tcBorders>
                    <w:tl2br w:val="nil"/>
                    <w:tr2bl w:val="nil"/>
                  </w:tcBorders>
                  <w:shd w:val="clear" w:color="auto" w:fill="auto"/>
                  <w:tcMar>
                    <w:top w:w="0" w:type="dxa"/>
                    <w:left w:w="0" w:type="dxa"/>
                    <w:bottom w:w="0" w:type="dxa"/>
                    <w:right w:w="0" w:type="dxa"/>
                  </w:tcMar>
                  <w:vAlign w:val="center"/>
                </w:tcPr>
                <w:p w14:paraId="0F9ABC29">
                  <w:pPr>
                    <w:pStyle w:val="40"/>
                    <w:bidi w:val="0"/>
                  </w:pPr>
                  <w:r>
                    <w:t>15.1</w:t>
                  </w:r>
                </w:p>
              </w:tc>
              <w:tc>
                <w:tcPr>
                  <w:tcW w:w="162" w:type="pct"/>
                  <w:tcBorders>
                    <w:tl2br w:val="nil"/>
                    <w:tr2bl w:val="nil"/>
                  </w:tcBorders>
                  <w:shd w:val="clear" w:color="auto" w:fill="auto"/>
                  <w:tcMar>
                    <w:top w:w="0" w:type="dxa"/>
                    <w:left w:w="0" w:type="dxa"/>
                    <w:bottom w:w="0" w:type="dxa"/>
                    <w:right w:w="0" w:type="dxa"/>
                  </w:tcMar>
                  <w:vAlign w:val="center"/>
                </w:tcPr>
                <w:p w14:paraId="6800CA64">
                  <w:pPr>
                    <w:pStyle w:val="40"/>
                    <w:bidi w:val="0"/>
                  </w:pPr>
                  <w:r>
                    <w:t>51.6</w:t>
                  </w:r>
                </w:p>
              </w:tc>
              <w:tc>
                <w:tcPr>
                  <w:tcW w:w="143" w:type="pct"/>
                  <w:tcBorders>
                    <w:tl2br w:val="nil"/>
                    <w:tr2bl w:val="nil"/>
                  </w:tcBorders>
                  <w:shd w:val="clear" w:color="auto" w:fill="auto"/>
                  <w:tcMar>
                    <w:top w:w="0" w:type="dxa"/>
                    <w:left w:w="0" w:type="dxa"/>
                    <w:bottom w:w="0" w:type="dxa"/>
                    <w:right w:w="0" w:type="dxa"/>
                  </w:tcMar>
                  <w:vAlign w:val="center"/>
                </w:tcPr>
                <w:p w14:paraId="1A03A26C">
                  <w:pPr>
                    <w:pStyle w:val="40"/>
                    <w:bidi w:val="0"/>
                  </w:pPr>
                  <w:r>
                    <w:t>1.2</w:t>
                  </w:r>
                </w:p>
              </w:tc>
              <w:tc>
                <w:tcPr>
                  <w:tcW w:w="181" w:type="pct"/>
                  <w:tcBorders>
                    <w:tl2br w:val="nil"/>
                    <w:tr2bl w:val="nil"/>
                  </w:tcBorders>
                  <w:shd w:val="clear" w:color="auto" w:fill="auto"/>
                  <w:tcMar>
                    <w:top w:w="0" w:type="dxa"/>
                    <w:left w:w="0" w:type="dxa"/>
                    <w:bottom w:w="0" w:type="dxa"/>
                    <w:right w:w="0" w:type="dxa"/>
                  </w:tcMar>
                  <w:vAlign w:val="center"/>
                </w:tcPr>
                <w:p w14:paraId="1EFFBE9D">
                  <w:pPr>
                    <w:pStyle w:val="40"/>
                    <w:bidi w:val="0"/>
                  </w:pPr>
                  <w:r>
                    <w:t>23.1</w:t>
                  </w:r>
                </w:p>
              </w:tc>
              <w:tc>
                <w:tcPr>
                  <w:tcW w:w="172" w:type="pct"/>
                  <w:tcBorders>
                    <w:tl2br w:val="nil"/>
                    <w:tr2bl w:val="nil"/>
                  </w:tcBorders>
                  <w:shd w:val="clear" w:color="auto" w:fill="auto"/>
                  <w:tcMar>
                    <w:top w:w="0" w:type="dxa"/>
                    <w:left w:w="0" w:type="dxa"/>
                    <w:bottom w:w="0" w:type="dxa"/>
                    <w:right w:w="0" w:type="dxa"/>
                  </w:tcMar>
                  <w:vAlign w:val="center"/>
                </w:tcPr>
                <w:p w14:paraId="2717C0D7">
                  <w:pPr>
                    <w:pStyle w:val="40"/>
                    <w:bidi w:val="0"/>
                  </w:pPr>
                  <w:r>
                    <w:t>23.2</w:t>
                  </w:r>
                </w:p>
              </w:tc>
              <w:tc>
                <w:tcPr>
                  <w:tcW w:w="153" w:type="pct"/>
                  <w:tcBorders>
                    <w:tl2br w:val="nil"/>
                    <w:tr2bl w:val="nil"/>
                  </w:tcBorders>
                  <w:shd w:val="clear" w:color="auto" w:fill="auto"/>
                  <w:tcMar>
                    <w:top w:w="0" w:type="dxa"/>
                    <w:left w:w="0" w:type="dxa"/>
                    <w:bottom w:w="0" w:type="dxa"/>
                    <w:right w:w="0" w:type="dxa"/>
                  </w:tcMar>
                  <w:vAlign w:val="center"/>
                </w:tcPr>
                <w:p w14:paraId="5563E749">
                  <w:pPr>
                    <w:pStyle w:val="40"/>
                    <w:bidi w:val="0"/>
                  </w:pPr>
                  <w:r>
                    <w:t>115.1</w:t>
                  </w:r>
                </w:p>
              </w:tc>
              <w:tc>
                <w:tcPr>
                  <w:tcW w:w="172" w:type="pct"/>
                  <w:tcBorders>
                    <w:tl2br w:val="nil"/>
                    <w:tr2bl w:val="nil"/>
                  </w:tcBorders>
                  <w:shd w:val="clear" w:color="auto" w:fill="auto"/>
                  <w:tcMar>
                    <w:top w:w="0" w:type="dxa"/>
                    <w:left w:w="0" w:type="dxa"/>
                    <w:bottom w:w="0" w:type="dxa"/>
                    <w:right w:w="0" w:type="dxa"/>
                  </w:tcMar>
                  <w:vAlign w:val="center"/>
                </w:tcPr>
                <w:p w14:paraId="1ECC4CFD">
                  <w:pPr>
                    <w:pStyle w:val="40"/>
                    <w:bidi w:val="0"/>
                  </w:pPr>
                  <w:r>
                    <w:t>13.4</w:t>
                  </w:r>
                </w:p>
              </w:tc>
              <w:tc>
                <w:tcPr>
                  <w:tcW w:w="167" w:type="pct"/>
                  <w:tcBorders>
                    <w:tl2br w:val="nil"/>
                    <w:tr2bl w:val="nil"/>
                  </w:tcBorders>
                  <w:shd w:val="clear" w:color="auto" w:fill="auto"/>
                  <w:tcMar>
                    <w:top w:w="0" w:type="dxa"/>
                    <w:left w:w="0" w:type="dxa"/>
                    <w:bottom w:w="0" w:type="dxa"/>
                    <w:right w:w="0" w:type="dxa"/>
                  </w:tcMar>
                  <w:vAlign w:val="center"/>
                </w:tcPr>
                <w:p w14:paraId="2DA2F885">
                  <w:pPr>
                    <w:pStyle w:val="40"/>
                    <w:bidi w:val="0"/>
                  </w:pPr>
                  <w:r>
                    <w:t>56.8</w:t>
                  </w:r>
                </w:p>
              </w:tc>
              <w:tc>
                <w:tcPr>
                  <w:tcW w:w="172" w:type="pct"/>
                  <w:tcBorders>
                    <w:tl2br w:val="nil"/>
                    <w:tr2bl w:val="nil"/>
                  </w:tcBorders>
                  <w:shd w:val="clear" w:color="auto" w:fill="auto"/>
                  <w:tcMar>
                    <w:top w:w="0" w:type="dxa"/>
                    <w:left w:w="0" w:type="dxa"/>
                    <w:bottom w:w="0" w:type="dxa"/>
                    <w:right w:w="0" w:type="dxa"/>
                  </w:tcMar>
                  <w:vAlign w:val="center"/>
                </w:tcPr>
                <w:p w14:paraId="082F630B">
                  <w:pPr>
                    <w:pStyle w:val="40"/>
                    <w:bidi w:val="0"/>
                  </w:pPr>
                  <w:r>
                    <w:t>56.8</w:t>
                  </w:r>
                </w:p>
              </w:tc>
              <w:tc>
                <w:tcPr>
                  <w:tcW w:w="162" w:type="pct"/>
                  <w:tcBorders>
                    <w:tl2br w:val="nil"/>
                    <w:tr2bl w:val="nil"/>
                  </w:tcBorders>
                  <w:shd w:val="clear" w:color="auto" w:fill="auto"/>
                  <w:tcMar>
                    <w:top w:w="0" w:type="dxa"/>
                    <w:left w:w="0" w:type="dxa"/>
                    <w:bottom w:w="0" w:type="dxa"/>
                    <w:right w:w="0" w:type="dxa"/>
                  </w:tcMar>
                  <w:vAlign w:val="center"/>
                </w:tcPr>
                <w:p w14:paraId="727C647E">
                  <w:pPr>
                    <w:pStyle w:val="40"/>
                    <w:bidi w:val="0"/>
                  </w:pPr>
                  <w:r>
                    <w:t>56.7</w:t>
                  </w:r>
                </w:p>
              </w:tc>
              <w:tc>
                <w:tcPr>
                  <w:tcW w:w="153" w:type="pct"/>
                  <w:tcBorders>
                    <w:tl2br w:val="nil"/>
                    <w:tr2bl w:val="nil"/>
                  </w:tcBorders>
                  <w:shd w:val="clear" w:color="auto" w:fill="auto"/>
                  <w:tcMar>
                    <w:top w:w="0" w:type="dxa"/>
                    <w:left w:w="0" w:type="dxa"/>
                    <w:bottom w:w="0" w:type="dxa"/>
                    <w:right w:w="0" w:type="dxa"/>
                  </w:tcMar>
                  <w:vAlign w:val="center"/>
                </w:tcPr>
                <w:p w14:paraId="0325BA40">
                  <w:pPr>
                    <w:pStyle w:val="40"/>
                    <w:bidi w:val="0"/>
                  </w:pPr>
                  <w:r>
                    <w:t>56.9</w:t>
                  </w:r>
                </w:p>
              </w:tc>
              <w:tc>
                <w:tcPr>
                  <w:tcW w:w="167" w:type="pct"/>
                  <w:tcBorders>
                    <w:tl2br w:val="nil"/>
                    <w:tr2bl w:val="nil"/>
                  </w:tcBorders>
                  <w:shd w:val="clear" w:color="auto" w:fill="auto"/>
                  <w:tcMar>
                    <w:top w:w="0" w:type="dxa"/>
                    <w:left w:w="0" w:type="dxa"/>
                    <w:bottom w:w="0" w:type="dxa"/>
                    <w:right w:w="0" w:type="dxa"/>
                  </w:tcMar>
                  <w:vAlign w:val="center"/>
                </w:tcPr>
                <w:p w14:paraId="1CDAB36B">
                  <w:pPr>
                    <w:pStyle w:val="40"/>
                    <w:bidi w:val="0"/>
                  </w:pPr>
                  <w:r>
                    <w:t>8.0</w:t>
                  </w:r>
                </w:p>
              </w:tc>
              <w:tc>
                <w:tcPr>
                  <w:tcW w:w="153" w:type="pct"/>
                  <w:tcBorders>
                    <w:tl2br w:val="nil"/>
                    <w:tr2bl w:val="nil"/>
                  </w:tcBorders>
                  <w:shd w:val="clear" w:color="auto" w:fill="auto"/>
                  <w:tcMar>
                    <w:top w:w="0" w:type="dxa"/>
                    <w:left w:w="0" w:type="dxa"/>
                    <w:bottom w:w="0" w:type="dxa"/>
                    <w:right w:w="0" w:type="dxa"/>
                  </w:tcMar>
                  <w:vAlign w:val="center"/>
                </w:tcPr>
                <w:p w14:paraId="2350611F">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5EF9EF5A">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11F599D1">
                  <w:pPr>
                    <w:pStyle w:val="40"/>
                    <w:bidi w:val="0"/>
                  </w:pPr>
                  <w:r>
                    <w:t>26.0</w:t>
                  </w:r>
                </w:p>
              </w:tc>
              <w:tc>
                <w:tcPr>
                  <w:tcW w:w="157" w:type="pct"/>
                  <w:tcBorders>
                    <w:tl2br w:val="nil"/>
                    <w:tr2bl w:val="nil"/>
                  </w:tcBorders>
                  <w:shd w:val="clear" w:color="auto" w:fill="auto"/>
                  <w:tcMar>
                    <w:top w:w="0" w:type="dxa"/>
                    <w:left w:w="0" w:type="dxa"/>
                    <w:bottom w:w="0" w:type="dxa"/>
                    <w:right w:w="0" w:type="dxa"/>
                  </w:tcMar>
                  <w:vAlign w:val="center"/>
                </w:tcPr>
                <w:p w14:paraId="2DD1CDCB">
                  <w:pPr>
                    <w:pStyle w:val="40"/>
                    <w:bidi w:val="0"/>
                  </w:pPr>
                  <w:r>
                    <w:t>26.0</w:t>
                  </w:r>
                </w:p>
              </w:tc>
              <w:tc>
                <w:tcPr>
                  <w:tcW w:w="167" w:type="pct"/>
                  <w:tcBorders>
                    <w:tl2br w:val="nil"/>
                    <w:tr2bl w:val="nil"/>
                  </w:tcBorders>
                  <w:shd w:val="clear" w:color="auto" w:fill="auto"/>
                  <w:tcMar>
                    <w:top w:w="0" w:type="dxa"/>
                    <w:left w:w="0" w:type="dxa"/>
                    <w:bottom w:w="0" w:type="dxa"/>
                    <w:right w:w="0" w:type="dxa"/>
                  </w:tcMar>
                  <w:vAlign w:val="center"/>
                </w:tcPr>
                <w:p w14:paraId="13D333DB">
                  <w:pPr>
                    <w:pStyle w:val="40"/>
                    <w:bidi w:val="0"/>
                  </w:pPr>
                  <w:r>
                    <w:t>30.8</w:t>
                  </w:r>
                </w:p>
              </w:tc>
              <w:tc>
                <w:tcPr>
                  <w:tcW w:w="158" w:type="pct"/>
                  <w:tcBorders>
                    <w:tl2br w:val="nil"/>
                    <w:tr2bl w:val="nil"/>
                  </w:tcBorders>
                  <w:shd w:val="clear" w:color="auto" w:fill="auto"/>
                  <w:tcMar>
                    <w:top w:w="0" w:type="dxa"/>
                    <w:left w:w="0" w:type="dxa"/>
                    <w:bottom w:w="0" w:type="dxa"/>
                    <w:right w:w="0" w:type="dxa"/>
                  </w:tcMar>
                  <w:vAlign w:val="center"/>
                </w:tcPr>
                <w:p w14:paraId="6275670D">
                  <w:pPr>
                    <w:pStyle w:val="40"/>
                    <w:bidi w:val="0"/>
                  </w:pPr>
                  <w:r>
                    <w:t>30.8</w:t>
                  </w:r>
                </w:p>
              </w:tc>
              <w:tc>
                <w:tcPr>
                  <w:tcW w:w="153" w:type="pct"/>
                  <w:tcBorders>
                    <w:tl2br w:val="nil"/>
                    <w:tr2bl w:val="nil"/>
                  </w:tcBorders>
                  <w:shd w:val="clear" w:color="auto" w:fill="auto"/>
                  <w:tcMar>
                    <w:top w:w="0" w:type="dxa"/>
                    <w:left w:w="0" w:type="dxa"/>
                    <w:bottom w:w="0" w:type="dxa"/>
                    <w:right w:w="0" w:type="dxa"/>
                  </w:tcMar>
                  <w:vAlign w:val="center"/>
                </w:tcPr>
                <w:p w14:paraId="0BA791A0">
                  <w:pPr>
                    <w:pStyle w:val="40"/>
                    <w:bidi w:val="0"/>
                  </w:pPr>
                  <w:r>
                    <w:t>30.7</w:t>
                  </w:r>
                </w:p>
              </w:tc>
              <w:tc>
                <w:tcPr>
                  <w:tcW w:w="155" w:type="pct"/>
                  <w:tcBorders>
                    <w:tl2br w:val="nil"/>
                    <w:tr2bl w:val="nil"/>
                  </w:tcBorders>
                  <w:shd w:val="clear" w:color="auto" w:fill="auto"/>
                  <w:tcMar>
                    <w:top w:w="0" w:type="dxa"/>
                    <w:left w:w="0" w:type="dxa"/>
                    <w:bottom w:w="0" w:type="dxa"/>
                    <w:right w:w="0" w:type="dxa"/>
                  </w:tcMar>
                  <w:vAlign w:val="center"/>
                </w:tcPr>
                <w:p w14:paraId="3449EA22">
                  <w:pPr>
                    <w:pStyle w:val="40"/>
                    <w:bidi w:val="0"/>
                  </w:pPr>
                  <w:r>
                    <w:t>30.9</w:t>
                  </w:r>
                </w:p>
              </w:tc>
              <w:tc>
                <w:tcPr>
                  <w:tcW w:w="231" w:type="pct"/>
                  <w:tcBorders>
                    <w:tl2br w:val="nil"/>
                    <w:tr2bl w:val="nil"/>
                  </w:tcBorders>
                  <w:shd w:val="clear" w:color="auto" w:fill="auto"/>
                  <w:tcMar>
                    <w:top w:w="0" w:type="dxa"/>
                    <w:left w:w="0" w:type="dxa"/>
                    <w:bottom w:w="0" w:type="dxa"/>
                    <w:right w:w="0" w:type="dxa"/>
                  </w:tcMar>
                  <w:vAlign w:val="center"/>
                </w:tcPr>
                <w:p w14:paraId="5C03FAA1">
                  <w:pPr>
                    <w:pStyle w:val="40"/>
                    <w:bidi w:val="0"/>
                  </w:pPr>
                  <w:r>
                    <w:t>1</w:t>
                  </w:r>
                </w:p>
              </w:tc>
            </w:tr>
            <w:tr w14:paraId="3707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0" w:hRule="atLeast"/>
                <w:jc w:val="center"/>
              </w:trPr>
              <w:tc>
                <w:tcPr>
                  <w:tcW w:w="175" w:type="pct"/>
                  <w:tcBorders>
                    <w:tl2br w:val="nil"/>
                    <w:tr2bl w:val="nil"/>
                  </w:tcBorders>
                  <w:shd w:val="clear" w:color="auto" w:fill="auto"/>
                  <w:tcMar>
                    <w:top w:w="0" w:type="dxa"/>
                    <w:left w:w="0" w:type="dxa"/>
                    <w:bottom w:w="0" w:type="dxa"/>
                    <w:right w:w="0" w:type="dxa"/>
                  </w:tcMar>
                  <w:vAlign w:val="center"/>
                </w:tcPr>
                <w:p w14:paraId="41E0B92A">
                  <w:pPr>
                    <w:pStyle w:val="40"/>
                    <w:bidi w:val="0"/>
                  </w:pPr>
                  <w:r>
                    <w:t>4</w:t>
                  </w:r>
                </w:p>
              </w:tc>
              <w:tc>
                <w:tcPr>
                  <w:tcW w:w="199" w:type="pct"/>
                  <w:vMerge w:val="restart"/>
                  <w:tcBorders>
                    <w:tl2br w:val="nil"/>
                    <w:tr2bl w:val="nil"/>
                  </w:tcBorders>
                  <w:shd w:val="clear" w:color="auto" w:fill="auto"/>
                  <w:tcMar>
                    <w:top w:w="0" w:type="dxa"/>
                    <w:left w:w="0" w:type="dxa"/>
                    <w:bottom w:w="0" w:type="dxa"/>
                    <w:right w:w="0" w:type="dxa"/>
                  </w:tcMar>
                  <w:vAlign w:val="center"/>
                </w:tcPr>
                <w:p w14:paraId="670F2438">
                  <w:pPr>
                    <w:pStyle w:val="40"/>
                    <w:bidi w:val="0"/>
                  </w:pPr>
                  <w:r>
                    <w:rPr>
                      <w:rFonts w:hint="eastAsia"/>
                      <w:lang w:val="en-US" w:eastAsia="zh-CN"/>
                    </w:rPr>
                    <w:t>2</w:t>
                  </w:r>
                  <w:r>
                    <w:t>#</w:t>
                  </w:r>
                  <w:r>
                    <w:rPr>
                      <w:rFonts w:hint="eastAsia"/>
                      <w:lang w:val="en-US" w:eastAsia="zh-CN"/>
                    </w:rPr>
                    <w:t>厂房</w:t>
                  </w:r>
                </w:p>
              </w:tc>
              <w:tc>
                <w:tcPr>
                  <w:tcW w:w="565" w:type="pct"/>
                  <w:tcBorders>
                    <w:tl2br w:val="nil"/>
                    <w:tr2bl w:val="nil"/>
                  </w:tcBorders>
                  <w:shd w:val="clear" w:color="auto" w:fill="auto"/>
                  <w:tcMar>
                    <w:top w:w="0" w:type="dxa"/>
                    <w:left w:w="0" w:type="dxa"/>
                    <w:bottom w:w="0" w:type="dxa"/>
                    <w:right w:w="0" w:type="dxa"/>
                  </w:tcMar>
                  <w:vAlign w:val="center"/>
                </w:tcPr>
                <w:p w14:paraId="02463245">
                  <w:pPr>
                    <w:pStyle w:val="40"/>
                    <w:bidi w:val="0"/>
                  </w:pPr>
                  <w:r>
                    <w:t>搅拌机,2台（按点声源组预测）</w:t>
                  </w:r>
                </w:p>
              </w:tc>
              <w:tc>
                <w:tcPr>
                  <w:tcW w:w="362" w:type="pct"/>
                  <w:tcBorders>
                    <w:tl2br w:val="nil"/>
                    <w:tr2bl w:val="nil"/>
                  </w:tcBorders>
                  <w:shd w:val="clear" w:color="auto" w:fill="auto"/>
                  <w:tcMar>
                    <w:top w:w="0" w:type="dxa"/>
                    <w:left w:w="0" w:type="dxa"/>
                    <w:bottom w:w="0" w:type="dxa"/>
                    <w:right w:w="0" w:type="dxa"/>
                  </w:tcMar>
                  <w:vAlign w:val="center"/>
                </w:tcPr>
                <w:p w14:paraId="7A61CE3D">
                  <w:pPr>
                    <w:pStyle w:val="40"/>
                    <w:bidi w:val="0"/>
                  </w:pPr>
                  <w:r>
                    <w:t>85（等效后：88.0)</w:t>
                  </w:r>
                </w:p>
              </w:tc>
              <w:tc>
                <w:tcPr>
                  <w:tcW w:w="204" w:type="pct"/>
                  <w:vMerge w:val="continue"/>
                  <w:tcBorders>
                    <w:tl2br w:val="nil"/>
                    <w:tr2bl w:val="nil"/>
                  </w:tcBorders>
                  <w:shd w:val="clear" w:color="auto" w:fill="auto"/>
                  <w:tcMar>
                    <w:top w:w="0" w:type="dxa"/>
                    <w:left w:w="0" w:type="dxa"/>
                    <w:bottom w:w="0" w:type="dxa"/>
                    <w:right w:w="0" w:type="dxa"/>
                  </w:tcMar>
                  <w:vAlign w:val="center"/>
                </w:tcPr>
                <w:p w14:paraId="55917F38">
                  <w:pPr>
                    <w:pStyle w:val="40"/>
                    <w:bidi w:val="0"/>
                  </w:pPr>
                </w:p>
              </w:tc>
              <w:tc>
                <w:tcPr>
                  <w:tcW w:w="181" w:type="pct"/>
                  <w:tcBorders>
                    <w:tl2br w:val="nil"/>
                    <w:tr2bl w:val="nil"/>
                  </w:tcBorders>
                  <w:shd w:val="clear" w:color="auto" w:fill="auto"/>
                  <w:tcMar>
                    <w:top w:w="0" w:type="dxa"/>
                    <w:left w:w="0" w:type="dxa"/>
                    <w:bottom w:w="0" w:type="dxa"/>
                    <w:right w:w="0" w:type="dxa"/>
                  </w:tcMar>
                  <w:vAlign w:val="center"/>
                </w:tcPr>
                <w:p w14:paraId="58253A9F">
                  <w:pPr>
                    <w:pStyle w:val="40"/>
                    <w:bidi w:val="0"/>
                  </w:pPr>
                  <w:r>
                    <w:t>-96.2</w:t>
                  </w:r>
                </w:p>
              </w:tc>
              <w:tc>
                <w:tcPr>
                  <w:tcW w:w="162" w:type="pct"/>
                  <w:tcBorders>
                    <w:tl2br w:val="nil"/>
                    <w:tr2bl w:val="nil"/>
                  </w:tcBorders>
                  <w:shd w:val="clear" w:color="auto" w:fill="auto"/>
                  <w:tcMar>
                    <w:top w:w="0" w:type="dxa"/>
                    <w:left w:w="0" w:type="dxa"/>
                    <w:bottom w:w="0" w:type="dxa"/>
                    <w:right w:w="0" w:type="dxa"/>
                  </w:tcMar>
                  <w:vAlign w:val="center"/>
                </w:tcPr>
                <w:p w14:paraId="53319F9D">
                  <w:pPr>
                    <w:pStyle w:val="40"/>
                    <w:bidi w:val="0"/>
                  </w:pPr>
                  <w:r>
                    <w:t>8.5</w:t>
                  </w:r>
                </w:p>
              </w:tc>
              <w:tc>
                <w:tcPr>
                  <w:tcW w:w="143" w:type="pct"/>
                  <w:tcBorders>
                    <w:tl2br w:val="nil"/>
                    <w:tr2bl w:val="nil"/>
                  </w:tcBorders>
                  <w:shd w:val="clear" w:color="auto" w:fill="auto"/>
                  <w:tcMar>
                    <w:top w:w="0" w:type="dxa"/>
                    <w:left w:w="0" w:type="dxa"/>
                    <w:bottom w:w="0" w:type="dxa"/>
                    <w:right w:w="0" w:type="dxa"/>
                  </w:tcMar>
                  <w:vAlign w:val="center"/>
                </w:tcPr>
                <w:p w14:paraId="37A5C63C">
                  <w:pPr>
                    <w:pStyle w:val="40"/>
                    <w:bidi w:val="0"/>
                  </w:pPr>
                  <w:r>
                    <w:t>1.2</w:t>
                  </w:r>
                </w:p>
              </w:tc>
              <w:tc>
                <w:tcPr>
                  <w:tcW w:w="181" w:type="pct"/>
                  <w:tcBorders>
                    <w:tl2br w:val="nil"/>
                    <w:tr2bl w:val="nil"/>
                  </w:tcBorders>
                  <w:shd w:val="clear" w:color="auto" w:fill="auto"/>
                  <w:tcMar>
                    <w:top w:w="0" w:type="dxa"/>
                    <w:left w:w="0" w:type="dxa"/>
                    <w:bottom w:w="0" w:type="dxa"/>
                    <w:right w:w="0" w:type="dxa"/>
                  </w:tcMar>
                  <w:vAlign w:val="center"/>
                </w:tcPr>
                <w:p w14:paraId="2F1C1AE8">
                  <w:pPr>
                    <w:pStyle w:val="40"/>
                    <w:bidi w:val="0"/>
                  </w:pPr>
                  <w:r>
                    <w:t>169.7</w:t>
                  </w:r>
                </w:p>
              </w:tc>
              <w:tc>
                <w:tcPr>
                  <w:tcW w:w="172" w:type="pct"/>
                  <w:tcBorders>
                    <w:tl2br w:val="nil"/>
                    <w:tr2bl w:val="nil"/>
                  </w:tcBorders>
                  <w:shd w:val="clear" w:color="auto" w:fill="auto"/>
                  <w:tcMar>
                    <w:top w:w="0" w:type="dxa"/>
                    <w:left w:w="0" w:type="dxa"/>
                    <w:bottom w:w="0" w:type="dxa"/>
                    <w:right w:w="0" w:type="dxa"/>
                  </w:tcMar>
                  <w:vAlign w:val="center"/>
                </w:tcPr>
                <w:p w14:paraId="21982032">
                  <w:pPr>
                    <w:pStyle w:val="40"/>
                    <w:bidi w:val="0"/>
                  </w:pPr>
                  <w:r>
                    <w:t>21.2</w:t>
                  </w:r>
                </w:p>
              </w:tc>
              <w:tc>
                <w:tcPr>
                  <w:tcW w:w="153" w:type="pct"/>
                  <w:tcBorders>
                    <w:tl2br w:val="nil"/>
                    <w:tr2bl w:val="nil"/>
                  </w:tcBorders>
                  <w:shd w:val="clear" w:color="auto" w:fill="auto"/>
                  <w:tcMar>
                    <w:top w:w="0" w:type="dxa"/>
                    <w:left w:w="0" w:type="dxa"/>
                    <w:bottom w:w="0" w:type="dxa"/>
                    <w:right w:w="0" w:type="dxa"/>
                  </w:tcMar>
                  <w:vAlign w:val="center"/>
                </w:tcPr>
                <w:p w14:paraId="39910D1E">
                  <w:pPr>
                    <w:pStyle w:val="40"/>
                    <w:bidi w:val="0"/>
                  </w:pPr>
                  <w:r>
                    <w:t>12.9</w:t>
                  </w:r>
                </w:p>
              </w:tc>
              <w:tc>
                <w:tcPr>
                  <w:tcW w:w="172" w:type="pct"/>
                  <w:tcBorders>
                    <w:tl2br w:val="nil"/>
                    <w:tr2bl w:val="nil"/>
                  </w:tcBorders>
                  <w:shd w:val="clear" w:color="auto" w:fill="auto"/>
                  <w:tcMar>
                    <w:top w:w="0" w:type="dxa"/>
                    <w:left w:w="0" w:type="dxa"/>
                    <w:bottom w:w="0" w:type="dxa"/>
                    <w:right w:w="0" w:type="dxa"/>
                  </w:tcMar>
                  <w:vAlign w:val="center"/>
                </w:tcPr>
                <w:p w14:paraId="519371CD">
                  <w:pPr>
                    <w:pStyle w:val="40"/>
                    <w:bidi w:val="0"/>
                  </w:pPr>
                  <w:r>
                    <w:t>20.7</w:t>
                  </w:r>
                </w:p>
              </w:tc>
              <w:tc>
                <w:tcPr>
                  <w:tcW w:w="167" w:type="pct"/>
                  <w:tcBorders>
                    <w:tl2br w:val="nil"/>
                    <w:tr2bl w:val="nil"/>
                  </w:tcBorders>
                  <w:shd w:val="clear" w:color="auto" w:fill="auto"/>
                  <w:tcMar>
                    <w:top w:w="0" w:type="dxa"/>
                    <w:left w:w="0" w:type="dxa"/>
                    <w:bottom w:w="0" w:type="dxa"/>
                    <w:right w:w="0" w:type="dxa"/>
                  </w:tcMar>
                  <w:vAlign w:val="center"/>
                </w:tcPr>
                <w:p w14:paraId="49EE9157">
                  <w:pPr>
                    <w:pStyle w:val="40"/>
                    <w:bidi w:val="0"/>
                  </w:pPr>
                  <w:r>
                    <w:t>68.7</w:t>
                  </w:r>
                </w:p>
              </w:tc>
              <w:tc>
                <w:tcPr>
                  <w:tcW w:w="172" w:type="pct"/>
                  <w:tcBorders>
                    <w:tl2br w:val="nil"/>
                    <w:tr2bl w:val="nil"/>
                  </w:tcBorders>
                  <w:shd w:val="clear" w:color="auto" w:fill="auto"/>
                  <w:tcMar>
                    <w:top w:w="0" w:type="dxa"/>
                    <w:left w:w="0" w:type="dxa"/>
                    <w:bottom w:w="0" w:type="dxa"/>
                    <w:right w:w="0" w:type="dxa"/>
                  </w:tcMar>
                  <w:vAlign w:val="center"/>
                </w:tcPr>
                <w:p w14:paraId="17EC0154">
                  <w:pPr>
                    <w:pStyle w:val="40"/>
                    <w:bidi w:val="0"/>
                  </w:pPr>
                  <w:r>
                    <w:t>68.7</w:t>
                  </w:r>
                </w:p>
              </w:tc>
              <w:tc>
                <w:tcPr>
                  <w:tcW w:w="162" w:type="pct"/>
                  <w:tcBorders>
                    <w:tl2br w:val="nil"/>
                    <w:tr2bl w:val="nil"/>
                  </w:tcBorders>
                  <w:shd w:val="clear" w:color="auto" w:fill="auto"/>
                  <w:tcMar>
                    <w:top w:w="0" w:type="dxa"/>
                    <w:left w:w="0" w:type="dxa"/>
                    <w:bottom w:w="0" w:type="dxa"/>
                    <w:right w:w="0" w:type="dxa"/>
                  </w:tcMar>
                  <w:vAlign w:val="center"/>
                </w:tcPr>
                <w:p w14:paraId="505C23F0">
                  <w:pPr>
                    <w:pStyle w:val="40"/>
                    <w:bidi w:val="0"/>
                  </w:pPr>
                  <w:r>
                    <w:t>68.8</w:t>
                  </w:r>
                </w:p>
              </w:tc>
              <w:tc>
                <w:tcPr>
                  <w:tcW w:w="153" w:type="pct"/>
                  <w:tcBorders>
                    <w:tl2br w:val="nil"/>
                    <w:tr2bl w:val="nil"/>
                  </w:tcBorders>
                  <w:shd w:val="clear" w:color="auto" w:fill="auto"/>
                  <w:tcMar>
                    <w:top w:w="0" w:type="dxa"/>
                    <w:left w:w="0" w:type="dxa"/>
                    <w:bottom w:w="0" w:type="dxa"/>
                    <w:right w:w="0" w:type="dxa"/>
                  </w:tcMar>
                  <w:vAlign w:val="center"/>
                </w:tcPr>
                <w:p w14:paraId="78ADF653">
                  <w:pPr>
                    <w:pStyle w:val="40"/>
                    <w:bidi w:val="0"/>
                  </w:pPr>
                  <w:r>
                    <w:t>68.7</w:t>
                  </w:r>
                </w:p>
              </w:tc>
              <w:tc>
                <w:tcPr>
                  <w:tcW w:w="167" w:type="pct"/>
                  <w:tcBorders>
                    <w:tl2br w:val="nil"/>
                    <w:tr2bl w:val="nil"/>
                  </w:tcBorders>
                  <w:shd w:val="clear" w:color="auto" w:fill="auto"/>
                  <w:tcMar>
                    <w:top w:w="0" w:type="dxa"/>
                    <w:left w:w="0" w:type="dxa"/>
                    <w:bottom w:w="0" w:type="dxa"/>
                    <w:right w:w="0" w:type="dxa"/>
                  </w:tcMar>
                  <w:vAlign w:val="center"/>
                </w:tcPr>
                <w:p w14:paraId="5E357D19">
                  <w:pPr>
                    <w:pStyle w:val="40"/>
                    <w:bidi w:val="0"/>
                  </w:pPr>
                  <w:r>
                    <w:t>8.0</w:t>
                  </w:r>
                </w:p>
              </w:tc>
              <w:tc>
                <w:tcPr>
                  <w:tcW w:w="153" w:type="pct"/>
                  <w:tcBorders>
                    <w:tl2br w:val="nil"/>
                    <w:tr2bl w:val="nil"/>
                  </w:tcBorders>
                  <w:shd w:val="clear" w:color="auto" w:fill="auto"/>
                  <w:tcMar>
                    <w:top w:w="0" w:type="dxa"/>
                    <w:left w:w="0" w:type="dxa"/>
                    <w:bottom w:w="0" w:type="dxa"/>
                    <w:right w:w="0" w:type="dxa"/>
                  </w:tcMar>
                  <w:vAlign w:val="center"/>
                </w:tcPr>
                <w:p w14:paraId="1AA1F0BC">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4B657E7F">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12A07593">
                  <w:pPr>
                    <w:pStyle w:val="40"/>
                    <w:bidi w:val="0"/>
                  </w:pPr>
                  <w:r>
                    <w:t>26.0</w:t>
                  </w:r>
                </w:p>
              </w:tc>
              <w:tc>
                <w:tcPr>
                  <w:tcW w:w="157" w:type="pct"/>
                  <w:tcBorders>
                    <w:tl2br w:val="nil"/>
                    <w:tr2bl w:val="nil"/>
                  </w:tcBorders>
                  <w:shd w:val="clear" w:color="auto" w:fill="auto"/>
                  <w:tcMar>
                    <w:top w:w="0" w:type="dxa"/>
                    <w:left w:w="0" w:type="dxa"/>
                    <w:bottom w:w="0" w:type="dxa"/>
                    <w:right w:w="0" w:type="dxa"/>
                  </w:tcMar>
                  <w:vAlign w:val="center"/>
                </w:tcPr>
                <w:p w14:paraId="16888878">
                  <w:pPr>
                    <w:pStyle w:val="40"/>
                    <w:bidi w:val="0"/>
                  </w:pPr>
                  <w:r>
                    <w:t>26.0</w:t>
                  </w:r>
                </w:p>
              </w:tc>
              <w:tc>
                <w:tcPr>
                  <w:tcW w:w="167" w:type="pct"/>
                  <w:tcBorders>
                    <w:tl2br w:val="nil"/>
                    <w:tr2bl w:val="nil"/>
                  </w:tcBorders>
                  <w:shd w:val="clear" w:color="auto" w:fill="auto"/>
                  <w:tcMar>
                    <w:top w:w="0" w:type="dxa"/>
                    <w:left w:w="0" w:type="dxa"/>
                    <w:bottom w:w="0" w:type="dxa"/>
                    <w:right w:w="0" w:type="dxa"/>
                  </w:tcMar>
                  <w:vAlign w:val="center"/>
                </w:tcPr>
                <w:p w14:paraId="6B950271">
                  <w:pPr>
                    <w:pStyle w:val="40"/>
                    <w:bidi w:val="0"/>
                  </w:pPr>
                  <w:r>
                    <w:t>42.7</w:t>
                  </w:r>
                </w:p>
              </w:tc>
              <w:tc>
                <w:tcPr>
                  <w:tcW w:w="158" w:type="pct"/>
                  <w:tcBorders>
                    <w:tl2br w:val="nil"/>
                    <w:tr2bl w:val="nil"/>
                  </w:tcBorders>
                  <w:shd w:val="clear" w:color="auto" w:fill="auto"/>
                  <w:tcMar>
                    <w:top w:w="0" w:type="dxa"/>
                    <w:left w:w="0" w:type="dxa"/>
                    <w:bottom w:w="0" w:type="dxa"/>
                    <w:right w:w="0" w:type="dxa"/>
                  </w:tcMar>
                  <w:vAlign w:val="center"/>
                </w:tcPr>
                <w:p w14:paraId="19D1E553">
                  <w:pPr>
                    <w:pStyle w:val="40"/>
                    <w:bidi w:val="0"/>
                  </w:pPr>
                  <w:r>
                    <w:t>42.7</w:t>
                  </w:r>
                </w:p>
              </w:tc>
              <w:tc>
                <w:tcPr>
                  <w:tcW w:w="153" w:type="pct"/>
                  <w:tcBorders>
                    <w:tl2br w:val="nil"/>
                    <w:tr2bl w:val="nil"/>
                  </w:tcBorders>
                  <w:shd w:val="clear" w:color="auto" w:fill="auto"/>
                  <w:tcMar>
                    <w:top w:w="0" w:type="dxa"/>
                    <w:left w:w="0" w:type="dxa"/>
                    <w:bottom w:w="0" w:type="dxa"/>
                    <w:right w:w="0" w:type="dxa"/>
                  </w:tcMar>
                  <w:vAlign w:val="center"/>
                </w:tcPr>
                <w:p w14:paraId="716E64C3">
                  <w:pPr>
                    <w:pStyle w:val="40"/>
                    <w:bidi w:val="0"/>
                  </w:pPr>
                  <w:r>
                    <w:t>42.8</w:t>
                  </w:r>
                </w:p>
              </w:tc>
              <w:tc>
                <w:tcPr>
                  <w:tcW w:w="155" w:type="pct"/>
                  <w:tcBorders>
                    <w:tl2br w:val="nil"/>
                    <w:tr2bl w:val="nil"/>
                  </w:tcBorders>
                  <w:shd w:val="clear" w:color="auto" w:fill="auto"/>
                  <w:tcMar>
                    <w:top w:w="0" w:type="dxa"/>
                    <w:left w:w="0" w:type="dxa"/>
                    <w:bottom w:w="0" w:type="dxa"/>
                    <w:right w:w="0" w:type="dxa"/>
                  </w:tcMar>
                  <w:vAlign w:val="center"/>
                </w:tcPr>
                <w:p w14:paraId="7F84325F">
                  <w:pPr>
                    <w:pStyle w:val="40"/>
                    <w:bidi w:val="0"/>
                  </w:pPr>
                  <w:r>
                    <w:t>42.7</w:t>
                  </w:r>
                </w:p>
              </w:tc>
              <w:tc>
                <w:tcPr>
                  <w:tcW w:w="231" w:type="pct"/>
                  <w:tcBorders>
                    <w:tl2br w:val="nil"/>
                    <w:tr2bl w:val="nil"/>
                  </w:tcBorders>
                  <w:shd w:val="clear" w:color="auto" w:fill="auto"/>
                  <w:tcMar>
                    <w:top w:w="0" w:type="dxa"/>
                    <w:left w:w="0" w:type="dxa"/>
                    <w:bottom w:w="0" w:type="dxa"/>
                    <w:right w:w="0" w:type="dxa"/>
                  </w:tcMar>
                  <w:vAlign w:val="center"/>
                </w:tcPr>
                <w:p w14:paraId="29FE6DBC">
                  <w:pPr>
                    <w:pStyle w:val="40"/>
                    <w:bidi w:val="0"/>
                  </w:pPr>
                  <w:r>
                    <w:t>1</w:t>
                  </w:r>
                </w:p>
              </w:tc>
            </w:tr>
            <w:tr w14:paraId="4CCD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75" w:type="pct"/>
                  <w:tcBorders>
                    <w:tl2br w:val="nil"/>
                    <w:tr2bl w:val="nil"/>
                  </w:tcBorders>
                  <w:shd w:val="clear" w:color="auto" w:fill="auto"/>
                  <w:tcMar>
                    <w:top w:w="0" w:type="dxa"/>
                    <w:left w:w="0" w:type="dxa"/>
                    <w:bottom w:w="0" w:type="dxa"/>
                    <w:right w:w="0" w:type="dxa"/>
                  </w:tcMar>
                  <w:vAlign w:val="center"/>
                </w:tcPr>
                <w:p w14:paraId="68156DA0">
                  <w:pPr>
                    <w:pStyle w:val="40"/>
                    <w:bidi w:val="0"/>
                  </w:pPr>
                  <w:r>
                    <w:t>5</w:t>
                  </w:r>
                </w:p>
              </w:tc>
              <w:tc>
                <w:tcPr>
                  <w:tcW w:w="199" w:type="pct"/>
                  <w:vMerge w:val="continue"/>
                  <w:tcBorders>
                    <w:tl2br w:val="nil"/>
                    <w:tr2bl w:val="nil"/>
                  </w:tcBorders>
                  <w:shd w:val="clear" w:color="auto" w:fill="auto"/>
                  <w:tcMar>
                    <w:top w:w="0" w:type="dxa"/>
                    <w:left w:w="0" w:type="dxa"/>
                    <w:bottom w:w="0" w:type="dxa"/>
                    <w:right w:w="0" w:type="dxa"/>
                  </w:tcMar>
                  <w:vAlign w:val="center"/>
                </w:tcPr>
                <w:p w14:paraId="124E630E">
                  <w:pPr>
                    <w:pStyle w:val="40"/>
                    <w:bidi w:val="0"/>
                  </w:pPr>
                </w:p>
              </w:tc>
              <w:tc>
                <w:tcPr>
                  <w:tcW w:w="565" w:type="pct"/>
                  <w:tcBorders>
                    <w:tl2br w:val="nil"/>
                    <w:tr2bl w:val="nil"/>
                  </w:tcBorders>
                  <w:shd w:val="clear" w:color="auto" w:fill="auto"/>
                  <w:tcMar>
                    <w:top w:w="0" w:type="dxa"/>
                    <w:left w:w="0" w:type="dxa"/>
                    <w:bottom w:w="0" w:type="dxa"/>
                    <w:right w:w="0" w:type="dxa"/>
                  </w:tcMar>
                  <w:vAlign w:val="center"/>
                </w:tcPr>
                <w:p w14:paraId="5D270A83">
                  <w:pPr>
                    <w:pStyle w:val="40"/>
                    <w:bidi w:val="0"/>
                  </w:pPr>
                  <w:r>
                    <w:t>电焊机,5台（按点声源组预测）</w:t>
                  </w:r>
                </w:p>
              </w:tc>
              <w:tc>
                <w:tcPr>
                  <w:tcW w:w="362" w:type="pct"/>
                  <w:tcBorders>
                    <w:tl2br w:val="nil"/>
                    <w:tr2bl w:val="nil"/>
                  </w:tcBorders>
                  <w:shd w:val="clear" w:color="auto" w:fill="auto"/>
                  <w:tcMar>
                    <w:top w:w="0" w:type="dxa"/>
                    <w:left w:w="0" w:type="dxa"/>
                    <w:bottom w:w="0" w:type="dxa"/>
                    <w:right w:w="0" w:type="dxa"/>
                  </w:tcMar>
                  <w:vAlign w:val="center"/>
                </w:tcPr>
                <w:p w14:paraId="0F109D29">
                  <w:pPr>
                    <w:pStyle w:val="40"/>
                    <w:bidi w:val="0"/>
                  </w:pPr>
                  <w:r>
                    <w:t>75（等效后：82.0)</w:t>
                  </w:r>
                </w:p>
              </w:tc>
              <w:tc>
                <w:tcPr>
                  <w:tcW w:w="204" w:type="pct"/>
                  <w:vMerge w:val="continue"/>
                  <w:tcBorders>
                    <w:tl2br w:val="nil"/>
                    <w:tr2bl w:val="nil"/>
                  </w:tcBorders>
                  <w:shd w:val="clear" w:color="auto" w:fill="auto"/>
                  <w:tcMar>
                    <w:top w:w="0" w:type="dxa"/>
                    <w:left w:w="0" w:type="dxa"/>
                    <w:bottom w:w="0" w:type="dxa"/>
                    <w:right w:w="0" w:type="dxa"/>
                  </w:tcMar>
                  <w:vAlign w:val="center"/>
                </w:tcPr>
                <w:p w14:paraId="5E25B3A5">
                  <w:pPr>
                    <w:pStyle w:val="40"/>
                    <w:bidi w:val="0"/>
                  </w:pPr>
                </w:p>
              </w:tc>
              <w:tc>
                <w:tcPr>
                  <w:tcW w:w="181" w:type="pct"/>
                  <w:tcBorders>
                    <w:tl2br w:val="nil"/>
                    <w:tr2bl w:val="nil"/>
                  </w:tcBorders>
                  <w:shd w:val="clear" w:color="auto" w:fill="auto"/>
                  <w:tcMar>
                    <w:top w:w="0" w:type="dxa"/>
                    <w:left w:w="0" w:type="dxa"/>
                    <w:bottom w:w="0" w:type="dxa"/>
                    <w:right w:w="0" w:type="dxa"/>
                  </w:tcMar>
                  <w:vAlign w:val="center"/>
                </w:tcPr>
                <w:p w14:paraId="04E8E9C8">
                  <w:pPr>
                    <w:pStyle w:val="40"/>
                    <w:bidi w:val="0"/>
                  </w:pPr>
                  <w:r>
                    <w:t>-52.6</w:t>
                  </w:r>
                </w:p>
              </w:tc>
              <w:tc>
                <w:tcPr>
                  <w:tcW w:w="162" w:type="pct"/>
                  <w:tcBorders>
                    <w:tl2br w:val="nil"/>
                    <w:tr2bl w:val="nil"/>
                  </w:tcBorders>
                  <w:shd w:val="clear" w:color="auto" w:fill="auto"/>
                  <w:tcMar>
                    <w:top w:w="0" w:type="dxa"/>
                    <w:left w:w="0" w:type="dxa"/>
                    <w:bottom w:w="0" w:type="dxa"/>
                    <w:right w:w="0" w:type="dxa"/>
                  </w:tcMar>
                  <w:vAlign w:val="center"/>
                </w:tcPr>
                <w:p w14:paraId="54C9AC1C">
                  <w:pPr>
                    <w:pStyle w:val="40"/>
                    <w:bidi w:val="0"/>
                  </w:pPr>
                  <w:r>
                    <w:t>4.3</w:t>
                  </w:r>
                </w:p>
              </w:tc>
              <w:tc>
                <w:tcPr>
                  <w:tcW w:w="143" w:type="pct"/>
                  <w:tcBorders>
                    <w:tl2br w:val="nil"/>
                    <w:tr2bl w:val="nil"/>
                  </w:tcBorders>
                  <w:shd w:val="clear" w:color="auto" w:fill="auto"/>
                  <w:tcMar>
                    <w:top w:w="0" w:type="dxa"/>
                    <w:left w:w="0" w:type="dxa"/>
                    <w:bottom w:w="0" w:type="dxa"/>
                    <w:right w:w="0" w:type="dxa"/>
                  </w:tcMar>
                  <w:vAlign w:val="center"/>
                </w:tcPr>
                <w:p w14:paraId="2D78B4AD">
                  <w:pPr>
                    <w:pStyle w:val="40"/>
                    <w:bidi w:val="0"/>
                  </w:pPr>
                  <w:r>
                    <w:t>1.2</w:t>
                  </w:r>
                </w:p>
              </w:tc>
              <w:tc>
                <w:tcPr>
                  <w:tcW w:w="181" w:type="pct"/>
                  <w:tcBorders>
                    <w:tl2br w:val="nil"/>
                    <w:tr2bl w:val="nil"/>
                  </w:tcBorders>
                  <w:shd w:val="clear" w:color="auto" w:fill="auto"/>
                  <w:tcMar>
                    <w:top w:w="0" w:type="dxa"/>
                    <w:left w:w="0" w:type="dxa"/>
                    <w:bottom w:w="0" w:type="dxa"/>
                    <w:right w:w="0" w:type="dxa"/>
                  </w:tcMar>
                  <w:vAlign w:val="center"/>
                </w:tcPr>
                <w:p w14:paraId="785D2906">
                  <w:pPr>
                    <w:pStyle w:val="40"/>
                    <w:bidi w:val="0"/>
                  </w:pPr>
                  <w:r>
                    <w:t>125.9</w:t>
                  </w:r>
                </w:p>
              </w:tc>
              <w:tc>
                <w:tcPr>
                  <w:tcW w:w="172" w:type="pct"/>
                  <w:tcBorders>
                    <w:tl2br w:val="nil"/>
                    <w:tr2bl w:val="nil"/>
                  </w:tcBorders>
                  <w:shd w:val="clear" w:color="auto" w:fill="auto"/>
                  <w:tcMar>
                    <w:top w:w="0" w:type="dxa"/>
                    <w:left w:w="0" w:type="dxa"/>
                    <w:bottom w:w="0" w:type="dxa"/>
                    <w:right w:w="0" w:type="dxa"/>
                  </w:tcMar>
                  <w:vAlign w:val="center"/>
                </w:tcPr>
                <w:p w14:paraId="5CFBE000">
                  <w:pPr>
                    <w:pStyle w:val="40"/>
                    <w:bidi w:val="0"/>
                  </w:pPr>
                  <w:r>
                    <w:t>21.8</w:t>
                  </w:r>
                </w:p>
              </w:tc>
              <w:tc>
                <w:tcPr>
                  <w:tcW w:w="153" w:type="pct"/>
                  <w:tcBorders>
                    <w:tl2br w:val="nil"/>
                    <w:tr2bl w:val="nil"/>
                  </w:tcBorders>
                  <w:shd w:val="clear" w:color="auto" w:fill="auto"/>
                  <w:tcMar>
                    <w:top w:w="0" w:type="dxa"/>
                    <w:left w:w="0" w:type="dxa"/>
                    <w:bottom w:w="0" w:type="dxa"/>
                    <w:right w:w="0" w:type="dxa"/>
                  </w:tcMar>
                  <w:vAlign w:val="center"/>
                </w:tcPr>
                <w:p w14:paraId="1D1EB252">
                  <w:pPr>
                    <w:pStyle w:val="40"/>
                    <w:bidi w:val="0"/>
                  </w:pPr>
                  <w:r>
                    <w:t>56.7</w:t>
                  </w:r>
                </w:p>
              </w:tc>
              <w:tc>
                <w:tcPr>
                  <w:tcW w:w="172" w:type="pct"/>
                  <w:tcBorders>
                    <w:tl2br w:val="nil"/>
                    <w:tr2bl w:val="nil"/>
                  </w:tcBorders>
                  <w:shd w:val="clear" w:color="auto" w:fill="auto"/>
                  <w:tcMar>
                    <w:top w:w="0" w:type="dxa"/>
                    <w:left w:w="0" w:type="dxa"/>
                    <w:bottom w:w="0" w:type="dxa"/>
                    <w:right w:w="0" w:type="dxa"/>
                  </w:tcMar>
                  <w:vAlign w:val="center"/>
                </w:tcPr>
                <w:p w14:paraId="719E867A">
                  <w:pPr>
                    <w:pStyle w:val="40"/>
                    <w:bidi w:val="0"/>
                  </w:pPr>
                  <w:r>
                    <w:t>20.0</w:t>
                  </w:r>
                </w:p>
              </w:tc>
              <w:tc>
                <w:tcPr>
                  <w:tcW w:w="167" w:type="pct"/>
                  <w:tcBorders>
                    <w:tl2br w:val="nil"/>
                    <w:tr2bl w:val="nil"/>
                  </w:tcBorders>
                  <w:shd w:val="clear" w:color="auto" w:fill="auto"/>
                  <w:tcMar>
                    <w:top w:w="0" w:type="dxa"/>
                    <w:left w:w="0" w:type="dxa"/>
                    <w:bottom w:w="0" w:type="dxa"/>
                    <w:right w:w="0" w:type="dxa"/>
                  </w:tcMar>
                  <w:vAlign w:val="center"/>
                </w:tcPr>
                <w:p w14:paraId="1E03F49B">
                  <w:pPr>
                    <w:pStyle w:val="40"/>
                    <w:bidi w:val="0"/>
                  </w:pPr>
                  <w:r>
                    <w:t>62.7</w:t>
                  </w:r>
                </w:p>
              </w:tc>
              <w:tc>
                <w:tcPr>
                  <w:tcW w:w="172" w:type="pct"/>
                  <w:tcBorders>
                    <w:tl2br w:val="nil"/>
                    <w:tr2bl w:val="nil"/>
                  </w:tcBorders>
                  <w:shd w:val="clear" w:color="auto" w:fill="auto"/>
                  <w:tcMar>
                    <w:top w:w="0" w:type="dxa"/>
                    <w:left w:w="0" w:type="dxa"/>
                    <w:bottom w:w="0" w:type="dxa"/>
                    <w:right w:w="0" w:type="dxa"/>
                  </w:tcMar>
                  <w:vAlign w:val="center"/>
                </w:tcPr>
                <w:p w14:paraId="499CB0E6">
                  <w:pPr>
                    <w:pStyle w:val="40"/>
                    <w:bidi w:val="0"/>
                  </w:pPr>
                  <w:r>
                    <w:t>62.7</w:t>
                  </w:r>
                </w:p>
              </w:tc>
              <w:tc>
                <w:tcPr>
                  <w:tcW w:w="162" w:type="pct"/>
                  <w:tcBorders>
                    <w:tl2br w:val="nil"/>
                    <w:tr2bl w:val="nil"/>
                  </w:tcBorders>
                  <w:shd w:val="clear" w:color="auto" w:fill="auto"/>
                  <w:tcMar>
                    <w:top w:w="0" w:type="dxa"/>
                    <w:left w:w="0" w:type="dxa"/>
                    <w:bottom w:w="0" w:type="dxa"/>
                    <w:right w:w="0" w:type="dxa"/>
                  </w:tcMar>
                  <w:vAlign w:val="center"/>
                </w:tcPr>
                <w:p w14:paraId="42B88FC8">
                  <w:pPr>
                    <w:pStyle w:val="40"/>
                    <w:bidi w:val="0"/>
                  </w:pPr>
                  <w:r>
                    <w:t>62.7</w:t>
                  </w:r>
                </w:p>
              </w:tc>
              <w:tc>
                <w:tcPr>
                  <w:tcW w:w="153" w:type="pct"/>
                  <w:tcBorders>
                    <w:tl2br w:val="nil"/>
                    <w:tr2bl w:val="nil"/>
                  </w:tcBorders>
                  <w:shd w:val="clear" w:color="auto" w:fill="auto"/>
                  <w:tcMar>
                    <w:top w:w="0" w:type="dxa"/>
                    <w:left w:w="0" w:type="dxa"/>
                    <w:bottom w:w="0" w:type="dxa"/>
                    <w:right w:w="0" w:type="dxa"/>
                  </w:tcMar>
                  <w:vAlign w:val="center"/>
                </w:tcPr>
                <w:p w14:paraId="6B1384A9">
                  <w:pPr>
                    <w:pStyle w:val="40"/>
                    <w:bidi w:val="0"/>
                  </w:pPr>
                  <w:r>
                    <w:t>62.7</w:t>
                  </w:r>
                </w:p>
              </w:tc>
              <w:tc>
                <w:tcPr>
                  <w:tcW w:w="167" w:type="pct"/>
                  <w:tcBorders>
                    <w:tl2br w:val="nil"/>
                    <w:tr2bl w:val="nil"/>
                  </w:tcBorders>
                  <w:shd w:val="clear" w:color="auto" w:fill="auto"/>
                  <w:tcMar>
                    <w:top w:w="0" w:type="dxa"/>
                    <w:left w:w="0" w:type="dxa"/>
                    <w:bottom w:w="0" w:type="dxa"/>
                    <w:right w:w="0" w:type="dxa"/>
                  </w:tcMar>
                  <w:vAlign w:val="center"/>
                </w:tcPr>
                <w:p w14:paraId="4973A9DC">
                  <w:pPr>
                    <w:pStyle w:val="40"/>
                    <w:bidi w:val="0"/>
                  </w:pPr>
                  <w:r>
                    <w:t>8.0</w:t>
                  </w:r>
                </w:p>
              </w:tc>
              <w:tc>
                <w:tcPr>
                  <w:tcW w:w="153" w:type="pct"/>
                  <w:tcBorders>
                    <w:tl2br w:val="nil"/>
                    <w:tr2bl w:val="nil"/>
                  </w:tcBorders>
                  <w:shd w:val="clear" w:color="auto" w:fill="auto"/>
                  <w:tcMar>
                    <w:top w:w="0" w:type="dxa"/>
                    <w:left w:w="0" w:type="dxa"/>
                    <w:bottom w:w="0" w:type="dxa"/>
                    <w:right w:w="0" w:type="dxa"/>
                  </w:tcMar>
                  <w:vAlign w:val="center"/>
                </w:tcPr>
                <w:p w14:paraId="616228A5">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082DE790">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3C7A232D">
                  <w:pPr>
                    <w:pStyle w:val="40"/>
                    <w:bidi w:val="0"/>
                  </w:pPr>
                  <w:r>
                    <w:t>26.0</w:t>
                  </w:r>
                </w:p>
              </w:tc>
              <w:tc>
                <w:tcPr>
                  <w:tcW w:w="157" w:type="pct"/>
                  <w:tcBorders>
                    <w:tl2br w:val="nil"/>
                    <w:tr2bl w:val="nil"/>
                  </w:tcBorders>
                  <w:shd w:val="clear" w:color="auto" w:fill="auto"/>
                  <w:tcMar>
                    <w:top w:w="0" w:type="dxa"/>
                    <w:left w:w="0" w:type="dxa"/>
                    <w:bottom w:w="0" w:type="dxa"/>
                    <w:right w:w="0" w:type="dxa"/>
                  </w:tcMar>
                  <w:vAlign w:val="center"/>
                </w:tcPr>
                <w:p w14:paraId="60F96F14">
                  <w:pPr>
                    <w:pStyle w:val="40"/>
                    <w:bidi w:val="0"/>
                  </w:pPr>
                  <w:r>
                    <w:t>26.0</w:t>
                  </w:r>
                </w:p>
              </w:tc>
              <w:tc>
                <w:tcPr>
                  <w:tcW w:w="167" w:type="pct"/>
                  <w:tcBorders>
                    <w:tl2br w:val="nil"/>
                    <w:tr2bl w:val="nil"/>
                  </w:tcBorders>
                  <w:shd w:val="clear" w:color="auto" w:fill="auto"/>
                  <w:tcMar>
                    <w:top w:w="0" w:type="dxa"/>
                    <w:left w:w="0" w:type="dxa"/>
                    <w:bottom w:w="0" w:type="dxa"/>
                    <w:right w:w="0" w:type="dxa"/>
                  </w:tcMar>
                  <w:vAlign w:val="center"/>
                </w:tcPr>
                <w:p w14:paraId="012FC446">
                  <w:pPr>
                    <w:pStyle w:val="40"/>
                    <w:bidi w:val="0"/>
                  </w:pPr>
                  <w:r>
                    <w:t>36.7</w:t>
                  </w:r>
                </w:p>
              </w:tc>
              <w:tc>
                <w:tcPr>
                  <w:tcW w:w="158" w:type="pct"/>
                  <w:tcBorders>
                    <w:tl2br w:val="nil"/>
                    <w:tr2bl w:val="nil"/>
                  </w:tcBorders>
                  <w:shd w:val="clear" w:color="auto" w:fill="auto"/>
                  <w:tcMar>
                    <w:top w:w="0" w:type="dxa"/>
                    <w:left w:w="0" w:type="dxa"/>
                    <w:bottom w:w="0" w:type="dxa"/>
                    <w:right w:w="0" w:type="dxa"/>
                  </w:tcMar>
                  <w:vAlign w:val="center"/>
                </w:tcPr>
                <w:p w14:paraId="63FBC32C">
                  <w:pPr>
                    <w:pStyle w:val="40"/>
                    <w:bidi w:val="0"/>
                  </w:pPr>
                  <w:r>
                    <w:t>36.7</w:t>
                  </w:r>
                </w:p>
              </w:tc>
              <w:tc>
                <w:tcPr>
                  <w:tcW w:w="153" w:type="pct"/>
                  <w:tcBorders>
                    <w:tl2br w:val="nil"/>
                    <w:tr2bl w:val="nil"/>
                  </w:tcBorders>
                  <w:shd w:val="clear" w:color="auto" w:fill="auto"/>
                  <w:tcMar>
                    <w:top w:w="0" w:type="dxa"/>
                    <w:left w:w="0" w:type="dxa"/>
                    <w:bottom w:w="0" w:type="dxa"/>
                    <w:right w:w="0" w:type="dxa"/>
                  </w:tcMar>
                  <w:vAlign w:val="center"/>
                </w:tcPr>
                <w:p w14:paraId="794C85C7">
                  <w:pPr>
                    <w:pStyle w:val="40"/>
                    <w:bidi w:val="0"/>
                  </w:pPr>
                  <w:r>
                    <w:t>36.7</w:t>
                  </w:r>
                </w:p>
              </w:tc>
              <w:tc>
                <w:tcPr>
                  <w:tcW w:w="155" w:type="pct"/>
                  <w:tcBorders>
                    <w:tl2br w:val="nil"/>
                    <w:tr2bl w:val="nil"/>
                  </w:tcBorders>
                  <w:shd w:val="clear" w:color="auto" w:fill="auto"/>
                  <w:tcMar>
                    <w:top w:w="0" w:type="dxa"/>
                    <w:left w:w="0" w:type="dxa"/>
                    <w:bottom w:w="0" w:type="dxa"/>
                    <w:right w:w="0" w:type="dxa"/>
                  </w:tcMar>
                  <w:vAlign w:val="center"/>
                </w:tcPr>
                <w:p w14:paraId="793693E4">
                  <w:pPr>
                    <w:pStyle w:val="40"/>
                    <w:bidi w:val="0"/>
                  </w:pPr>
                  <w:r>
                    <w:t>36.7</w:t>
                  </w:r>
                </w:p>
              </w:tc>
              <w:tc>
                <w:tcPr>
                  <w:tcW w:w="231" w:type="pct"/>
                  <w:tcBorders>
                    <w:tl2br w:val="nil"/>
                    <w:tr2bl w:val="nil"/>
                  </w:tcBorders>
                  <w:shd w:val="clear" w:color="auto" w:fill="auto"/>
                  <w:tcMar>
                    <w:top w:w="0" w:type="dxa"/>
                    <w:left w:w="0" w:type="dxa"/>
                    <w:bottom w:w="0" w:type="dxa"/>
                    <w:right w:w="0" w:type="dxa"/>
                  </w:tcMar>
                  <w:vAlign w:val="center"/>
                </w:tcPr>
                <w:p w14:paraId="39295DAD">
                  <w:pPr>
                    <w:pStyle w:val="40"/>
                    <w:bidi w:val="0"/>
                  </w:pPr>
                  <w:r>
                    <w:t>1</w:t>
                  </w:r>
                </w:p>
              </w:tc>
            </w:tr>
            <w:tr w14:paraId="722A9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75" w:type="pct"/>
                  <w:tcBorders>
                    <w:tl2br w:val="nil"/>
                    <w:tr2bl w:val="nil"/>
                  </w:tcBorders>
                  <w:shd w:val="clear" w:color="auto" w:fill="auto"/>
                  <w:tcMar>
                    <w:top w:w="0" w:type="dxa"/>
                    <w:left w:w="0" w:type="dxa"/>
                    <w:bottom w:w="0" w:type="dxa"/>
                    <w:right w:w="0" w:type="dxa"/>
                  </w:tcMar>
                  <w:vAlign w:val="center"/>
                </w:tcPr>
                <w:p w14:paraId="7EC78CD0">
                  <w:pPr>
                    <w:pStyle w:val="40"/>
                    <w:bidi w:val="0"/>
                  </w:pPr>
                  <w:r>
                    <w:t>6</w:t>
                  </w:r>
                </w:p>
              </w:tc>
              <w:tc>
                <w:tcPr>
                  <w:tcW w:w="199" w:type="pct"/>
                  <w:vMerge w:val="continue"/>
                  <w:tcBorders>
                    <w:tl2br w:val="nil"/>
                    <w:tr2bl w:val="nil"/>
                  </w:tcBorders>
                  <w:shd w:val="clear" w:color="auto" w:fill="auto"/>
                  <w:tcMar>
                    <w:top w:w="0" w:type="dxa"/>
                    <w:left w:w="0" w:type="dxa"/>
                    <w:bottom w:w="0" w:type="dxa"/>
                    <w:right w:w="0" w:type="dxa"/>
                  </w:tcMar>
                  <w:vAlign w:val="center"/>
                </w:tcPr>
                <w:p w14:paraId="07C1EB1E">
                  <w:pPr>
                    <w:pStyle w:val="40"/>
                    <w:bidi w:val="0"/>
                  </w:pPr>
                </w:p>
              </w:tc>
              <w:tc>
                <w:tcPr>
                  <w:tcW w:w="565" w:type="pct"/>
                  <w:tcBorders>
                    <w:tl2br w:val="nil"/>
                    <w:tr2bl w:val="nil"/>
                  </w:tcBorders>
                  <w:shd w:val="clear" w:color="auto" w:fill="auto"/>
                  <w:tcMar>
                    <w:top w:w="0" w:type="dxa"/>
                    <w:left w:w="0" w:type="dxa"/>
                    <w:bottom w:w="0" w:type="dxa"/>
                    <w:right w:w="0" w:type="dxa"/>
                  </w:tcMar>
                  <w:vAlign w:val="center"/>
                </w:tcPr>
                <w:p w14:paraId="0DC100C1">
                  <w:pPr>
                    <w:pStyle w:val="40"/>
                    <w:bidi w:val="0"/>
                  </w:pPr>
                  <w:r>
                    <w:t>弯折机,2台（按点声源组预测）</w:t>
                  </w:r>
                </w:p>
              </w:tc>
              <w:tc>
                <w:tcPr>
                  <w:tcW w:w="362" w:type="pct"/>
                  <w:tcBorders>
                    <w:tl2br w:val="nil"/>
                    <w:tr2bl w:val="nil"/>
                  </w:tcBorders>
                  <w:shd w:val="clear" w:color="auto" w:fill="auto"/>
                  <w:tcMar>
                    <w:top w:w="0" w:type="dxa"/>
                    <w:left w:w="0" w:type="dxa"/>
                    <w:bottom w:w="0" w:type="dxa"/>
                    <w:right w:w="0" w:type="dxa"/>
                  </w:tcMar>
                  <w:vAlign w:val="center"/>
                </w:tcPr>
                <w:p w14:paraId="1C25C00D">
                  <w:pPr>
                    <w:pStyle w:val="40"/>
                    <w:bidi w:val="0"/>
                  </w:pPr>
                  <w:r>
                    <w:t>70（等效后：73.0)</w:t>
                  </w:r>
                </w:p>
              </w:tc>
              <w:tc>
                <w:tcPr>
                  <w:tcW w:w="204" w:type="pct"/>
                  <w:vMerge w:val="continue"/>
                  <w:tcBorders>
                    <w:tl2br w:val="nil"/>
                    <w:tr2bl w:val="nil"/>
                  </w:tcBorders>
                  <w:shd w:val="clear" w:color="auto" w:fill="auto"/>
                  <w:tcMar>
                    <w:top w:w="0" w:type="dxa"/>
                    <w:left w:w="0" w:type="dxa"/>
                    <w:bottom w:w="0" w:type="dxa"/>
                    <w:right w:w="0" w:type="dxa"/>
                  </w:tcMar>
                  <w:vAlign w:val="center"/>
                </w:tcPr>
                <w:p w14:paraId="7B90441F">
                  <w:pPr>
                    <w:pStyle w:val="40"/>
                    <w:bidi w:val="0"/>
                  </w:pPr>
                </w:p>
              </w:tc>
              <w:tc>
                <w:tcPr>
                  <w:tcW w:w="181" w:type="pct"/>
                  <w:tcBorders>
                    <w:tl2br w:val="nil"/>
                    <w:tr2bl w:val="nil"/>
                  </w:tcBorders>
                  <w:shd w:val="clear" w:color="auto" w:fill="auto"/>
                  <w:tcMar>
                    <w:top w:w="0" w:type="dxa"/>
                    <w:left w:w="0" w:type="dxa"/>
                    <w:bottom w:w="0" w:type="dxa"/>
                    <w:right w:w="0" w:type="dxa"/>
                  </w:tcMar>
                  <w:vAlign w:val="center"/>
                </w:tcPr>
                <w:p w14:paraId="2C54FEFF">
                  <w:pPr>
                    <w:pStyle w:val="40"/>
                    <w:bidi w:val="0"/>
                  </w:pPr>
                  <w:r>
                    <w:t>34.1</w:t>
                  </w:r>
                </w:p>
              </w:tc>
              <w:tc>
                <w:tcPr>
                  <w:tcW w:w="162" w:type="pct"/>
                  <w:tcBorders>
                    <w:tl2br w:val="nil"/>
                    <w:tr2bl w:val="nil"/>
                  </w:tcBorders>
                  <w:shd w:val="clear" w:color="auto" w:fill="auto"/>
                  <w:tcMar>
                    <w:top w:w="0" w:type="dxa"/>
                    <w:left w:w="0" w:type="dxa"/>
                    <w:bottom w:w="0" w:type="dxa"/>
                    <w:right w:w="0" w:type="dxa"/>
                  </w:tcMar>
                  <w:vAlign w:val="center"/>
                </w:tcPr>
                <w:p w14:paraId="34B72493">
                  <w:pPr>
                    <w:pStyle w:val="40"/>
                    <w:bidi w:val="0"/>
                  </w:pPr>
                  <w:r>
                    <w:t>-4.1</w:t>
                  </w:r>
                </w:p>
              </w:tc>
              <w:tc>
                <w:tcPr>
                  <w:tcW w:w="143" w:type="pct"/>
                  <w:tcBorders>
                    <w:tl2br w:val="nil"/>
                    <w:tr2bl w:val="nil"/>
                  </w:tcBorders>
                  <w:shd w:val="clear" w:color="auto" w:fill="auto"/>
                  <w:tcMar>
                    <w:top w:w="0" w:type="dxa"/>
                    <w:left w:w="0" w:type="dxa"/>
                    <w:bottom w:w="0" w:type="dxa"/>
                    <w:right w:w="0" w:type="dxa"/>
                  </w:tcMar>
                  <w:vAlign w:val="center"/>
                </w:tcPr>
                <w:p w14:paraId="7F53B534">
                  <w:pPr>
                    <w:pStyle w:val="40"/>
                    <w:bidi w:val="0"/>
                  </w:pPr>
                  <w:r>
                    <w:t>1.2</w:t>
                  </w:r>
                </w:p>
              </w:tc>
              <w:tc>
                <w:tcPr>
                  <w:tcW w:w="181" w:type="pct"/>
                  <w:tcBorders>
                    <w:tl2br w:val="nil"/>
                    <w:tr2bl w:val="nil"/>
                  </w:tcBorders>
                  <w:shd w:val="clear" w:color="auto" w:fill="auto"/>
                  <w:tcMar>
                    <w:top w:w="0" w:type="dxa"/>
                    <w:left w:w="0" w:type="dxa"/>
                    <w:bottom w:w="0" w:type="dxa"/>
                    <w:right w:w="0" w:type="dxa"/>
                  </w:tcMar>
                  <w:vAlign w:val="center"/>
                </w:tcPr>
                <w:p w14:paraId="3BB16648">
                  <w:pPr>
                    <w:pStyle w:val="40"/>
                    <w:bidi w:val="0"/>
                  </w:pPr>
                  <w:r>
                    <w:t>38.8</w:t>
                  </w:r>
                </w:p>
              </w:tc>
              <w:tc>
                <w:tcPr>
                  <w:tcW w:w="172" w:type="pct"/>
                  <w:tcBorders>
                    <w:tl2br w:val="nil"/>
                    <w:tr2bl w:val="nil"/>
                  </w:tcBorders>
                  <w:shd w:val="clear" w:color="auto" w:fill="auto"/>
                  <w:tcMar>
                    <w:top w:w="0" w:type="dxa"/>
                    <w:left w:w="0" w:type="dxa"/>
                    <w:bottom w:w="0" w:type="dxa"/>
                    <w:right w:w="0" w:type="dxa"/>
                  </w:tcMar>
                  <w:vAlign w:val="center"/>
                </w:tcPr>
                <w:p w14:paraId="3C16C103">
                  <w:pPr>
                    <w:pStyle w:val="40"/>
                    <w:bidi w:val="0"/>
                  </w:pPr>
                  <w:r>
                    <w:t>22.9</w:t>
                  </w:r>
                </w:p>
              </w:tc>
              <w:tc>
                <w:tcPr>
                  <w:tcW w:w="153" w:type="pct"/>
                  <w:tcBorders>
                    <w:tl2br w:val="nil"/>
                    <w:tr2bl w:val="nil"/>
                  </w:tcBorders>
                  <w:shd w:val="clear" w:color="auto" w:fill="auto"/>
                  <w:tcMar>
                    <w:top w:w="0" w:type="dxa"/>
                    <w:left w:w="0" w:type="dxa"/>
                    <w:bottom w:w="0" w:type="dxa"/>
                    <w:right w:w="0" w:type="dxa"/>
                  </w:tcMar>
                  <w:vAlign w:val="center"/>
                </w:tcPr>
                <w:p w14:paraId="1137D8E1">
                  <w:pPr>
                    <w:pStyle w:val="40"/>
                    <w:bidi w:val="0"/>
                  </w:pPr>
                  <w:r>
                    <w:t>143.8</w:t>
                  </w:r>
                </w:p>
              </w:tc>
              <w:tc>
                <w:tcPr>
                  <w:tcW w:w="172" w:type="pct"/>
                  <w:tcBorders>
                    <w:tl2br w:val="nil"/>
                    <w:tr2bl w:val="nil"/>
                  </w:tcBorders>
                  <w:shd w:val="clear" w:color="auto" w:fill="auto"/>
                  <w:tcMar>
                    <w:top w:w="0" w:type="dxa"/>
                    <w:left w:w="0" w:type="dxa"/>
                    <w:bottom w:w="0" w:type="dxa"/>
                    <w:right w:w="0" w:type="dxa"/>
                  </w:tcMar>
                  <w:vAlign w:val="center"/>
                </w:tcPr>
                <w:p w14:paraId="468ABF74">
                  <w:pPr>
                    <w:pStyle w:val="40"/>
                    <w:bidi w:val="0"/>
                  </w:pPr>
                  <w:r>
                    <w:t>18.9</w:t>
                  </w:r>
                </w:p>
              </w:tc>
              <w:tc>
                <w:tcPr>
                  <w:tcW w:w="167" w:type="pct"/>
                  <w:tcBorders>
                    <w:tl2br w:val="nil"/>
                    <w:tr2bl w:val="nil"/>
                  </w:tcBorders>
                  <w:shd w:val="clear" w:color="auto" w:fill="auto"/>
                  <w:tcMar>
                    <w:top w:w="0" w:type="dxa"/>
                    <w:left w:w="0" w:type="dxa"/>
                    <w:bottom w:w="0" w:type="dxa"/>
                    <w:right w:w="0" w:type="dxa"/>
                  </w:tcMar>
                  <w:vAlign w:val="center"/>
                </w:tcPr>
                <w:p w14:paraId="0D95EF4A">
                  <w:pPr>
                    <w:pStyle w:val="40"/>
                    <w:bidi w:val="0"/>
                  </w:pPr>
                  <w:r>
                    <w:t>53.7</w:t>
                  </w:r>
                </w:p>
              </w:tc>
              <w:tc>
                <w:tcPr>
                  <w:tcW w:w="172" w:type="pct"/>
                  <w:tcBorders>
                    <w:tl2br w:val="nil"/>
                    <w:tr2bl w:val="nil"/>
                  </w:tcBorders>
                  <w:shd w:val="clear" w:color="auto" w:fill="auto"/>
                  <w:tcMar>
                    <w:top w:w="0" w:type="dxa"/>
                    <w:left w:w="0" w:type="dxa"/>
                    <w:bottom w:w="0" w:type="dxa"/>
                    <w:right w:w="0" w:type="dxa"/>
                  </w:tcMar>
                  <w:vAlign w:val="center"/>
                </w:tcPr>
                <w:p w14:paraId="76687854">
                  <w:pPr>
                    <w:pStyle w:val="40"/>
                    <w:bidi w:val="0"/>
                  </w:pPr>
                  <w:r>
                    <w:t>53.7</w:t>
                  </w:r>
                </w:p>
              </w:tc>
              <w:tc>
                <w:tcPr>
                  <w:tcW w:w="162" w:type="pct"/>
                  <w:tcBorders>
                    <w:tl2br w:val="nil"/>
                    <w:tr2bl w:val="nil"/>
                  </w:tcBorders>
                  <w:shd w:val="clear" w:color="auto" w:fill="auto"/>
                  <w:tcMar>
                    <w:top w:w="0" w:type="dxa"/>
                    <w:left w:w="0" w:type="dxa"/>
                    <w:bottom w:w="0" w:type="dxa"/>
                    <w:right w:w="0" w:type="dxa"/>
                  </w:tcMar>
                  <w:vAlign w:val="center"/>
                </w:tcPr>
                <w:p w14:paraId="06068CD1">
                  <w:pPr>
                    <w:pStyle w:val="40"/>
                    <w:bidi w:val="0"/>
                  </w:pPr>
                  <w:r>
                    <w:t>53.7</w:t>
                  </w:r>
                </w:p>
              </w:tc>
              <w:tc>
                <w:tcPr>
                  <w:tcW w:w="153" w:type="pct"/>
                  <w:tcBorders>
                    <w:tl2br w:val="nil"/>
                    <w:tr2bl w:val="nil"/>
                  </w:tcBorders>
                  <w:shd w:val="clear" w:color="auto" w:fill="auto"/>
                  <w:tcMar>
                    <w:top w:w="0" w:type="dxa"/>
                    <w:left w:w="0" w:type="dxa"/>
                    <w:bottom w:w="0" w:type="dxa"/>
                    <w:right w:w="0" w:type="dxa"/>
                  </w:tcMar>
                  <w:vAlign w:val="center"/>
                </w:tcPr>
                <w:p w14:paraId="670F4E32">
                  <w:pPr>
                    <w:pStyle w:val="40"/>
                    <w:bidi w:val="0"/>
                  </w:pPr>
                  <w:r>
                    <w:t>53.7</w:t>
                  </w:r>
                </w:p>
              </w:tc>
              <w:tc>
                <w:tcPr>
                  <w:tcW w:w="167" w:type="pct"/>
                  <w:tcBorders>
                    <w:tl2br w:val="nil"/>
                    <w:tr2bl w:val="nil"/>
                  </w:tcBorders>
                  <w:shd w:val="clear" w:color="auto" w:fill="auto"/>
                  <w:tcMar>
                    <w:top w:w="0" w:type="dxa"/>
                    <w:left w:w="0" w:type="dxa"/>
                    <w:bottom w:w="0" w:type="dxa"/>
                    <w:right w:w="0" w:type="dxa"/>
                  </w:tcMar>
                  <w:vAlign w:val="center"/>
                </w:tcPr>
                <w:p w14:paraId="652A2D43">
                  <w:pPr>
                    <w:pStyle w:val="40"/>
                    <w:bidi w:val="0"/>
                  </w:pPr>
                  <w:r>
                    <w:t>8.0</w:t>
                  </w:r>
                </w:p>
              </w:tc>
              <w:tc>
                <w:tcPr>
                  <w:tcW w:w="153" w:type="pct"/>
                  <w:tcBorders>
                    <w:tl2br w:val="nil"/>
                    <w:tr2bl w:val="nil"/>
                  </w:tcBorders>
                  <w:shd w:val="clear" w:color="auto" w:fill="auto"/>
                  <w:tcMar>
                    <w:top w:w="0" w:type="dxa"/>
                    <w:left w:w="0" w:type="dxa"/>
                    <w:bottom w:w="0" w:type="dxa"/>
                    <w:right w:w="0" w:type="dxa"/>
                  </w:tcMar>
                  <w:vAlign w:val="center"/>
                </w:tcPr>
                <w:p w14:paraId="2E8FD85C">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5A61B06C">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575B0AEC">
                  <w:pPr>
                    <w:pStyle w:val="40"/>
                    <w:bidi w:val="0"/>
                  </w:pPr>
                  <w:r>
                    <w:t>26.0</w:t>
                  </w:r>
                </w:p>
              </w:tc>
              <w:tc>
                <w:tcPr>
                  <w:tcW w:w="157" w:type="pct"/>
                  <w:tcBorders>
                    <w:tl2br w:val="nil"/>
                    <w:tr2bl w:val="nil"/>
                  </w:tcBorders>
                  <w:shd w:val="clear" w:color="auto" w:fill="auto"/>
                  <w:tcMar>
                    <w:top w:w="0" w:type="dxa"/>
                    <w:left w:w="0" w:type="dxa"/>
                    <w:bottom w:w="0" w:type="dxa"/>
                    <w:right w:w="0" w:type="dxa"/>
                  </w:tcMar>
                  <w:vAlign w:val="center"/>
                </w:tcPr>
                <w:p w14:paraId="75CCBDDE">
                  <w:pPr>
                    <w:pStyle w:val="40"/>
                    <w:bidi w:val="0"/>
                  </w:pPr>
                  <w:r>
                    <w:t>26.0</w:t>
                  </w:r>
                </w:p>
              </w:tc>
              <w:tc>
                <w:tcPr>
                  <w:tcW w:w="167" w:type="pct"/>
                  <w:tcBorders>
                    <w:tl2br w:val="nil"/>
                    <w:tr2bl w:val="nil"/>
                  </w:tcBorders>
                  <w:shd w:val="clear" w:color="auto" w:fill="auto"/>
                  <w:tcMar>
                    <w:top w:w="0" w:type="dxa"/>
                    <w:left w:w="0" w:type="dxa"/>
                    <w:bottom w:w="0" w:type="dxa"/>
                    <w:right w:w="0" w:type="dxa"/>
                  </w:tcMar>
                  <w:vAlign w:val="center"/>
                </w:tcPr>
                <w:p w14:paraId="433F0CD6">
                  <w:pPr>
                    <w:pStyle w:val="40"/>
                    <w:bidi w:val="0"/>
                  </w:pPr>
                  <w:r>
                    <w:t>27.7</w:t>
                  </w:r>
                </w:p>
              </w:tc>
              <w:tc>
                <w:tcPr>
                  <w:tcW w:w="158" w:type="pct"/>
                  <w:tcBorders>
                    <w:tl2br w:val="nil"/>
                    <w:tr2bl w:val="nil"/>
                  </w:tcBorders>
                  <w:shd w:val="clear" w:color="auto" w:fill="auto"/>
                  <w:tcMar>
                    <w:top w:w="0" w:type="dxa"/>
                    <w:left w:w="0" w:type="dxa"/>
                    <w:bottom w:w="0" w:type="dxa"/>
                    <w:right w:w="0" w:type="dxa"/>
                  </w:tcMar>
                  <w:vAlign w:val="center"/>
                </w:tcPr>
                <w:p w14:paraId="1FB4DA38">
                  <w:pPr>
                    <w:pStyle w:val="40"/>
                    <w:bidi w:val="0"/>
                  </w:pPr>
                  <w:r>
                    <w:t>27.7</w:t>
                  </w:r>
                </w:p>
              </w:tc>
              <w:tc>
                <w:tcPr>
                  <w:tcW w:w="153" w:type="pct"/>
                  <w:tcBorders>
                    <w:tl2br w:val="nil"/>
                    <w:tr2bl w:val="nil"/>
                  </w:tcBorders>
                  <w:shd w:val="clear" w:color="auto" w:fill="auto"/>
                  <w:tcMar>
                    <w:top w:w="0" w:type="dxa"/>
                    <w:left w:w="0" w:type="dxa"/>
                    <w:bottom w:w="0" w:type="dxa"/>
                    <w:right w:w="0" w:type="dxa"/>
                  </w:tcMar>
                  <w:vAlign w:val="center"/>
                </w:tcPr>
                <w:p w14:paraId="6E49B74F">
                  <w:pPr>
                    <w:pStyle w:val="40"/>
                    <w:bidi w:val="0"/>
                  </w:pPr>
                  <w:r>
                    <w:t>27.7</w:t>
                  </w:r>
                </w:p>
              </w:tc>
              <w:tc>
                <w:tcPr>
                  <w:tcW w:w="155" w:type="pct"/>
                  <w:tcBorders>
                    <w:tl2br w:val="nil"/>
                    <w:tr2bl w:val="nil"/>
                  </w:tcBorders>
                  <w:shd w:val="clear" w:color="auto" w:fill="auto"/>
                  <w:tcMar>
                    <w:top w:w="0" w:type="dxa"/>
                    <w:left w:w="0" w:type="dxa"/>
                    <w:bottom w:w="0" w:type="dxa"/>
                    <w:right w:w="0" w:type="dxa"/>
                  </w:tcMar>
                  <w:vAlign w:val="center"/>
                </w:tcPr>
                <w:p w14:paraId="16AFA2C5">
                  <w:pPr>
                    <w:pStyle w:val="40"/>
                    <w:bidi w:val="0"/>
                  </w:pPr>
                  <w:r>
                    <w:t>27.7</w:t>
                  </w:r>
                </w:p>
              </w:tc>
              <w:tc>
                <w:tcPr>
                  <w:tcW w:w="231" w:type="pct"/>
                  <w:tcBorders>
                    <w:tl2br w:val="nil"/>
                    <w:tr2bl w:val="nil"/>
                  </w:tcBorders>
                  <w:shd w:val="clear" w:color="auto" w:fill="auto"/>
                  <w:tcMar>
                    <w:top w:w="0" w:type="dxa"/>
                    <w:left w:w="0" w:type="dxa"/>
                    <w:bottom w:w="0" w:type="dxa"/>
                    <w:right w:w="0" w:type="dxa"/>
                  </w:tcMar>
                  <w:vAlign w:val="center"/>
                </w:tcPr>
                <w:p w14:paraId="4C62AAF8">
                  <w:pPr>
                    <w:pStyle w:val="40"/>
                    <w:bidi w:val="0"/>
                  </w:pPr>
                  <w:r>
                    <w:t>1</w:t>
                  </w:r>
                </w:p>
              </w:tc>
            </w:tr>
            <w:tr w14:paraId="7248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75" w:type="pct"/>
                  <w:tcBorders>
                    <w:tl2br w:val="nil"/>
                    <w:tr2bl w:val="nil"/>
                  </w:tcBorders>
                  <w:shd w:val="clear" w:color="auto" w:fill="auto"/>
                  <w:tcMar>
                    <w:top w:w="0" w:type="dxa"/>
                    <w:left w:w="0" w:type="dxa"/>
                    <w:bottom w:w="0" w:type="dxa"/>
                    <w:right w:w="0" w:type="dxa"/>
                  </w:tcMar>
                  <w:vAlign w:val="center"/>
                </w:tcPr>
                <w:p w14:paraId="62C4DB74">
                  <w:pPr>
                    <w:pStyle w:val="40"/>
                    <w:bidi w:val="0"/>
                  </w:pPr>
                  <w:r>
                    <w:t>7</w:t>
                  </w:r>
                </w:p>
              </w:tc>
              <w:tc>
                <w:tcPr>
                  <w:tcW w:w="199" w:type="pct"/>
                  <w:vMerge w:val="continue"/>
                  <w:tcBorders>
                    <w:tl2br w:val="nil"/>
                    <w:tr2bl w:val="nil"/>
                  </w:tcBorders>
                  <w:shd w:val="clear" w:color="auto" w:fill="auto"/>
                  <w:tcMar>
                    <w:top w:w="0" w:type="dxa"/>
                    <w:left w:w="0" w:type="dxa"/>
                    <w:bottom w:w="0" w:type="dxa"/>
                    <w:right w:w="0" w:type="dxa"/>
                  </w:tcMar>
                  <w:vAlign w:val="center"/>
                </w:tcPr>
                <w:p w14:paraId="3F45B8A3">
                  <w:pPr>
                    <w:pStyle w:val="40"/>
                    <w:bidi w:val="0"/>
                  </w:pPr>
                </w:p>
              </w:tc>
              <w:tc>
                <w:tcPr>
                  <w:tcW w:w="565" w:type="pct"/>
                  <w:tcBorders>
                    <w:tl2br w:val="nil"/>
                    <w:tr2bl w:val="nil"/>
                  </w:tcBorders>
                  <w:shd w:val="clear" w:color="auto" w:fill="auto"/>
                  <w:tcMar>
                    <w:top w:w="0" w:type="dxa"/>
                    <w:left w:w="0" w:type="dxa"/>
                    <w:bottom w:w="0" w:type="dxa"/>
                    <w:right w:w="0" w:type="dxa"/>
                  </w:tcMar>
                  <w:vAlign w:val="center"/>
                </w:tcPr>
                <w:p w14:paraId="33DE8E93">
                  <w:pPr>
                    <w:pStyle w:val="40"/>
                    <w:bidi w:val="0"/>
                  </w:pPr>
                  <w:r>
                    <w:t>航吊,3台（按点声源组预测）</w:t>
                  </w:r>
                </w:p>
              </w:tc>
              <w:tc>
                <w:tcPr>
                  <w:tcW w:w="362" w:type="pct"/>
                  <w:tcBorders>
                    <w:tl2br w:val="nil"/>
                    <w:tr2bl w:val="nil"/>
                  </w:tcBorders>
                  <w:shd w:val="clear" w:color="auto" w:fill="auto"/>
                  <w:tcMar>
                    <w:top w:w="0" w:type="dxa"/>
                    <w:left w:w="0" w:type="dxa"/>
                    <w:bottom w:w="0" w:type="dxa"/>
                    <w:right w:w="0" w:type="dxa"/>
                  </w:tcMar>
                  <w:vAlign w:val="center"/>
                </w:tcPr>
                <w:p w14:paraId="55B6C5C7">
                  <w:pPr>
                    <w:pStyle w:val="40"/>
                    <w:bidi w:val="0"/>
                  </w:pPr>
                  <w:r>
                    <w:t>65（等效后：69.8)</w:t>
                  </w:r>
                </w:p>
              </w:tc>
              <w:tc>
                <w:tcPr>
                  <w:tcW w:w="204" w:type="pct"/>
                  <w:vMerge w:val="continue"/>
                  <w:tcBorders>
                    <w:tl2br w:val="nil"/>
                    <w:tr2bl w:val="nil"/>
                  </w:tcBorders>
                  <w:shd w:val="clear" w:color="auto" w:fill="auto"/>
                  <w:tcMar>
                    <w:top w:w="0" w:type="dxa"/>
                    <w:left w:w="0" w:type="dxa"/>
                    <w:bottom w:w="0" w:type="dxa"/>
                    <w:right w:w="0" w:type="dxa"/>
                  </w:tcMar>
                  <w:vAlign w:val="center"/>
                </w:tcPr>
                <w:p w14:paraId="049BCC23">
                  <w:pPr>
                    <w:pStyle w:val="40"/>
                    <w:bidi w:val="0"/>
                  </w:pPr>
                </w:p>
              </w:tc>
              <w:tc>
                <w:tcPr>
                  <w:tcW w:w="181" w:type="pct"/>
                  <w:tcBorders>
                    <w:tl2br w:val="nil"/>
                    <w:tr2bl w:val="nil"/>
                  </w:tcBorders>
                  <w:shd w:val="clear" w:color="auto" w:fill="auto"/>
                  <w:tcMar>
                    <w:top w:w="0" w:type="dxa"/>
                    <w:left w:w="0" w:type="dxa"/>
                    <w:bottom w:w="0" w:type="dxa"/>
                    <w:right w:w="0" w:type="dxa"/>
                  </w:tcMar>
                  <w:vAlign w:val="center"/>
                </w:tcPr>
                <w:p w14:paraId="753212CF">
                  <w:pPr>
                    <w:pStyle w:val="40"/>
                    <w:bidi w:val="0"/>
                  </w:pPr>
                  <w:r>
                    <w:t>-13.2</w:t>
                  </w:r>
                </w:p>
              </w:tc>
              <w:tc>
                <w:tcPr>
                  <w:tcW w:w="162" w:type="pct"/>
                  <w:tcBorders>
                    <w:tl2br w:val="nil"/>
                    <w:tr2bl w:val="nil"/>
                  </w:tcBorders>
                  <w:shd w:val="clear" w:color="auto" w:fill="auto"/>
                  <w:tcMar>
                    <w:top w:w="0" w:type="dxa"/>
                    <w:left w:w="0" w:type="dxa"/>
                    <w:bottom w:w="0" w:type="dxa"/>
                    <w:right w:w="0" w:type="dxa"/>
                  </w:tcMar>
                  <w:vAlign w:val="center"/>
                </w:tcPr>
                <w:p w14:paraId="561EF50C">
                  <w:pPr>
                    <w:pStyle w:val="40"/>
                    <w:bidi w:val="0"/>
                  </w:pPr>
                  <w:r>
                    <w:t>-1.7</w:t>
                  </w:r>
                </w:p>
              </w:tc>
              <w:tc>
                <w:tcPr>
                  <w:tcW w:w="143" w:type="pct"/>
                  <w:tcBorders>
                    <w:tl2br w:val="nil"/>
                    <w:tr2bl w:val="nil"/>
                  </w:tcBorders>
                  <w:shd w:val="clear" w:color="auto" w:fill="auto"/>
                  <w:tcMar>
                    <w:top w:w="0" w:type="dxa"/>
                    <w:left w:w="0" w:type="dxa"/>
                    <w:bottom w:w="0" w:type="dxa"/>
                    <w:right w:w="0" w:type="dxa"/>
                  </w:tcMar>
                  <w:vAlign w:val="center"/>
                </w:tcPr>
                <w:p w14:paraId="7D9972ED">
                  <w:pPr>
                    <w:pStyle w:val="40"/>
                    <w:bidi w:val="0"/>
                  </w:pPr>
                  <w:r>
                    <w:t>1.2</w:t>
                  </w:r>
                </w:p>
              </w:tc>
              <w:tc>
                <w:tcPr>
                  <w:tcW w:w="181" w:type="pct"/>
                  <w:tcBorders>
                    <w:tl2br w:val="nil"/>
                    <w:tr2bl w:val="nil"/>
                  </w:tcBorders>
                  <w:shd w:val="clear" w:color="auto" w:fill="auto"/>
                  <w:tcMar>
                    <w:top w:w="0" w:type="dxa"/>
                    <w:left w:w="0" w:type="dxa"/>
                    <w:bottom w:w="0" w:type="dxa"/>
                    <w:right w:w="0" w:type="dxa"/>
                  </w:tcMar>
                  <w:vAlign w:val="center"/>
                </w:tcPr>
                <w:p w14:paraId="4D6BE9E3">
                  <w:pPr>
                    <w:pStyle w:val="40"/>
                    <w:bidi w:val="0"/>
                  </w:pPr>
                  <w:r>
                    <w:t>86.1</w:t>
                  </w:r>
                </w:p>
              </w:tc>
              <w:tc>
                <w:tcPr>
                  <w:tcW w:w="172" w:type="pct"/>
                  <w:tcBorders>
                    <w:tl2br w:val="nil"/>
                    <w:tr2bl w:val="nil"/>
                  </w:tcBorders>
                  <w:shd w:val="clear" w:color="auto" w:fill="auto"/>
                  <w:tcMar>
                    <w:top w:w="0" w:type="dxa"/>
                    <w:left w:w="0" w:type="dxa"/>
                    <w:bottom w:w="0" w:type="dxa"/>
                    <w:right w:w="0" w:type="dxa"/>
                  </w:tcMar>
                  <w:vAlign w:val="center"/>
                </w:tcPr>
                <w:p w14:paraId="6CE1B551">
                  <w:pPr>
                    <w:pStyle w:val="40"/>
                    <w:bidi w:val="0"/>
                  </w:pPr>
                  <w:r>
                    <w:t>20.1</w:t>
                  </w:r>
                </w:p>
              </w:tc>
              <w:tc>
                <w:tcPr>
                  <w:tcW w:w="153" w:type="pct"/>
                  <w:tcBorders>
                    <w:tl2br w:val="nil"/>
                    <w:tr2bl w:val="nil"/>
                  </w:tcBorders>
                  <w:shd w:val="clear" w:color="auto" w:fill="auto"/>
                  <w:tcMar>
                    <w:top w:w="0" w:type="dxa"/>
                    <w:left w:w="0" w:type="dxa"/>
                    <w:bottom w:w="0" w:type="dxa"/>
                    <w:right w:w="0" w:type="dxa"/>
                  </w:tcMar>
                  <w:vAlign w:val="center"/>
                </w:tcPr>
                <w:p w14:paraId="56A008E1">
                  <w:pPr>
                    <w:pStyle w:val="40"/>
                    <w:bidi w:val="0"/>
                  </w:pPr>
                  <w:r>
                    <w:t>96.5</w:t>
                  </w:r>
                </w:p>
              </w:tc>
              <w:tc>
                <w:tcPr>
                  <w:tcW w:w="172" w:type="pct"/>
                  <w:tcBorders>
                    <w:tl2br w:val="nil"/>
                    <w:tr2bl w:val="nil"/>
                  </w:tcBorders>
                  <w:shd w:val="clear" w:color="auto" w:fill="auto"/>
                  <w:tcMar>
                    <w:top w:w="0" w:type="dxa"/>
                    <w:left w:w="0" w:type="dxa"/>
                    <w:bottom w:w="0" w:type="dxa"/>
                    <w:right w:w="0" w:type="dxa"/>
                  </w:tcMar>
                  <w:vAlign w:val="center"/>
                </w:tcPr>
                <w:p w14:paraId="39670B33">
                  <w:pPr>
                    <w:pStyle w:val="40"/>
                    <w:bidi w:val="0"/>
                  </w:pPr>
                  <w:r>
                    <w:t>21.7</w:t>
                  </w:r>
                </w:p>
              </w:tc>
              <w:tc>
                <w:tcPr>
                  <w:tcW w:w="167" w:type="pct"/>
                  <w:tcBorders>
                    <w:tl2br w:val="nil"/>
                    <w:tr2bl w:val="nil"/>
                  </w:tcBorders>
                  <w:shd w:val="clear" w:color="auto" w:fill="auto"/>
                  <w:tcMar>
                    <w:top w:w="0" w:type="dxa"/>
                    <w:left w:w="0" w:type="dxa"/>
                    <w:bottom w:w="0" w:type="dxa"/>
                    <w:right w:w="0" w:type="dxa"/>
                  </w:tcMar>
                  <w:vAlign w:val="center"/>
                </w:tcPr>
                <w:p w14:paraId="5E2420D3">
                  <w:pPr>
                    <w:pStyle w:val="40"/>
                    <w:bidi w:val="0"/>
                  </w:pPr>
                  <w:r>
                    <w:t>50.5</w:t>
                  </w:r>
                </w:p>
              </w:tc>
              <w:tc>
                <w:tcPr>
                  <w:tcW w:w="172" w:type="pct"/>
                  <w:tcBorders>
                    <w:tl2br w:val="nil"/>
                    <w:tr2bl w:val="nil"/>
                  </w:tcBorders>
                  <w:shd w:val="clear" w:color="auto" w:fill="auto"/>
                  <w:tcMar>
                    <w:top w:w="0" w:type="dxa"/>
                    <w:left w:w="0" w:type="dxa"/>
                    <w:bottom w:w="0" w:type="dxa"/>
                    <w:right w:w="0" w:type="dxa"/>
                  </w:tcMar>
                  <w:vAlign w:val="center"/>
                </w:tcPr>
                <w:p w14:paraId="6AC09508">
                  <w:pPr>
                    <w:pStyle w:val="40"/>
                    <w:bidi w:val="0"/>
                  </w:pPr>
                  <w:r>
                    <w:t>50.5</w:t>
                  </w:r>
                </w:p>
              </w:tc>
              <w:tc>
                <w:tcPr>
                  <w:tcW w:w="162" w:type="pct"/>
                  <w:tcBorders>
                    <w:tl2br w:val="nil"/>
                    <w:tr2bl w:val="nil"/>
                  </w:tcBorders>
                  <w:shd w:val="clear" w:color="auto" w:fill="auto"/>
                  <w:tcMar>
                    <w:top w:w="0" w:type="dxa"/>
                    <w:left w:w="0" w:type="dxa"/>
                    <w:bottom w:w="0" w:type="dxa"/>
                    <w:right w:w="0" w:type="dxa"/>
                  </w:tcMar>
                  <w:vAlign w:val="center"/>
                </w:tcPr>
                <w:p w14:paraId="66037B5E">
                  <w:pPr>
                    <w:pStyle w:val="40"/>
                    <w:bidi w:val="0"/>
                  </w:pPr>
                  <w:r>
                    <w:t>50.5</w:t>
                  </w:r>
                </w:p>
              </w:tc>
              <w:tc>
                <w:tcPr>
                  <w:tcW w:w="153" w:type="pct"/>
                  <w:tcBorders>
                    <w:tl2br w:val="nil"/>
                    <w:tr2bl w:val="nil"/>
                  </w:tcBorders>
                  <w:shd w:val="clear" w:color="auto" w:fill="auto"/>
                  <w:tcMar>
                    <w:top w:w="0" w:type="dxa"/>
                    <w:left w:w="0" w:type="dxa"/>
                    <w:bottom w:w="0" w:type="dxa"/>
                    <w:right w:w="0" w:type="dxa"/>
                  </w:tcMar>
                  <w:vAlign w:val="center"/>
                </w:tcPr>
                <w:p w14:paraId="69509292">
                  <w:pPr>
                    <w:pStyle w:val="40"/>
                    <w:bidi w:val="0"/>
                  </w:pPr>
                  <w:r>
                    <w:t>50.5</w:t>
                  </w:r>
                </w:p>
              </w:tc>
              <w:tc>
                <w:tcPr>
                  <w:tcW w:w="167" w:type="pct"/>
                  <w:tcBorders>
                    <w:tl2br w:val="nil"/>
                    <w:tr2bl w:val="nil"/>
                  </w:tcBorders>
                  <w:shd w:val="clear" w:color="auto" w:fill="auto"/>
                  <w:tcMar>
                    <w:top w:w="0" w:type="dxa"/>
                    <w:left w:w="0" w:type="dxa"/>
                    <w:bottom w:w="0" w:type="dxa"/>
                    <w:right w:w="0" w:type="dxa"/>
                  </w:tcMar>
                  <w:vAlign w:val="center"/>
                </w:tcPr>
                <w:p w14:paraId="7DB7220F">
                  <w:pPr>
                    <w:pStyle w:val="40"/>
                    <w:bidi w:val="0"/>
                  </w:pPr>
                  <w:r>
                    <w:t>8.0</w:t>
                  </w:r>
                </w:p>
              </w:tc>
              <w:tc>
                <w:tcPr>
                  <w:tcW w:w="153" w:type="pct"/>
                  <w:tcBorders>
                    <w:tl2br w:val="nil"/>
                    <w:tr2bl w:val="nil"/>
                  </w:tcBorders>
                  <w:shd w:val="clear" w:color="auto" w:fill="auto"/>
                  <w:tcMar>
                    <w:top w:w="0" w:type="dxa"/>
                    <w:left w:w="0" w:type="dxa"/>
                    <w:bottom w:w="0" w:type="dxa"/>
                    <w:right w:w="0" w:type="dxa"/>
                  </w:tcMar>
                  <w:vAlign w:val="center"/>
                </w:tcPr>
                <w:p w14:paraId="0E5039EF">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1DFD9E83">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651B4CA3">
                  <w:pPr>
                    <w:pStyle w:val="40"/>
                    <w:bidi w:val="0"/>
                  </w:pPr>
                  <w:r>
                    <w:t>26.0</w:t>
                  </w:r>
                </w:p>
              </w:tc>
              <w:tc>
                <w:tcPr>
                  <w:tcW w:w="157" w:type="pct"/>
                  <w:tcBorders>
                    <w:tl2br w:val="nil"/>
                    <w:tr2bl w:val="nil"/>
                  </w:tcBorders>
                  <w:shd w:val="clear" w:color="auto" w:fill="auto"/>
                  <w:tcMar>
                    <w:top w:w="0" w:type="dxa"/>
                    <w:left w:w="0" w:type="dxa"/>
                    <w:bottom w:w="0" w:type="dxa"/>
                    <w:right w:w="0" w:type="dxa"/>
                  </w:tcMar>
                  <w:vAlign w:val="center"/>
                </w:tcPr>
                <w:p w14:paraId="166B9669">
                  <w:pPr>
                    <w:pStyle w:val="40"/>
                    <w:bidi w:val="0"/>
                  </w:pPr>
                  <w:r>
                    <w:t>26.0</w:t>
                  </w:r>
                </w:p>
              </w:tc>
              <w:tc>
                <w:tcPr>
                  <w:tcW w:w="167" w:type="pct"/>
                  <w:tcBorders>
                    <w:tl2br w:val="nil"/>
                    <w:tr2bl w:val="nil"/>
                  </w:tcBorders>
                  <w:shd w:val="clear" w:color="auto" w:fill="auto"/>
                  <w:tcMar>
                    <w:top w:w="0" w:type="dxa"/>
                    <w:left w:w="0" w:type="dxa"/>
                    <w:bottom w:w="0" w:type="dxa"/>
                    <w:right w:w="0" w:type="dxa"/>
                  </w:tcMar>
                  <w:vAlign w:val="center"/>
                </w:tcPr>
                <w:p w14:paraId="203D2566">
                  <w:pPr>
                    <w:pStyle w:val="40"/>
                    <w:bidi w:val="0"/>
                  </w:pPr>
                  <w:r>
                    <w:t>24.5</w:t>
                  </w:r>
                </w:p>
              </w:tc>
              <w:tc>
                <w:tcPr>
                  <w:tcW w:w="158" w:type="pct"/>
                  <w:tcBorders>
                    <w:tl2br w:val="nil"/>
                    <w:tr2bl w:val="nil"/>
                  </w:tcBorders>
                  <w:shd w:val="clear" w:color="auto" w:fill="auto"/>
                  <w:tcMar>
                    <w:top w:w="0" w:type="dxa"/>
                    <w:left w:w="0" w:type="dxa"/>
                    <w:bottom w:w="0" w:type="dxa"/>
                    <w:right w:w="0" w:type="dxa"/>
                  </w:tcMar>
                  <w:vAlign w:val="center"/>
                </w:tcPr>
                <w:p w14:paraId="3DB4352C">
                  <w:pPr>
                    <w:pStyle w:val="40"/>
                    <w:bidi w:val="0"/>
                  </w:pPr>
                  <w:r>
                    <w:t>24.5</w:t>
                  </w:r>
                </w:p>
              </w:tc>
              <w:tc>
                <w:tcPr>
                  <w:tcW w:w="153" w:type="pct"/>
                  <w:tcBorders>
                    <w:tl2br w:val="nil"/>
                    <w:tr2bl w:val="nil"/>
                  </w:tcBorders>
                  <w:shd w:val="clear" w:color="auto" w:fill="auto"/>
                  <w:tcMar>
                    <w:top w:w="0" w:type="dxa"/>
                    <w:left w:w="0" w:type="dxa"/>
                    <w:bottom w:w="0" w:type="dxa"/>
                    <w:right w:w="0" w:type="dxa"/>
                  </w:tcMar>
                  <w:vAlign w:val="center"/>
                </w:tcPr>
                <w:p w14:paraId="36A1D20C">
                  <w:pPr>
                    <w:pStyle w:val="40"/>
                    <w:bidi w:val="0"/>
                  </w:pPr>
                  <w:r>
                    <w:t>24.5</w:t>
                  </w:r>
                </w:p>
              </w:tc>
              <w:tc>
                <w:tcPr>
                  <w:tcW w:w="155" w:type="pct"/>
                  <w:tcBorders>
                    <w:tl2br w:val="nil"/>
                    <w:tr2bl w:val="nil"/>
                  </w:tcBorders>
                  <w:shd w:val="clear" w:color="auto" w:fill="auto"/>
                  <w:tcMar>
                    <w:top w:w="0" w:type="dxa"/>
                    <w:left w:w="0" w:type="dxa"/>
                    <w:bottom w:w="0" w:type="dxa"/>
                    <w:right w:w="0" w:type="dxa"/>
                  </w:tcMar>
                  <w:vAlign w:val="center"/>
                </w:tcPr>
                <w:p w14:paraId="0F7004E7">
                  <w:pPr>
                    <w:pStyle w:val="40"/>
                    <w:bidi w:val="0"/>
                  </w:pPr>
                  <w:r>
                    <w:t>24.5</w:t>
                  </w:r>
                </w:p>
              </w:tc>
              <w:tc>
                <w:tcPr>
                  <w:tcW w:w="231" w:type="pct"/>
                  <w:tcBorders>
                    <w:tl2br w:val="nil"/>
                    <w:tr2bl w:val="nil"/>
                  </w:tcBorders>
                  <w:shd w:val="clear" w:color="auto" w:fill="auto"/>
                  <w:tcMar>
                    <w:top w:w="0" w:type="dxa"/>
                    <w:left w:w="0" w:type="dxa"/>
                    <w:bottom w:w="0" w:type="dxa"/>
                    <w:right w:w="0" w:type="dxa"/>
                  </w:tcMar>
                  <w:vAlign w:val="center"/>
                </w:tcPr>
                <w:p w14:paraId="5DF72DCF">
                  <w:pPr>
                    <w:pStyle w:val="40"/>
                    <w:bidi w:val="0"/>
                  </w:pPr>
                  <w:r>
                    <w:t>1</w:t>
                  </w:r>
                </w:p>
              </w:tc>
            </w:tr>
            <w:tr w14:paraId="4C2B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75" w:type="pct"/>
                  <w:tcBorders>
                    <w:tl2br w:val="nil"/>
                    <w:tr2bl w:val="nil"/>
                  </w:tcBorders>
                  <w:shd w:val="clear" w:color="auto" w:fill="auto"/>
                  <w:tcMar>
                    <w:top w:w="0" w:type="dxa"/>
                    <w:left w:w="0" w:type="dxa"/>
                    <w:bottom w:w="0" w:type="dxa"/>
                    <w:right w:w="0" w:type="dxa"/>
                  </w:tcMar>
                  <w:vAlign w:val="center"/>
                </w:tcPr>
                <w:p w14:paraId="2A94E966">
                  <w:pPr>
                    <w:pStyle w:val="40"/>
                    <w:bidi w:val="0"/>
                  </w:pPr>
                  <w:r>
                    <w:t>8</w:t>
                  </w:r>
                </w:p>
              </w:tc>
              <w:tc>
                <w:tcPr>
                  <w:tcW w:w="199" w:type="pct"/>
                  <w:vMerge w:val="continue"/>
                  <w:tcBorders>
                    <w:tl2br w:val="nil"/>
                    <w:tr2bl w:val="nil"/>
                  </w:tcBorders>
                  <w:shd w:val="clear" w:color="auto" w:fill="auto"/>
                  <w:tcMar>
                    <w:top w:w="0" w:type="dxa"/>
                    <w:left w:w="0" w:type="dxa"/>
                    <w:bottom w:w="0" w:type="dxa"/>
                    <w:right w:w="0" w:type="dxa"/>
                  </w:tcMar>
                  <w:vAlign w:val="center"/>
                </w:tcPr>
                <w:p w14:paraId="3BF0EFB0">
                  <w:pPr>
                    <w:pStyle w:val="40"/>
                    <w:bidi w:val="0"/>
                  </w:pPr>
                </w:p>
              </w:tc>
              <w:tc>
                <w:tcPr>
                  <w:tcW w:w="565" w:type="pct"/>
                  <w:tcBorders>
                    <w:tl2br w:val="nil"/>
                    <w:tr2bl w:val="nil"/>
                  </w:tcBorders>
                  <w:shd w:val="clear" w:color="auto" w:fill="auto"/>
                  <w:tcMar>
                    <w:top w:w="0" w:type="dxa"/>
                    <w:left w:w="0" w:type="dxa"/>
                    <w:bottom w:w="0" w:type="dxa"/>
                    <w:right w:w="0" w:type="dxa"/>
                  </w:tcMar>
                  <w:vAlign w:val="center"/>
                </w:tcPr>
                <w:p w14:paraId="6DA05A53">
                  <w:pPr>
                    <w:pStyle w:val="40"/>
                    <w:bidi w:val="0"/>
                  </w:pPr>
                  <w:r>
                    <w:t>Φ50插入式振捣器,2台（按点声源组预测）</w:t>
                  </w:r>
                </w:p>
              </w:tc>
              <w:tc>
                <w:tcPr>
                  <w:tcW w:w="362" w:type="pct"/>
                  <w:tcBorders>
                    <w:tl2br w:val="nil"/>
                    <w:tr2bl w:val="nil"/>
                  </w:tcBorders>
                  <w:shd w:val="clear" w:color="auto" w:fill="auto"/>
                  <w:tcMar>
                    <w:top w:w="0" w:type="dxa"/>
                    <w:left w:w="0" w:type="dxa"/>
                    <w:bottom w:w="0" w:type="dxa"/>
                    <w:right w:w="0" w:type="dxa"/>
                  </w:tcMar>
                  <w:vAlign w:val="center"/>
                </w:tcPr>
                <w:p w14:paraId="48E162A6">
                  <w:pPr>
                    <w:pStyle w:val="40"/>
                    <w:bidi w:val="0"/>
                  </w:pPr>
                  <w:r>
                    <w:t>87（等效后：90.0)</w:t>
                  </w:r>
                </w:p>
              </w:tc>
              <w:tc>
                <w:tcPr>
                  <w:tcW w:w="204" w:type="pct"/>
                  <w:vMerge w:val="continue"/>
                  <w:tcBorders>
                    <w:tl2br w:val="nil"/>
                    <w:tr2bl w:val="nil"/>
                  </w:tcBorders>
                  <w:shd w:val="clear" w:color="auto" w:fill="auto"/>
                  <w:tcMar>
                    <w:top w:w="0" w:type="dxa"/>
                    <w:left w:w="0" w:type="dxa"/>
                    <w:bottom w:w="0" w:type="dxa"/>
                    <w:right w:w="0" w:type="dxa"/>
                  </w:tcMar>
                  <w:vAlign w:val="center"/>
                </w:tcPr>
                <w:p w14:paraId="70A5BF48">
                  <w:pPr>
                    <w:pStyle w:val="40"/>
                    <w:bidi w:val="0"/>
                  </w:pPr>
                </w:p>
              </w:tc>
              <w:tc>
                <w:tcPr>
                  <w:tcW w:w="181" w:type="pct"/>
                  <w:tcBorders>
                    <w:tl2br w:val="nil"/>
                    <w:tr2bl w:val="nil"/>
                  </w:tcBorders>
                  <w:shd w:val="clear" w:color="auto" w:fill="auto"/>
                  <w:tcMar>
                    <w:top w:w="0" w:type="dxa"/>
                    <w:left w:w="0" w:type="dxa"/>
                    <w:bottom w:w="0" w:type="dxa"/>
                    <w:right w:w="0" w:type="dxa"/>
                  </w:tcMar>
                  <w:vAlign w:val="center"/>
                </w:tcPr>
                <w:p w14:paraId="5FD7356D">
                  <w:pPr>
                    <w:pStyle w:val="40"/>
                    <w:bidi w:val="0"/>
                  </w:pPr>
                  <w:r>
                    <w:t>14.2</w:t>
                  </w:r>
                </w:p>
              </w:tc>
              <w:tc>
                <w:tcPr>
                  <w:tcW w:w="162" w:type="pct"/>
                  <w:tcBorders>
                    <w:tl2br w:val="nil"/>
                    <w:tr2bl w:val="nil"/>
                  </w:tcBorders>
                  <w:shd w:val="clear" w:color="auto" w:fill="auto"/>
                  <w:tcMar>
                    <w:top w:w="0" w:type="dxa"/>
                    <w:left w:w="0" w:type="dxa"/>
                    <w:bottom w:w="0" w:type="dxa"/>
                    <w:right w:w="0" w:type="dxa"/>
                  </w:tcMar>
                  <w:vAlign w:val="center"/>
                </w:tcPr>
                <w:p w14:paraId="68F8AE56">
                  <w:pPr>
                    <w:pStyle w:val="40"/>
                    <w:bidi w:val="0"/>
                  </w:pPr>
                  <w:r>
                    <w:t>-1.3</w:t>
                  </w:r>
                </w:p>
              </w:tc>
              <w:tc>
                <w:tcPr>
                  <w:tcW w:w="143" w:type="pct"/>
                  <w:tcBorders>
                    <w:tl2br w:val="nil"/>
                    <w:tr2bl w:val="nil"/>
                  </w:tcBorders>
                  <w:shd w:val="clear" w:color="auto" w:fill="auto"/>
                  <w:tcMar>
                    <w:top w:w="0" w:type="dxa"/>
                    <w:left w:w="0" w:type="dxa"/>
                    <w:bottom w:w="0" w:type="dxa"/>
                    <w:right w:w="0" w:type="dxa"/>
                  </w:tcMar>
                  <w:vAlign w:val="center"/>
                </w:tcPr>
                <w:p w14:paraId="3FF44577">
                  <w:pPr>
                    <w:pStyle w:val="40"/>
                    <w:bidi w:val="0"/>
                  </w:pPr>
                  <w:r>
                    <w:t>1.2</w:t>
                  </w:r>
                </w:p>
              </w:tc>
              <w:tc>
                <w:tcPr>
                  <w:tcW w:w="181" w:type="pct"/>
                  <w:tcBorders>
                    <w:tl2br w:val="nil"/>
                    <w:tr2bl w:val="nil"/>
                  </w:tcBorders>
                  <w:shd w:val="clear" w:color="auto" w:fill="auto"/>
                  <w:tcMar>
                    <w:top w:w="0" w:type="dxa"/>
                    <w:left w:w="0" w:type="dxa"/>
                    <w:bottom w:w="0" w:type="dxa"/>
                    <w:right w:w="0" w:type="dxa"/>
                  </w:tcMar>
                  <w:vAlign w:val="center"/>
                </w:tcPr>
                <w:p w14:paraId="48FF20A5">
                  <w:pPr>
                    <w:pStyle w:val="40"/>
                    <w:bidi w:val="0"/>
                  </w:pPr>
                  <w:r>
                    <w:t>58.9</w:t>
                  </w:r>
                </w:p>
              </w:tc>
              <w:tc>
                <w:tcPr>
                  <w:tcW w:w="172" w:type="pct"/>
                  <w:tcBorders>
                    <w:tl2br w:val="nil"/>
                    <w:tr2bl w:val="nil"/>
                  </w:tcBorders>
                  <w:shd w:val="clear" w:color="auto" w:fill="auto"/>
                  <w:tcMar>
                    <w:top w:w="0" w:type="dxa"/>
                    <w:left w:w="0" w:type="dxa"/>
                    <w:bottom w:w="0" w:type="dxa"/>
                    <w:right w:w="0" w:type="dxa"/>
                  </w:tcMar>
                  <w:vAlign w:val="center"/>
                </w:tcPr>
                <w:p w14:paraId="1544C305">
                  <w:pPr>
                    <w:pStyle w:val="40"/>
                    <w:bidi w:val="0"/>
                  </w:pPr>
                  <w:r>
                    <w:t>23.5</w:t>
                  </w:r>
                </w:p>
              </w:tc>
              <w:tc>
                <w:tcPr>
                  <w:tcW w:w="153" w:type="pct"/>
                  <w:tcBorders>
                    <w:tl2br w:val="nil"/>
                    <w:tr2bl w:val="nil"/>
                  </w:tcBorders>
                  <w:shd w:val="clear" w:color="auto" w:fill="auto"/>
                  <w:tcMar>
                    <w:top w:w="0" w:type="dxa"/>
                    <w:left w:w="0" w:type="dxa"/>
                    <w:bottom w:w="0" w:type="dxa"/>
                    <w:right w:w="0" w:type="dxa"/>
                  </w:tcMar>
                  <w:vAlign w:val="center"/>
                </w:tcPr>
                <w:p w14:paraId="410E87F7">
                  <w:pPr>
                    <w:pStyle w:val="40"/>
                    <w:bidi w:val="0"/>
                  </w:pPr>
                  <w:r>
                    <w:t>123.7</w:t>
                  </w:r>
                </w:p>
              </w:tc>
              <w:tc>
                <w:tcPr>
                  <w:tcW w:w="172" w:type="pct"/>
                  <w:tcBorders>
                    <w:tl2br w:val="nil"/>
                    <w:tr2bl w:val="nil"/>
                  </w:tcBorders>
                  <w:shd w:val="clear" w:color="auto" w:fill="auto"/>
                  <w:tcMar>
                    <w:top w:w="0" w:type="dxa"/>
                    <w:left w:w="0" w:type="dxa"/>
                    <w:bottom w:w="0" w:type="dxa"/>
                    <w:right w:w="0" w:type="dxa"/>
                  </w:tcMar>
                  <w:vAlign w:val="center"/>
                </w:tcPr>
                <w:p w14:paraId="088590FB">
                  <w:pPr>
                    <w:pStyle w:val="40"/>
                    <w:bidi w:val="0"/>
                  </w:pPr>
                  <w:r>
                    <w:t>18.3</w:t>
                  </w:r>
                </w:p>
              </w:tc>
              <w:tc>
                <w:tcPr>
                  <w:tcW w:w="167" w:type="pct"/>
                  <w:tcBorders>
                    <w:tl2br w:val="nil"/>
                    <w:tr2bl w:val="nil"/>
                  </w:tcBorders>
                  <w:shd w:val="clear" w:color="auto" w:fill="auto"/>
                  <w:tcMar>
                    <w:top w:w="0" w:type="dxa"/>
                    <w:left w:w="0" w:type="dxa"/>
                    <w:bottom w:w="0" w:type="dxa"/>
                    <w:right w:w="0" w:type="dxa"/>
                  </w:tcMar>
                  <w:vAlign w:val="center"/>
                </w:tcPr>
                <w:p w14:paraId="2E9E7596">
                  <w:pPr>
                    <w:pStyle w:val="40"/>
                    <w:bidi w:val="0"/>
                  </w:pPr>
                  <w:r>
                    <w:t>70.7</w:t>
                  </w:r>
                </w:p>
              </w:tc>
              <w:tc>
                <w:tcPr>
                  <w:tcW w:w="172" w:type="pct"/>
                  <w:tcBorders>
                    <w:tl2br w:val="nil"/>
                    <w:tr2bl w:val="nil"/>
                  </w:tcBorders>
                  <w:shd w:val="clear" w:color="auto" w:fill="auto"/>
                  <w:tcMar>
                    <w:top w:w="0" w:type="dxa"/>
                    <w:left w:w="0" w:type="dxa"/>
                    <w:bottom w:w="0" w:type="dxa"/>
                    <w:right w:w="0" w:type="dxa"/>
                  </w:tcMar>
                  <w:vAlign w:val="center"/>
                </w:tcPr>
                <w:p w14:paraId="2125949E">
                  <w:pPr>
                    <w:pStyle w:val="40"/>
                    <w:bidi w:val="0"/>
                  </w:pPr>
                  <w:r>
                    <w:t>70.7</w:t>
                  </w:r>
                </w:p>
              </w:tc>
              <w:tc>
                <w:tcPr>
                  <w:tcW w:w="162" w:type="pct"/>
                  <w:tcBorders>
                    <w:tl2br w:val="nil"/>
                    <w:tr2bl w:val="nil"/>
                  </w:tcBorders>
                  <w:shd w:val="clear" w:color="auto" w:fill="auto"/>
                  <w:tcMar>
                    <w:top w:w="0" w:type="dxa"/>
                    <w:left w:w="0" w:type="dxa"/>
                    <w:bottom w:w="0" w:type="dxa"/>
                    <w:right w:w="0" w:type="dxa"/>
                  </w:tcMar>
                  <w:vAlign w:val="center"/>
                </w:tcPr>
                <w:p w14:paraId="57C5A341">
                  <w:pPr>
                    <w:pStyle w:val="40"/>
                    <w:bidi w:val="0"/>
                  </w:pPr>
                  <w:r>
                    <w:t>70.7</w:t>
                  </w:r>
                </w:p>
              </w:tc>
              <w:tc>
                <w:tcPr>
                  <w:tcW w:w="153" w:type="pct"/>
                  <w:tcBorders>
                    <w:tl2br w:val="nil"/>
                    <w:tr2bl w:val="nil"/>
                  </w:tcBorders>
                  <w:shd w:val="clear" w:color="auto" w:fill="auto"/>
                  <w:tcMar>
                    <w:top w:w="0" w:type="dxa"/>
                    <w:left w:w="0" w:type="dxa"/>
                    <w:bottom w:w="0" w:type="dxa"/>
                    <w:right w:w="0" w:type="dxa"/>
                  </w:tcMar>
                  <w:vAlign w:val="center"/>
                </w:tcPr>
                <w:p w14:paraId="23A2B4FF">
                  <w:pPr>
                    <w:pStyle w:val="40"/>
                    <w:bidi w:val="0"/>
                  </w:pPr>
                  <w:r>
                    <w:t>70.7</w:t>
                  </w:r>
                </w:p>
              </w:tc>
              <w:tc>
                <w:tcPr>
                  <w:tcW w:w="167" w:type="pct"/>
                  <w:tcBorders>
                    <w:tl2br w:val="nil"/>
                    <w:tr2bl w:val="nil"/>
                  </w:tcBorders>
                  <w:shd w:val="clear" w:color="auto" w:fill="auto"/>
                  <w:tcMar>
                    <w:top w:w="0" w:type="dxa"/>
                    <w:left w:w="0" w:type="dxa"/>
                    <w:bottom w:w="0" w:type="dxa"/>
                    <w:right w:w="0" w:type="dxa"/>
                  </w:tcMar>
                  <w:vAlign w:val="center"/>
                </w:tcPr>
                <w:p w14:paraId="3D0877F4">
                  <w:pPr>
                    <w:pStyle w:val="40"/>
                    <w:bidi w:val="0"/>
                  </w:pPr>
                  <w:r>
                    <w:t>8.0</w:t>
                  </w:r>
                </w:p>
              </w:tc>
              <w:tc>
                <w:tcPr>
                  <w:tcW w:w="153" w:type="pct"/>
                  <w:tcBorders>
                    <w:tl2br w:val="nil"/>
                    <w:tr2bl w:val="nil"/>
                  </w:tcBorders>
                  <w:shd w:val="clear" w:color="auto" w:fill="auto"/>
                  <w:tcMar>
                    <w:top w:w="0" w:type="dxa"/>
                    <w:left w:w="0" w:type="dxa"/>
                    <w:bottom w:w="0" w:type="dxa"/>
                    <w:right w:w="0" w:type="dxa"/>
                  </w:tcMar>
                  <w:vAlign w:val="center"/>
                </w:tcPr>
                <w:p w14:paraId="64B5A01E">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301B1FDF">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4664393A">
                  <w:pPr>
                    <w:pStyle w:val="40"/>
                    <w:bidi w:val="0"/>
                  </w:pPr>
                  <w:r>
                    <w:t>26.0</w:t>
                  </w:r>
                </w:p>
              </w:tc>
              <w:tc>
                <w:tcPr>
                  <w:tcW w:w="157" w:type="pct"/>
                  <w:tcBorders>
                    <w:tl2br w:val="nil"/>
                    <w:tr2bl w:val="nil"/>
                  </w:tcBorders>
                  <w:shd w:val="clear" w:color="auto" w:fill="auto"/>
                  <w:tcMar>
                    <w:top w:w="0" w:type="dxa"/>
                    <w:left w:w="0" w:type="dxa"/>
                    <w:bottom w:w="0" w:type="dxa"/>
                    <w:right w:w="0" w:type="dxa"/>
                  </w:tcMar>
                  <w:vAlign w:val="center"/>
                </w:tcPr>
                <w:p w14:paraId="61AE229E">
                  <w:pPr>
                    <w:pStyle w:val="40"/>
                    <w:bidi w:val="0"/>
                  </w:pPr>
                  <w:r>
                    <w:t>26.0</w:t>
                  </w:r>
                </w:p>
              </w:tc>
              <w:tc>
                <w:tcPr>
                  <w:tcW w:w="167" w:type="pct"/>
                  <w:tcBorders>
                    <w:tl2br w:val="nil"/>
                    <w:tr2bl w:val="nil"/>
                  </w:tcBorders>
                  <w:shd w:val="clear" w:color="auto" w:fill="auto"/>
                  <w:tcMar>
                    <w:top w:w="0" w:type="dxa"/>
                    <w:left w:w="0" w:type="dxa"/>
                    <w:bottom w:w="0" w:type="dxa"/>
                    <w:right w:w="0" w:type="dxa"/>
                  </w:tcMar>
                  <w:vAlign w:val="center"/>
                </w:tcPr>
                <w:p w14:paraId="7D105968">
                  <w:pPr>
                    <w:pStyle w:val="40"/>
                    <w:bidi w:val="0"/>
                  </w:pPr>
                  <w:r>
                    <w:t>44.7</w:t>
                  </w:r>
                </w:p>
              </w:tc>
              <w:tc>
                <w:tcPr>
                  <w:tcW w:w="158" w:type="pct"/>
                  <w:tcBorders>
                    <w:tl2br w:val="nil"/>
                    <w:tr2bl w:val="nil"/>
                  </w:tcBorders>
                  <w:shd w:val="clear" w:color="auto" w:fill="auto"/>
                  <w:tcMar>
                    <w:top w:w="0" w:type="dxa"/>
                    <w:left w:w="0" w:type="dxa"/>
                    <w:bottom w:w="0" w:type="dxa"/>
                    <w:right w:w="0" w:type="dxa"/>
                  </w:tcMar>
                  <w:vAlign w:val="center"/>
                </w:tcPr>
                <w:p w14:paraId="2BC92C0E">
                  <w:pPr>
                    <w:pStyle w:val="40"/>
                    <w:bidi w:val="0"/>
                  </w:pPr>
                  <w:r>
                    <w:t>44.7</w:t>
                  </w:r>
                </w:p>
              </w:tc>
              <w:tc>
                <w:tcPr>
                  <w:tcW w:w="153" w:type="pct"/>
                  <w:tcBorders>
                    <w:tl2br w:val="nil"/>
                    <w:tr2bl w:val="nil"/>
                  </w:tcBorders>
                  <w:shd w:val="clear" w:color="auto" w:fill="auto"/>
                  <w:tcMar>
                    <w:top w:w="0" w:type="dxa"/>
                    <w:left w:w="0" w:type="dxa"/>
                    <w:bottom w:w="0" w:type="dxa"/>
                    <w:right w:w="0" w:type="dxa"/>
                  </w:tcMar>
                  <w:vAlign w:val="center"/>
                </w:tcPr>
                <w:p w14:paraId="2C16D5FC">
                  <w:pPr>
                    <w:pStyle w:val="40"/>
                    <w:bidi w:val="0"/>
                  </w:pPr>
                  <w:r>
                    <w:t>44.7</w:t>
                  </w:r>
                </w:p>
              </w:tc>
              <w:tc>
                <w:tcPr>
                  <w:tcW w:w="155" w:type="pct"/>
                  <w:tcBorders>
                    <w:tl2br w:val="nil"/>
                    <w:tr2bl w:val="nil"/>
                  </w:tcBorders>
                  <w:shd w:val="clear" w:color="auto" w:fill="auto"/>
                  <w:tcMar>
                    <w:top w:w="0" w:type="dxa"/>
                    <w:left w:w="0" w:type="dxa"/>
                    <w:bottom w:w="0" w:type="dxa"/>
                    <w:right w:w="0" w:type="dxa"/>
                  </w:tcMar>
                  <w:vAlign w:val="center"/>
                </w:tcPr>
                <w:p w14:paraId="1CC263BA">
                  <w:pPr>
                    <w:pStyle w:val="40"/>
                    <w:bidi w:val="0"/>
                  </w:pPr>
                  <w:r>
                    <w:t>44.7</w:t>
                  </w:r>
                </w:p>
              </w:tc>
              <w:tc>
                <w:tcPr>
                  <w:tcW w:w="231" w:type="pct"/>
                  <w:tcBorders>
                    <w:tl2br w:val="nil"/>
                    <w:tr2bl w:val="nil"/>
                  </w:tcBorders>
                  <w:shd w:val="clear" w:color="auto" w:fill="auto"/>
                  <w:tcMar>
                    <w:top w:w="0" w:type="dxa"/>
                    <w:left w:w="0" w:type="dxa"/>
                    <w:bottom w:w="0" w:type="dxa"/>
                    <w:right w:w="0" w:type="dxa"/>
                  </w:tcMar>
                  <w:vAlign w:val="center"/>
                </w:tcPr>
                <w:p w14:paraId="3E9E24C9">
                  <w:pPr>
                    <w:pStyle w:val="40"/>
                    <w:bidi w:val="0"/>
                  </w:pPr>
                  <w:r>
                    <w:t>1</w:t>
                  </w:r>
                </w:p>
              </w:tc>
            </w:tr>
            <w:tr w14:paraId="0BD35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75" w:type="pct"/>
                  <w:tcBorders>
                    <w:tl2br w:val="nil"/>
                    <w:tr2bl w:val="nil"/>
                  </w:tcBorders>
                  <w:shd w:val="clear" w:color="auto" w:fill="auto"/>
                  <w:tcMar>
                    <w:top w:w="0" w:type="dxa"/>
                    <w:left w:w="0" w:type="dxa"/>
                    <w:bottom w:w="0" w:type="dxa"/>
                    <w:right w:w="0" w:type="dxa"/>
                  </w:tcMar>
                  <w:vAlign w:val="center"/>
                </w:tcPr>
                <w:p w14:paraId="3833666C">
                  <w:pPr>
                    <w:pStyle w:val="40"/>
                    <w:bidi w:val="0"/>
                  </w:pPr>
                  <w:r>
                    <w:t>9</w:t>
                  </w:r>
                </w:p>
              </w:tc>
              <w:tc>
                <w:tcPr>
                  <w:tcW w:w="199" w:type="pct"/>
                  <w:vMerge w:val="restart"/>
                  <w:tcBorders>
                    <w:tl2br w:val="nil"/>
                    <w:tr2bl w:val="nil"/>
                  </w:tcBorders>
                  <w:shd w:val="clear" w:color="auto" w:fill="auto"/>
                  <w:tcMar>
                    <w:top w:w="0" w:type="dxa"/>
                    <w:left w:w="0" w:type="dxa"/>
                    <w:bottom w:w="0" w:type="dxa"/>
                    <w:right w:w="0" w:type="dxa"/>
                  </w:tcMar>
                  <w:vAlign w:val="center"/>
                </w:tcPr>
                <w:p w14:paraId="466C4FA3">
                  <w:pPr>
                    <w:pStyle w:val="40"/>
                    <w:bidi w:val="0"/>
                  </w:pPr>
                  <w:r>
                    <w:rPr>
                      <w:rFonts w:hint="eastAsia"/>
                      <w:lang w:val="en-US" w:eastAsia="zh-CN"/>
                    </w:rPr>
                    <w:t>3</w:t>
                  </w:r>
                  <w:r>
                    <w:t>#</w:t>
                  </w:r>
                  <w:r>
                    <w:rPr>
                      <w:rFonts w:hint="eastAsia"/>
                      <w:lang w:val="en-US" w:eastAsia="zh-CN"/>
                    </w:rPr>
                    <w:t>厂房</w:t>
                  </w:r>
                </w:p>
              </w:tc>
              <w:tc>
                <w:tcPr>
                  <w:tcW w:w="565" w:type="pct"/>
                  <w:tcBorders>
                    <w:tl2br w:val="nil"/>
                    <w:tr2bl w:val="nil"/>
                  </w:tcBorders>
                  <w:shd w:val="clear" w:color="auto" w:fill="auto"/>
                  <w:tcMar>
                    <w:top w:w="0" w:type="dxa"/>
                    <w:left w:w="0" w:type="dxa"/>
                    <w:bottom w:w="0" w:type="dxa"/>
                    <w:right w:w="0" w:type="dxa"/>
                  </w:tcMar>
                  <w:vAlign w:val="center"/>
                </w:tcPr>
                <w:p w14:paraId="0D237F3F">
                  <w:pPr>
                    <w:pStyle w:val="40"/>
                    <w:bidi w:val="0"/>
                  </w:pPr>
                  <w:r>
                    <w:t>双轴搅拌机,2台（按点声源组预测）</w:t>
                  </w:r>
                </w:p>
              </w:tc>
              <w:tc>
                <w:tcPr>
                  <w:tcW w:w="362" w:type="pct"/>
                  <w:tcBorders>
                    <w:tl2br w:val="nil"/>
                    <w:tr2bl w:val="nil"/>
                  </w:tcBorders>
                  <w:shd w:val="clear" w:color="auto" w:fill="auto"/>
                  <w:tcMar>
                    <w:top w:w="0" w:type="dxa"/>
                    <w:left w:w="0" w:type="dxa"/>
                    <w:bottom w:w="0" w:type="dxa"/>
                    <w:right w:w="0" w:type="dxa"/>
                  </w:tcMar>
                  <w:vAlign w:val="center"/>
                </w:tcPr>
                <w:p w14:paraId="146F5258">
                  <w:pPr>
                    <w:pStyle w:val="40"/>
                    <w:bidi w:val="0"/>
                  </w:pPr>
                  <w:r>
                    <w:t>85（等效后：88.0)</w:t>
                  </w:r>
                </w:p>
              </w:tc>
              <w:tc>
                <w:tcPr>
                  <w:tcW w:w="204" w:type="pct"/>
                  <w:vMerge w:val="continue"/>
                  <w:tcBorders>
                    <w:tl2br w:val="nil"/>
                    <w:tr2bl w:val="nil"/>
                  </w:tcBorders>
                  <w:shd w:val="clear" w:color="auto" w:fill="auto"/>
                  <w:tcMar>
                    <w:top w:w="0" w:type="dxa"/>
                    <w:left w:w="0" w:type="dxa"/>
                    <w:bottom w:w="0" w:type="dxa"/>
                    <w:right w:w="0" w:type="dxa"/>
                  </w:tcMar>
                  <w:vAlign w:val="center"/>
                </w:tcPr>
                <w:p w14:paraId="4002FEEB">
                  <w:pPr>
                    <w:pStyle w:val="40"/>
                    <w:bidi w:val="0"/>
                  </w:pPr>
                </w:p>
              </w:tc>
              <w:tc>
                <w:tcPr>
                  <w:tcW w:w="181" w:type="pct"/>
                  <w:tcBorders>
                    <w:tl2br w:val="nil"/>
                    <w:tr2bl w:val="nil"/>
                  </w:tcBorders>
                  <w:shd w:val="clear" w:color="auto" w:fill="auto"/>
                  <w:tcMar>
                    <w:top w:w="0" w:type="dxa"/>
                    <w:left w:w="0" w:type="dxa"/>
                    <w:bottom w:w="0" w:type="dxa"/>
                    <w:right w:w="0" w:type="dxa"/>
                  </w:tcMar>
                  <w:vAlign w:val="center"/>
                </w:tcPr>
                <w:p w14:paraId="5A0E36FC">
                  <w:pPr>
                    <w:pStyle w:val="40"/>
                    <w:bidi w:val="0"/>
                  </w:pPr>
                  <w:r>
                    <w:t>-87.9</w:t>
                  </w:r>
                </w:p>
              </w:tc>
              <w:tc>
                <w:tcPr>
                  <w:tcW w:w="162" w:type="pct"/>
                  <w:tcBorders>
                    <w:tl2br w:val="nil"/>
                    <w:tr2bl w:val="nil"/>
                  </w:tcBorders>
                  <w:shd w:val="clear" w:color="auto" w:fill="auto"/>
                  <w:tcMar>
                    <w:top w:w="0" w:type="dxa"/>
                    <w:left w:w="0" w:type="dxa"/>
                    <w:bottom w:w="0" w:type="dxa"/>
                    <w:right w:w="0" w:type="dxa"/>
                  </w:tcMar>
                  <w:vAlign w:val="center"/>
                </w:tcPr>
                <w:p w14:paraId="1C4AC341">
                  <w:pPr>
                    <w:pStyle w:val="40"/>
                    <w:bidi w:val="0"/>
                  </w:pPr>
                  <w:r>
                    <w:t>-37.5</w:t>
                  </w:r>
                </w:p>
              </w:tc>
              <w:tc>
                <w:tcPr>
                  <w:tcW w:w="143" w:type="pct"/>
                  <w:tcBorders>
                    <w:tl2br w:val="nil"/>
                    <w:tr2bl w:val="nil"/>
                  </w:tcBorders>
                  <w:shd w:val="clear" w:color="auto" w:fill="auto"/>
                  <w:tcMar>
                    <w:top w:w="0" w:type="dxa"/>
                    <w:left w:w="0" w:type="dxa"/>
                    <w:bottom w:w="0" w:type="dxa"/>
                    <w:right w:w="0" w:type="dxa"/>
                  </w:tcMar>
                  <w:vAlign w:val="center"/>
                </w:tcPr>
                <w:p w14:paraId="70D4E47E">
                  <w:pPr>
                    <w:pStyle w:val="40"/>
                    <w:bidi w:val="0"/>
                  </w:pPr>
                  <w:r>
                    <w:t>1.2</w:t>
                  </w:r>
                </w:p>
              </w:tc>
              <w:tc>
                <w:tcPr>
                  <w:tcW w:w="181" w:type="pct"/>
                  <w:tcBorders>
                    <w:tl2br w:val="nil"/>
                    <w:tr2bl w:val="nil"/>
                  </w:tcBorders>
                  <w:shd w:val="clear" w:color="auto" w:fill="auto"/>
                  <w:tcMar>
                    <w:top w:w="0" w:type="dxa"/>
                    <w:left w:w="0" w:type="dxa"/>
                    <w:bottom w:w="0" w:type="dxa"/>
                    <w:right w:w="0" w:type="dxa"/>
                  </w:tcMar>
                  <w:vAlign w:val="center"/>
                </w:tcPr>
                <w:p w14:paraId="53B1802C">
                  <w:pPr>
                    <w:pStyle w:val="40"/>
                    <w:bidi w:val="0"/>
                  </w:pPr>
                  <w:r>
                    <w:t>156.0</w:t>
                  </w:r>
                </w:p>
              </w:tc>
              <w:tc>
                <w:tcPr>
                  <w:tcW w:w="172" w:type="pct"/>
                  <w:tcBorders>
                    <w:tl2br w:val="nil"/>
                    <w:tr2bl w:val="nil"/>
                  </w:tcBorders>
                  <w:shd w:val="clear" w:color="auto" w:fill="auto"/>
                  <w:tcMar>
                    <w:top w:w="0" w:type="dxa"/>
                    <w:left w:w="0" w:type="dxa"/>
                    <w:bottom w:w="0" w:type="dxa"/>
                    <w:right w:w="0" w:type="dxa"/>
                  </w:tcMar>
                  <w:vAlign w:val="center"/>
                </w:tcPr>
                <w:p w14:paraId="50A5C62C">
                  <w:pPr>
                    <w:pStyle w:val="40"/>
                    <w:bidi w:val="0"/>
                  </w:pPr>
                  <w:r>
                    <w:t>24.6</w:t>
                  </w:r>
                </w:p>
              </w:tc>
              <w:tc>
                <w:tcPr>
                  <w:tcW w:w="153" w:type="pct"/>
                  <w:tcBorders>
                    <w:tl2br w:val="nil"/>
                    <w:tr2bl w:val="nil"/>
                  </w:tcBorders>
                  <w:shd w:val="clear" w:color="auto" w:fill="auto"/>
                  <w:tcMar>
                    <w:top w:w="0" w:type="dxa"/>
                    <w:left w:w="0" w:type="dxa"/>
                    <w:bottom w:w="0" w:type="dxa"/>
                    <w:right w:w="0" w:type="dxa"/>
                  </w:tcMar>
                  <w:vAlign w:val="center"/>
                </w:tcPr>
                <w:p w14:paraId="4EDD3689">
                  <w:pPr>
                    <w:pStyle w:val="40"/>
                    <w:bidi w:val="0"/>
                  </w:pPr>
                  <w:r>
                    <w:t>24.5</w:t>
                  </w:r>
                </w:p>
              </w:tc>
              <w:tc>
                <w:tcPr>
                  <w:tcW w:w="172" w:type="pct"/>
                  <w:tcBorders>
                    <w:tl2br w:val="nil"/>
                    <w:tr2bl w:val="nil"/>
                  </w:tcBorders>
                  <w:shd w:val="clear" w:color="auto" w:fill="auto"/>
                  <w:tcMar>
                    <w:top w:w="0" w:type="dxa"/>
                    <w:left w:w="0" w:type="dxa"/>
                    <w:bottom w:w="0" w:type="dxa"/>
                    <w:right w:w="0" w:type="dxa"/>
                  </w:tcMar>
                  <w:vAlign w:val="center"/>
                </w:tcPr>
                <w:p w14:paraId="2437969F">
                  <w:pPr>
                    <w:pStyle w:val="40"/>
                    <w:bidi w:val="0"/>
                  </w:pPr>
                  <w:r>
                    <w:t>19.6</w:t>
                  </w:r>
                </w:p>
              </w:tc>
              <w:tc>
                <w:tcPr>
                  <w:tcW w:w="167" w:type="pct"/>
                  <w:tcBorders>
                    <w:tl2br w:val="nil"/>
                    <w:tr2bl w:val="nil"/>
                  </w:tcBorders>
                  <w:shd w:val="clear" w:color="auto" w:fill="auto"/>
                  <w:tcMar>
                    <w:top w:w="0" w:type="dxa"/>
                    <w:left w:w="0" w:type="dxa"/>
                    <w:bottom w:w="0" w:type="dxa"/>
                    <w:right w:w="0" w:type="dxa"/>
                  </w:tcMar>
                  <w:vAlign w:val="center"/>
                </w:tcPr>
                <w:p w14:paraId="3688504F">
                  <w:pPr>
                    <w:pStyle w:val="40"/>
                    <w:bidi w:val="0"/>
                  </w:pPr>
                  <w:r>
                    <w:t>68.6</w:t>
                  </w:r>
                </w:p>
              </w:tc>
              <w:tc>
                <w:tcPr>
                  <w:tcW w:w="172" w:type="pct"/>
                  <w:tcBorders>
                    <w:tl2br w:val="nil"/>
                    <w:tr2bl w:val="nil"/>
                  </w:tcBorders>
                  <w:shd w:val="clear" w:color="auto" w:fill="auto"/>
                  <w:tcMar>
                    <w:top w:w="0" w:type="dxa"/>
                    <w:left w:w="0" w:type="dxa"/>
                    <w:bottom w:w="0" w:type="dxa"/>
                    <w:right w:w="0" w:type="dxa"/>
                  </w:tcMar>
                  <w:vAlign w:val="center"/>
                </w:tcPr>
                <w:p w14:paraId="22C39F5E">
                  <w:pPr>
                    <w:pStyle w:val="40"/>
                    <w:bidi w:val="0"/>
                  </w:pPr>
                  <w:r>
                    <w:t>68.7</w:t>
                  </w:r>
                </w:p>
              </w:tc>
              <w:tc>
                <w:tcPr>
                  <w:tcW w:w="162" w:type="pct"/>
                  <w:tcBorders>
                    <w:tl2br w:val="nil"/>
                    <w:tr2bl w:val="nil"/>
                  </w:tcBorders>
                  <w:shd w:val="clear" w:color="auto" w:fill="auto"/>
                  <w:tcMar>
                    <w:top w:w="0" w:type="dxa"/>
                    <w:left w:w="0" w:type="dxa"/>
                    <w:bottom w:w="0" w:type="dxa"/>
                    <w:right w:w="0" w:type="dxa"/>
                  </w:tcMar>
                  <w:vAlign w:val="center"/>
                </w:tcPr>
                <w:p w14:paraId="5748883A">
                  <w:pPr>
                    <w:pStyle w:val="40"/>
                    <w:bidi w:val="0"/>
                  </w:pPr>
                  <w:r>
                    <w:t>68.7</w:t>
                  </w:r>
                </w:p>
              </w:tc>
              <w:tc>
                <w:tcPr>
                  <w:tcW w:w="153" w:type="pct"/>
                  <w:tcBorders>
                    <w:tl2br w:val="nil"/>
                    <w:tr2bl w:val="nil"/>
                  </w:tcBorders>
                  <w:shd w:val="clear" w:color="auto" w:fill="auto"/>
                  <w:tcMar>
                    <w:top w:w="0" w:type="dxa"/>
                    <w:left w:w="0" w:type="dxa"/>
                    <w:bottom w:w="0" w:type="dxa"/>
                    <w:right w:w="0" w:type="dxa"/>
                  </w:tcMar>
                  <w:vAlign w:val="center"/>
                </w:tcPr>
                <w:p w14:paraId="0E71539E">
                  <w:pPr>
                    <w:pStyle w:val="40"/>
                    <w:bidi w:val="0"/>
                  </w:pPr>
                  <w:r>
                    <w:t>68.7</w:t>
                  </w:r>
                </w:p>
              </w:tc>
              <w:tc>
                <w:tcPr>
                  <w:tcW w:w="167" w:type="pct"/>
                  <w:tcBorders>
                    <w:tl2br w:val="nil"/>
                    <w:tr2bl w:val="nil"/>
                  </w:tcBorders>
                  <w:shd w:val="clear" w:color="auto" w:fill="auto"/>
                  <w:tcMar>
                    <w:top w:w="0" w:type="dxa"/>
                    <w:left w:w="0" w:type="dxa"/>
                    <w:bottom w:w="0" w:type="dxa"/>
                    <w:right w:w="0" w:type="dxa"/>
                  </w:tcMar>
                  <w:vAlign w:val="center"/>
                </w:tcPr>
                <w:p w14:paraId="1A888782">
                  <w:pPr>
                    <w:pStyle w:val="40"/>
                    <w:bidi w:val="0"/>
                  </w:pPr>
                  <w:r>
                    <w:t>8.0</w:t>
                  </w:r>
                </w:p>
              </w:tc>
              <w:tc>
                <w:tcPr>
                  <w:tcW w:w="153" w:type="pct"/>
                  <w:tcBorders>
                    <w:tl2br w:val="nil"/>
                    <w:tr2bl w:val="nil"/>
                  </w:tcBorders>
                  <w:shd w:val="clear" w:color="auto" w:fill="auto"/>
                  <w:tcMar>
                    <w:top w:w="0" w:type="dxa"/>
                    <w:left w:w="0" w:type="dxa"/>
                    <w:bottom w:w="0" w:type="dxa"/>
                    <w:right w:w="0" w:type="dxa"/>
                  </w:tcMar>
                  <w:vAlign w:val="center"/>
                </w:tcPr>
                <w:p w14:paraId="53729831">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5812D445">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11B90421">
                  <w:pPr>
                    <w:pStyle w:val="40"/>
                    <w:bidi w:val="0"/>
                  </w:pPr>
                  <w:r>
                    <w:t>26.0</w:t>
                  </w:r>
                </w:p>
              </w:tc>
              <w:tc>
                <w:tcPr>
                  <w:tcW w:w="157" w:type="pct"/>
                  <w:tcBorders>
                    <w:tl2br w:val="nil"/>
                    <w:tr2bl w:val="nil"/>
                  </w:tcBorders>
                  <w:shd w:val="clear" w:color="auto" w:fill="auto"/>
                  <w:tcMar>
                    <w:top w:w="0" w:type="dxa"/>
                    <w:left w:w="0" w:type="dxa"/>
                    <w:bottom w:w="0" w:type="dxa"/>
                    <w:right w:w="0" w:type="dxa"/>
                  </w:tcMar>
                  <w:vAlign w:val="center"/>
                </w:tcPr>
                <w:p w14:paraId="38D4BC92">
                  <w:pPr>
                    <w:pStyle w:val="40"/>
                    <w:bidi w:val="0"/>
                  </w:pPr>
                  <w:r>
                    <w:t>26.0</w:t>
                  </w:r>
                </w:p>
              </w:tc>
              <w:tc>
                <w:tcPr>
                  <w:tcW w:w="167" w:type="pct"/>
                  <w:tcBorders>
                    <w:tl2br w:val="nil"/>
                    <w:tr2bl w:val="nil"/>
                  </w:tcBorders>
                  <w:shd w:val="clear" w:color="auto" w:fill="auto"/>
                  <w:tcMar>
                    <w:top w:w="0" w:type="dxa"/>
                    <w:left w:w="0" w:type="dxa"/>
                    <w:bottom w:w="0" w:type="dxa"/>
                    <w:right w:w="0" w:type="dxa"/>
                  </w:tcMar>
                  <w:vAlign w:val="center"/>
                </w:tcPr>
                <w:p w14:paraId="1FDD0354">
                  <w:pPr>
                    <w:pStyle w:val="40"/>
                    <w:bidi w:val="0"/>
                  </w:pPr>
                  <w:r>
                    <w:t>42.6</w:t>
                  </w:r>
                </w:p>
              </w:tc>
              <w:tc>
                <w:tcPr>
                  <w:tcW w:w="158" w:type="pct"/>
                  <w:tcBorders>
                    <w:tl2br w:val="nil"/>
                    <w:tr2bl w:val="nil"/>
                  </w:tcBorders>
                  <w:shd w:val="clear" w:color="auto" w:fill="auto"/>
                  <w:tcMar>
                    <w:top w:w="0" w:type="dxa"/>
                    <w:left w:w="0" w:type="dxa"/>
                    <w:bottom w:w="0" w:type="dxa"/>
                    <w:right w:w="0" w:type="dxa"/>
                  </w:tcMar>
                  <w:vAlign w:val="center"/>
                </w:tcPr>
                <w:p w14:paraId="6AC5871D">
                  <w:pPr>
                    <w:pStyle w:val="40"/>
                    <w:bidi w:val="0"/>
                  </w:pPr>
                  <w:r>
                    <w:t>42.7</w:t>
                  </w:r>
                </w:p>
              </w:tc>
              <w:tc>
                <w:tcPr>
                  <w:tcW w:w="153" w:type="pct"/>
                  <w:tcBorders>
                    <w:tl2br w:val="nil"/>
                    <w:tr2bl w:val="nil"/>
                  </w:tcBorders>
                  <w:shd w:val="clear" w:color="auto" w:fill="auto"/>
                  <w:tcMar>
                    <w:top w:w="0" w:type="dxa"/>
                    <w:left w:w="0" w:type="dxa"/>
                    <w:bottom w:w="0" w:type="dxa"/>
                    <w:right w:w="0" w:type="dxa"/>
                  </w:tcMar>
                  <w:vAlign w:val="center"/>
                </w:tcPr>
                <w:p w14:paraId="4C8A8A72">
                  <w:pPr>
                    <w:pStyle w:val="40"/>
                    <w:bidi w:val="0"/>
                  </w:pPr>
                  <w:r>
                    <w:t>42.7</w:t>
                  </w:r>
                </w:p>
              </w:tc>
              <w:tc>
                <w:tcPr>
                  <w:tcW w:w="155" w:type="pct"/>
                  <w:tcBorders>
                    <w:tl2br w:val="nil"/>
                    <w:tr2bl w:val="nil"/>
                  </w:tcBorders>
                  <w:shd w:val="clear" w:color="auto" w:fill="auto"/>
                  <w:tcMar>
                    <w:top w:w="0" w:type="dxa"/>
                    <w:left w:w="0" w:type="dxa"/>
                    <w:bottom w:w="0" w:type="dxa"/>
                    <w:right w:w="0" w:type="dxa"/>
                  </w:tcMar>
                  <w:vAlign w:val="center"/>
                </w:tcPr>
                <w:p w14:paraId="2908202D">
                  <w:pPr>
                    <w:pStyle w:val="40"/>
                    <w:bidi w:val="0"/>
                  </w:pPr>
                  <w:r>
                    <w:t>42.7</w:t>
                  </w:r>
                </w:p>
              </w:tc>
              <w:tc>
                <w:tcPr>
                  <w:tcW w:w="231" w:type="pct"/>
                  <w:tcBorders>
                    <w:tl2br w:val="nil"/>
                    <w:tr2bl w:val="nil"/>
                  </w:tcBorders>
                  <w:shd w:val="clear" w:color="auto" w:fill="auto"/>
                  <w:tcMar>
                    <w:top w:w="0" w:type="dxa"/>
                    <w:left w:w="0" w:type="dxa"/>
                    <w:bottom w:w="0" w:type="dxa"/>
                    <w:right w:w="0" w:type="dxa"/>
                  </w:tcMar>
                  <w:vAlign w:val="center"/>
                </w:tcPr>
                <w:p w14:paraId="30BCDA83">
                  <w:pPr>
                    <w:pStyle w:val="40"/>
                    <w:bidi w:val="0"/>
                  </w:pPr>
                  <w:r>
                    <w:t>1</w:t>
                  </w:r>
                </w:p>
              </w:tc>
            </w:tr>
            <w:tr w14:paraId="3FA7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9" w:hRule="atLeast"/>
                <w:jc w:val="center"/>
              </w:trPr>
              <w:tc>
                <w:tcPr>
                  <w:tcW w:w="175" w:type="pct"/>
                  <w:tcBorders>
                    <w:tl2br w:val="nil"/>
                    <w:tr2bl w:val="nil"/>
                  </w:tcBorders>
                  <w:shd w:val="clear" w:color="auto" w:fill="auto"/>
                  <w:tcMar>
                    <w:top w:w="0" w:type="dxa"/>
                    <w:left w:w="0" w:type="dxa"/>
                    <w:bottom w:w="0" w:type="dxa"/>
                    <w:right w:w="0" w:type="dxa"/>
                  </w:tcMar>
                  <w:vAlign w:val="center"/>
                </w:tcPr>
                <w:p w14:paraId="42E66702">
                  <w:pPr>
                    <w:pStyle w:val="40"/>
                    <w:bidi w:val="0"/>
                  </w:pPr>
                  <w:r>
                    <w:t>10</w:t>
                  </w:r>
                </w:p>
              </w:tc>
              <w:tc>
                <w:tcPr>
                  <w:tcW w:w="199" w:type="pct"/>
                  <w:vMerge w:val="continue"/>
                  <w:tcBorders>
                    <w:tl2br w:val="nil"/>
                    <w:tr2bl w:val="nil"/>
                  </w:tcBorders>
                  <w:shd w:val="clear" w:color="auto" w:fill="auto"/>
                  <w:tcMar>
                    <w:top w:w="0" w:type="dxa"/>
                    <w:left w:w="0" w:type="dxa"/>
                    <w:bottom w:w="0" w:type="dxa"/>
                    <w:right w:w="0" w:type="dxa"/>
                  </w:tcMar>
                  <w:vAlign w:val="center"/>
                </w:tcPr>
                <w:p w14:paraId="7B25A30D">
                  <w:pPr>
                    <w:pStyle w:val="40"/>
                    <w:bidi w:val="0"/>
                  </w:pPr>
                </w:p>
              </w:tc>
              <w:tc>
                <w:tcPr>
                  <w:tcW w:w="565" w:type="pct"/>
                  <w:tcBorders>
                    <w:tl2br w:val="nil"/>
                    <w:tr2bl w:val="nil"/>
                  </w:tcBorders>
                  <w:shd w:val="clear" w:color="auto" w:fill="auto"/>
                  <w:tcMar>
                    <w:top w:w="0" w:type="dxa"/>
                    <w:left w:w="0" w:type="dxa"/>
                    <w:bottom w:w="0" w:type="dxa"/>
                    <w:right w:w="0" w:type="dxa"/>
                  </w:tcMar>
                  <w:vAlign w:val="center"/>
                </w:tcPr>
                <w:p w14:paraId="1903CCFF">
                  <w:pPr>
                    <w:pStyle w:val="40"/>
                    <w:bidi w:val="0"/>
                  </w:pPr>
                  <w:r>
                    <w:t>斗式提升机,2台（按点声源组预测）</w:t>
                  </w:r>
                </w:p>
              </w:tc>
              <w:tc>
                <w:tcPr>
                  <w:tcW w:w="362" w:type="pct"/>
                  <w:tcBorders>
                    <w:tl2br w:val="nil"/>
                    <w:tr2bl w:val="nil"/>
                  </w:tcBorders>
                  <w:shd w:val="clear" w:color="auto" w:fill="auto"/>
                  <w:tcMar>
                    <w:top w:w="0" w:type="dxa"/>
                    <w:left w:w="0" w:type="dxa"/>
                    <w:bottom w:w="0" w:type="dxa"/>
                    <w:right w:w="0" w:type="dxa"/>
                  </w:tcMar>
                  <w:vAlign w:val="center"/>
                </w:tcPr>
                <w:p w14:paraId="0F34B6B8">
                  <w:pPr>
                    <w:pStyle w:val="40"/>
                    <w:bidi w:val="0"/>
                  </w:pPr>
                  <w:r>
                    <w:t>78（等效后：81.0)</w:t>
                  </w:r>
                </w:p>
              </w:tc>
              <w:tc>
                <w:tcPr>
                  <w:tcW w:w="204" w:type="pct"/>
                  <w:vMerge w:val="continue"/>
                  <w:tcBorders>
                    <w:tl2br w:val="nil"/>
                    <w:tr2bl w:val="nil"/>
                  </w:tcBorders>
                  <w:shd w:val="clear" w:color="auto" w:fill="auto"/>
                  <w:tcMar>
                    <w:top w:w="0" w:type="dxa"/>
                    <w:left w:w="0" w:type="dxa"/>
                    <w:bottom w:w="0" w:type="dxa"/>
                    <w:right w:w="0" w:type="dxa"/>
                  </w:tcMar>
                  <w:vAlign w:val="center"/>
                </w:tcPr>
                <w:p w14:paraId="5E896D30">
                  <w:pPr>
                    <w:pStyle w:val="40"/>
                    <w:bidi w:val="0"/>
                  </w:pPr>
                </w:p>
              </w:tc>
              <w:tc>
                <w:tcPr>
                  <w:tcW w:w="181" w:type="pct"/>
                  <w:tcBorders>
                    <w:tl2br w:val="nil"/>
                    <w:tr2bl w:val="nil"/>
                  </w:tcBorders>
                  <w:shd w:val="clear" w:color="auto" w:fill="auto"/>
                  <w:tcMar>
                    <w:top w:w="0" w:type="dxa"/>
                    <w:left w:w="0" w:type="dxa"/>
                    <w:bottom w:w="0" w:type="dxa"/>
                    <w:right w:w="0" w:type="dxa"/>
                  </w:tcMar>
                  <w:vAlign w:val="center"/>
                </w:tcPr>
                <w:p w14:paraId="16360057">
                  <w:pPr>
                    <w:pStyle w:val="40"/>
                    <w:bidi w:val="0"/>
                  </w:pPr>
                  <w:r>
                    <w:t>-52.6</w:t>
                  </w:r>
                </w:p>
              </w:tc>
              <w:tc>
                <w:tcPr>
                  <w:tcW w:w="162" w:type="pct"/>
                  <w:tcBorders>
                    <w:tl2br w:val="nil"/>
                    <w:tr2bl w:val="nil"/>
                  </w:tcBorders>
                  <w:shd w:val="clear" w:color="auto" w:fill="auto"/>
                  <w:tcMar>
                    <w:top w:w="0" w:type="dxa"/>
                    <w:left w:w="0" w:type="dxa"/>
                    <w:bottom w:w="0" w:type="dxa"/>
                    <w:right w:w="0" w:type="dxa"/>
                  </w:tcMar>
                  <w:vAlign w:val="center"/>
                </w:tcPr>
                <w:p w14:paraId="354B78C0">
                  <w:pPr>
                    <w:pStyle w:val="40"/>
                    <w:bidi w:val="0"/>
                  </w:pPr>
                  <w:r>
                    <w:t>-41.2</w:t>
                  </w:r>
                </w:p>
              </w:tc>
              <w:tc>
                <w:tcPr>
                  <w:tcW w:w="143" w:type="pct"/>
                  <w:tcBorders>
                    <w:tl2br w:val="nil"/>
                    <w:tr2bl w:val="nil"/>
                  </w:tcBorders>
                  <w:shd w:val="clear" w:color="auto" w:fill="auto"/>
                  <w:tcMar>
                    <w:top w:w="0" w:type="dxa"/>
                    <w:left w:w="0" w:type="dxa"/>
                    <w:bottom w:w="0" w:type="dxa"/>
                    <w:right w:w="0" w:type="dxa"/>
                  </w:tcMar>
                  <w:vAlign w:val="center"/>
                </w:tcPr>
                <w:p w14:paraId="0A673218">
                  <w:pPr>
                    <w:pStyle w:val="40"/>
                    <w:bidi w:val="0"/>
                  </w:pPr>
                  <w:r>
                    <w:t>1.2</w:t>
                  </w:r>
                </w:p>
              </w:tc>
              <w:tc>
                <w:tcPr>
                  <w:tcW w:w="181" w:type="pct"/>
                  <w:tcBorders>
                    <w:tl2br w:val="nil"/>
                    <w:tr2bl w:val="nil"/>
                  </w:tcBorders>
                  <w:shd w:val="clear" w:color="auto" w:fill="auto"/>
                  <w:tcMar>
                    <w:top w:w="0" w:type="dxa"/>
                    <w:left w:w="0" w:type="dxa"/>
                    <w:bottom w:w="0" w:type="dxa"/>
                    <w:right w:w="0" w:type="dxa"/>
                  </w:tcMar>
                  <w:vAlign w:val="center"/>
                </w:tcPr>
                <w:p w14:paraId="0AB53FDA">
                  <w:pPr>
                    <w:pStyle w:val="40"/>
                    <w:bidi w:val="0"/>
                  </w:pPr>
                  <w:r>
                    <w:t>120.6</w:t>
                  </w:r>
                </w:p>
              </w:tc>
              <w:tc>
                <w:tcPr>
                  <w:tcW w:w="172" w:type="pct"/>
                  <w:tcBorders>
                    <w:tl2br w:val="nil"/>
                    <w:tr2bl w:val="nil"/>
                  </w:tcBorders>
                  <w:shd w:val="clear" w:color="auto" w:fill="auto"/>
                  <w:tcMar>
                    <w:top w:w="0" w:type="dxa"/>
                    <w:left w:w="0" w:type="dxa"/>
                    <w:bottom w:w="0" w:type="dxa"/>
                    <w:right w:w="0" w:type="dxa"/>
                  </w:tcMar>
                  <w:vAlign w:val="center"/>
                </w:tcPr>
                <w:p w14:paraId="10DBB4AD">
                  <w:pPr>
                    <w:pStyle w:val="40"/>
                    <w:bidi w:val="0"/>
                  </w:pPr>
                  <w:r>
                    <w:t>25.3</w:t>
                  </w:r>
                </w:p>
              </w:tc>
              <w:tc>
                <w:tcPr>
                  <w:tcW w:w="153" w:type="pct"/>
                  <w:tcBorders>
                    <w:tl2br w:val="nil"/>
                    <w:tr2bl w:val="nil"/>
                  </w:tcBorders>
                  <w:shd w:val="clear" w:color="auto" w:fill="auto"/>
                  <w:tcMar>
                    <w:top w:w="0" w:type="dxa"/>
                    <w:left w:w="0" w:type="dxa"/>
                    <w:bottom w:w="0" w:type="dxa"/>
                    <w:right w:w="0" w:type="dxa"/>
                  </w:tcMar>
                  <w:vAlign w:val="center"/>
                </w:tcPr>
                <w:p w14:paraId="5BA232E1">
                  <w:pPr>
                    <w:pStyle w:val="40"/>
                    <w:bidi w:val="0"/>
                  </w:pPr>
                  <w:r>
                    <w:t>59.9</w:t>
                  </w:r>
                </w:p>
              </w:tc>
              <w:tc>
                <w:tcPr>
                  <w:tcW w:w="172" w:type="pct"/>
                  <w:tcBorders>
                    <w:tl2br w:val="nil"/>
                    <w:tr2bl w:val="nil"/>
                  </w:tcBorders>
                  <w:shd w:val="clear" w:color="auto" w:fill="auto"/>
                  <w:tcMar>
                    <w:top w:w="0" w:type="dxa"/>
                    <w:left w:w="0" w:type="dxa"/>
                    <w:bottom w:w="0" w:type="dxa"/>
                    <w:right w:w="0" w:type="dxa"/>
                  </w:tcMar>
                  <w:vAlign w:val="center"/>
                </w:tcPr>
                <w:p w14:paraId="0DE73761">
                  <w:pPr>
                    <w:pStyle w:val="40"/>
                    <w:bidi w:val="0"/>
                  </w:pPr>
                  <w:r>
                    <w:t>18.9</w:t>
                  </w:r>
                </w:p>
              </w:tc>
              <w:tc>
                <w:tcPr>
                  <w:tcW w:w="167" w:type="pct"/>
                  <w:tcBorders>
                    <w:tl2br w:val="nil"/>
                    <w:tr2bl w:val="nil"/>
                  </w:tcBorders>
                  <w:shd w:val="clear" w:color="auto" w:fill="auto"/>
                  <w:tcMar>
                    <w:top w:w="0" w:type="dxa"/>
                    <w:left w:w="0" w:type="dxa"/>
                    <w:bottom w:w="0" w:type="dxa"/>
                    <w:right w:w="0" w:type="dxa"/>
                  </w:tcMar>
                  <w:vAlign w:val="center"/>
                </w:tcPr>
                <w:p w14:paraId="159F17BD">
                  <w:pPr>
                    <w:pStyle w:val="40"/>
                    <w:bidi w:val="0"/>
                  </w:pPr>
                  <w:r>
                    <w:t>61.6</w:t>
                  </w:r>
                </w:p>
              </w:tc>
              <w:tc>
                <w:tcPr>
                  <w:tcW w:w="172" w:type="pct"/>
                  <w:tcBorders>
                    <w:tl2br w:val="nil"/>
                    <w:tr2bl w:val="nil"/>
                  </w:tcBorders>
                  <w:shd w:val="clear" w:color="auto" w:fill="auto"/>
                  <w:tcMar>
                    <w:top w:w="0" w:type="dxa"/>
                    <w:left w:w="0" w:type="dxa"/>
                    <w:bottom w:w="0" w:type="dxa"/>
                    <w:right w:w="0" w:type="dxa"/>
                  </w:tcMar>
                  <w:vAlign w:val="center"/>
                </w:tcPr>
                <w:p w14:paraId="772AAF29">
                  <w:pPr>
                    <w:pStyle w:val="40"/>
                    <w:bidi w:val="0"/>
                  </w:pPr>
                  <w:r>
                    <w:t>61.7</w:t>
                  </w:r>
                </w:p>
              </w:tc>
              <w:tc>
                <w:tcPr>
                  <w:tcW w:w="162" w:type="pct"/>
                  <w:tcBorders>
                    <w:tl2br w:val="nil"/>
                    <w:tr2bl w:val="nil"/>
                  </w:tcBorders>
                  <w:shd w:val="clear" w:color="auto" w:fill="auto"/>
                  <w:tcMar>
                    <w:top w:w="0" w:type="dxa"/>
                    <w:left w:w="0" w:type="dxa"/>
                    <w:bottom w:w="0" w:type="dxa"/>
                    <w:right w:w="0" w:type="dxa"/>
                  </w:tcMar>
                  <w:vAlign w:val="center"/>
                </w:tcPr>
                <w:p w14:paraId="2F9B47A1">
                  <w:pPr>
                    <w:pStyle w:val="40"/>
                    <w:bidi w:val="0"/>
                  </w:pPr>
                  <w:r>
                    <w:t>61.7</w:t>
                  </w:r>
                </w:p>
              </w:tc>
              <w:tc>
                <w:tcPr>
                  <w:tcW w:w="153" w:type="pct"/>
                  <w:tcBorders>
                    <w:tl2br w:val="nil"/>
                    <w:tr2bl w:val="nil"/>
                  </w:tcBorders>
                  <w:shd w:val="clear" w:color="auto" w:fill="auto"/>
                  <w:tcMar>
                    <w:top w:w="0" w:type="dxa"/>
                    <w:left w:w="0" w:type="dxa"/>
                    <w:bottom w:w="0" w:type="dxa"/>
                    <w:right w:w="0" w:type="dxa"/>
                  </w:tcMar>
                  <w:vAlign w:val="center"/>
                </w:tcPr>
                <w:p w14:paraId="53A67AB6">
                  <w:pPr>
                    <w:pStyle w:val="40"/>
                    <w:bidi w:val="0"/>
                  </w:pPr>
                  <w:r>
                    <w:t>61.7</w:t>
                  </w:r>
                </w:p>
              </w:tc>
              <w:tc>
                <w:tcPr>
                  <w:tcW w:w="167" w:type="pct"/>
                  <w:tcBorders>
                    <w:tl2br w:val="nil"/>
                    <w:tr2bl w:val="nil"/>
                  </w:tcBorders>
                  <w:shd w:val="clear" w:color="auto" w:fill="auto"/>
                  <w:tcMar>
                    <w:top w:w="0" w:type="dxa"/>
                    <w:left w:w="0" w:type="dxa"/>
                    <w:bottom w:w="0" w:type="dxa"/>
                    <w:right w:w="0" w:type="dxa"/>
                  </w:tcMar>
                  <w:vAlign w:val="center"/>
                </w:tcPr>
                <w:p w14:paraId="763276BF">
                  <w:pPr>
                    <w:pStyle w:val="40"/>
                    <w:bidi w:val="0"/>
                  </w:pPr>
                  <w:r>
                    <w:t>8.0</w:t>
                  </w:r>
                </w:p>
              </w:tc>
              <w:tc>
                <w:tcPr>
                  <w:tcW w:w="153" w:type="pct"/>
                  <w:tcBorders>
                    <w:tl2br w:val="nil"/>
                    <w:tr2bl w:val="nil"/>
                  </w:tcBorders>
                  <w:shd w:val="clear" w:color="auto" w:fill="auto"/>
                  <w:tcMar>
                    <w:top w:w="0" w:type="dxa"/>
                    <w:left w:w="0" w:type="dxa"/>
                    <w:bottom w:w="0" w:type="dxa"/>
                    <w:right w:w="0" w:type="dxa"/>
                  </w:tcMar>
                  <w:vAlign w:val="center"/>
                </w:tcPr>
                <w:p w14:paraId="4C821C80">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6D6E6018">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28578F9F">
                  <w:pPr>
                    <w:pStyle w:val="40"/>
                    <w:bidi w:val="0"/>
                  </w:pPr>
                  <w:r>
                    <w:t>26.0</w:t>
                  </w:r>
                </w:p>
              </w:tc>
              <w:tc>
                <w:tcPr>
                  <w:tcW w:w="157" w:type="pct"/>
                  <w:tcBorders>
                    <w:tl2br w:val="nil"/>
                    <w:tr2bl w:val="nil"/>
                  </w:tcBorders>
                  <w:shd w:val="clear" w:color="auto" w:fill="auto"/>
                  <w:tcMar>
                    <w:top w:w="0" w:type="dxa"/>
                    <w:left w:w="0" w:type="dxa"/>
                    <w:bottom w:w="0" w:type="dxa"/>
                    <w:right w:w="0" w:type="dxa"/>
                  </w:tcMar>
                  <w:vAlign w:val="center"/>
                </w:tcPr>
                <w:p w14:paraId="247056F5">
                  <w:pPr>
                    <w:pStyle w:val="40"/>
                    <w:bidi w:val="0"/>
                  </w:pPr>
                  <w:r>
                    <w:t>26.0</w:t>
                  </w:r>
                </w:p>
              </w:tc>
              <w:tc>
                <w:tcPr>
                  <w:tcW w:w="167" w:type="pct"/>
                  <w:tcBorders>
                    <w:tl2br w:val="nil"/>
                    <w:tr2bl w:val="nil"/>
                  </w:tcBorders>
                  <w:shd w:val="clear" w:color="auto" w:fill="auto"/>
                  <w:tcMar>
                    <w:top w:w="0" w:type="dxa"/>
                    <w:left w:w="0" w:type="dxa"/>
                    <w:bottom w:w="0" w:type="dxa"/>
                    <w:right w:w="0" w:type="dxa"/>
                  </w:tcMar>
                  <w:vAlign w:val="center"/>
                </w:tcPr>
                <w:p w14:paraId="2884A9C5">
                  <w:pPr>
                    <w:pStyle w:val="40"/>
                    <w:bidi w:val="0"/>
                  </w:pPr>
                  <w:r>
                    <w:t>35.6</w:t>
                  </w:r>
                </w:p>
              </w:tc>
              <w:tc>
                <w:tcPr>
                  <w:tcW w:w="158" w:type="pct"/>
                  <w:tcBorders>
                    <w:tl2br w:val="nil"/>
                    <w:tr2bl w:val="nil"/>
                  </w:tcBorders>
                  <w:shd w:val="clear" w:color="auto" w:fill="auto"/>
                  <w:tcMar>
                    <w:top w:w="0" w:type="dxa"/>
                    <w:left w:w="0" w:type="dxa"/>
                    <w:bottom w:w="0" w:type="dxa"/>
                    <w:right w:w="0" w:type="dxa"/>
                  </w:tcMar>
                  <w:vAlign w:val="center"/>
                </w:tcPr>
                <w:p w14:paraId="6CA2503D">
                  <w:pPr>
                    <w:pStyle w:val="40"/>
                    <w:bidi w:val="0"/>
                  </w:pPr>
                  <w:r>
                    <w:t>35.7</w:t>
                  </w:r>
                </w:p>
              </w:tc>
              <w:tc>
                <w:tcPr>
                  <w:tcW w:w="153" w:type="pct"/>
                  <w:tcBorders>
                    <w:tl2br w:val="nil"/>
                    <w:tr2bl w:val="nil"/>
                  </w:tcBorders>
                  <w:shd w:val="clear" w:color="auto" w:fill="auto"/>
                  <w:tcMar>
                    <w:top w:w="0" w:type="dxa"/>
                    <w:left w:w="0" w:type="dxa"/>
                    <w:bottom w:w="0" w:type="dxa"/>
                    <w:right w:w="0" w:type="dxa"/>
                  </w:tcMar>
                  <w:vAlign w:val="center"/>
                </w:tcPr>
                <w:p w14:paraId="434DCBBA">
                  <w:pPr>
                    <w:pStyle w:val="40"/>
                    <w:bidi w:val="0"/>
                  </w:pPr>
                  <w:r>
                    <w:t>35.7</w:t>
                  </w:r>
                </w:p>
              </w:tc>
              <w:tc>
                <w:tcPr>
                  <w:tcW w:w="155" w:type="pct"/>
                  <w:tcBorders>
                    <w:tl2br w:val="nil"/>
                    <w:tr2bl w:val="nil"/>
                  </w:tcBorders>
                  <w:shd w:val="clear" w:color="auto" w:fill="auto"/>
                  <w:tcMar>
                    <w:top w:w="0" w:type="dxa"/>
                    <w:left w:w="0" w:type="dxa"/>
                    <w:bottom w:w="0" w:type="dxa"/>
                    <w:right w:w="0" w:type="dxa"/>
                  </w:tcMar>
                  <w:vAlign w:val="center"/>
                </w:tcPr>
                <w:p w14:paraId="4B7084C4">
                  <w:pPr>
                    <w:pStyle w:val="40"/>
                    <w:bidi w:val="0"/>
                  </w:pPr>
                  <w:r>
                    <w:t>35.7</w:t>
                  </w:r>
                </w:p>
              </w:tc>
              <w:tc>
                <w:tcPr>
                  <w:tcW w:w="231" w:type="pct"/>
                  <w:tcBorders>
                    <w:tl2br w:val="nil"/>
                    <w:tr2bl w:val="nil"/>
                  </w:tcBorders>
                  <w:shd w:val="clear" w:color="auto" w:fill="auto"/>
                  <w:tcMar>
                    <w:top w:w="0" w:type="dxa"/>
                    <w:left w:w="0" w:type="dxa"/>
                    <w:bottom w:w="0" w:type="dxa"/>
                    <w:right w:w="0" w:type="dxa"/>
                  </w:tcMar>
                  <w:vAlign w:val="center"/>
                </w:tcPr>
                <w:p w14:paraId="5AA5F15C">
                  <w:pPr>
                    <w:pStyle w:val="40"/>
                    <w:bidi w:val="0"/>
                  </w:pPr>
                  <w:r>
                    <w:t>1</w:t>
                  </w:r>
                </w:p>
              </w:tc>
            </w:tr>
            <w:tr w14:paraId="264A6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9" w:hRule="atLeast"/>
                <w:jc w:val="center"/>
              </w:trPr>
              <w:tc>
                <w:tcPr>
                  <w:tcW w:w="175" w:type="pct"/>
                  <w:tcBorders>
                    <w:tl2br w:val="nil"/>
                    <w:tr2bl w:val="nil"/>
                  </w:tcBorders>
                  <w:shd w:val="clear" w:color="auto" w:fill="auto"/>
                  <w:tcMar>
                    <w:top w:w="0" w:type="dxa"/>
                    <w:left w:w="0" w:type="dxa"/>
                    <w:bottom w:w="0" w:type="dxa"/>
                    <w:right w:w="0" w:type="dxa"/>
                  </w:tcMar>
                  <w:vAlign w:val="center"/>
                </w:tcPr>
                <w:p w14:paraId="3F1166E5">
                  <w:pPr>
                    <w:pStyle w:val="40"/>
                    <w:bidi w:val="0"/>
                    <w:rPr>
                      <w:rFonts w:hint="default" w:eastAsia="宋体"/>
                      <w:lang w:val="en-US" w:eastAsia="zh-CN"/>
                    </w:rPr>
                  </w:pPr>
                  <w:r>
                    <w:rPr>
                      <w:rFonts w:hint="eastAsia"/>
                      <w:lang w:val="en-US" w:eastAsia="zh-CN"/>
                    </w:rPr>
                    <w:t>11</w:t>
                  </w:r>
                </w:p>
              </w:tc>
              <w:tc>
                <w:tcPr>
                  <w:tcW w:w="199" w:type="pct"/>
                  <w:vMerge w:val="continue"/>
                  <w:tcBorders>
                    <w:tl2br w:val="nil"/>
                    <w:tr2bl w:val="nil"/>
                  </w:tcBorders>
                  <w:shd w:val="clear" w:color="auto" w:fill="auto"/>
                  <w:tcMar>
                    <w:top w:w="0" w:type="dxa"/>
                    <w:left w:w="0" w:type="dxa"/>
                    <w:bottom w:w="0" w:type="dxa"/>
                    <w:right w:w="0" w:type="dxa"/>
                  </w:tcMar>
                  <w:vAlign w:val="center"/>
                </w:tcPr>
                <w:p w14:paraId="10E1F1FA">
                  <w:pPr>
                    <w:pStyle w:val="40"/>
                    <w:bidi w:val="0"/>
                    <w:rPr>
                      <w:rFonts w:hint="eastAsia"/>
                      <w:lang w:val="en-US" w:eastAsia="zh-CN"/>
                    </w:rPr>
                  </w:pPr>
                </w:p>
              </w:tc>
              <w:tc>
                <w:tcPr>
                  <w:tcW w:w="565" w:type="pct"/>
                  <w:tcBorders>
                    <w:tl2br w:val="nil"/>
                    <w:tr2bl w:val="nil"/>
                  </w:tcBorders>
                  <w:shd w:val="clear" w:color="auto" w:fill="auto"/>
                  <w:tcMar>
                    <w:top w:w="0" w:type="dxa"/>
                    <w:left w:w="0" w:type="dxa"/>
                    <w:bottom w:w="0" w:type="dxa"/>
                    <w:right w:w="0" w:type="dxa"/>
                  </w:tcMar>
                  <w:vAlign w:val="center"/>
                </w:tcPr>
                <w:p w14:paraId="5D93A238">
                  <w:pPr>
                    <w:pStyle w:val="40"/>
                    <w:bidi w:val="0"/>
                  </w:pPr>
                  <w:r>
                    <w:t>螺旋布料器,2台（按点声源组预测）</w:t>
                  </w:r>
                </w:p>
              </w:tc>
              <w:tc>
                <w:tcPr>
                  <w:tcW w:w="362" w:type="pct"/>
                  <w:tcBorders>
                    <w:tl2br w:val="nil"/>
                    <w:tr2bl w:val="nil"/>
                  </w:tcBorders>
                  <w:shd w:val="clear" w:color="auto" w:fill="auto"/>
                  <w:tcMar>
                    <w:top w:w="0" w:type="dxa"/>
                    <w:left w:w="0" w:type="dxa"/>
                    <w:bottom w:w="0" w:type="dxa"/>
                    <w:right w:w="0" w:type="dxa"/>
                  </w:tcMar>
                  <w:vAlign w:val="center"/>
                </w:tcPr>
                <w:p w14:paraId="244B3CC7">
                  <w:pPr>
                    <w:pStyle w:val="40"/>
                    <w:bidi w:val="0"/>
                  </w:pPr>
                  <w:r>
                    <w:t>67（等效后：70.0)</w:t>
                  </w:r>
                </w:p>
              </w:tc>
              <w:tc>
                <w:tcPr>
                  <w:tcW w:w="204" w:type="pct"/>
                  <w:vMerge w:val="continue"/>
                  <w:tcBorders>
                    <w:tl2br w:val="nil"/>
                    <w:tr2bl w:val="nil"/>
                  </w:tcBorders>
                  <w:shd w:val="clear" w:color="auto" w:fill="auto"/>
                  <w:tcMar>
                    <w:top w:w="0" w:type="dxa"/>
                    <w:left w:w="0" w:type="dxa"/>
                    <w:bottom w:w="0" w:type="dxa"/>
                    <w:right w:w="0" w:type="dxa"/>
                  </w:tcMar>
                  <w:vAlign w:val="center"/>
                </w:tcPr>
                <w:p w14:paraId="01F4FF4E">
                  <w:pPr>
                    <w:pStyle w:val="40"/>
                    <w:bidi w:val="0"/>
                  </w:pPr>
                </w:p>
              </w:tc>
              <w:tc>
                <w:tcPr>
                  <w:tcW w:w="181" w:type="pct"/>
                  <w:tcBorders>
                    <w:tl2br w:val="nil"/>
                    <w:tr2bl w:val="nil"/>
                  </w:tcBorders>
                  <w:shd w:val="clear" w:color="auto" w:fill="auto"/>
                  <w:tcMar>
                    <w:top w:w="0" w:type="dxa"/>
                    <w:left w:w="0" w:type="dxa"/>
                    <w:bottom w:w="0" w:type="dxa"/>
                    <w:right w:w="0" w:type="dxa"/>
                  </w:tcMar>
                  <w:vAlign w:val="center"/>
                </w:tcPr>
                <w:p w14:paraId="6FF387FE">
                  <w:pPr>
                    <w:pStyle w:val="40"/>
                    <w:bidi w:val="0"/>
                  </w:pPr>
                  <w:r>
                    <w:t>-19.2</w:t>
                  </w:r>
                </w:p>
              </w:tc>
              <w:tc>
                <w:tcPr>
                  <w:tcW w:w="162" w:type="pct"/>
                  <w:tcBorders>
                    <w:tl2br w:val="nil"/>
                    <w:tr2bl w:val="nil"/>
                  </w:tcBorders>
                  <w:shd w:val="clear" w:color="auto" w:fill="auto"/>
                  <w:tcMar>
                    <w:top w:w="0" w:type="dxa"/>
                    <w:left w:w="0" w:type="dxa"/>
                    <w:bottom w:w="0" w:type="dxa"/>
                    <w:right w:w="0" w:type="dxa"/>
                  </w:tcMar>
                  <w:vAlign w:val="center"/>
                </w:tcPr>
                <w:p w14:paraId="4BA2D9E2">
                  <w:pPr>
                    <w:pStyle w:val="40"/>
                    <w:bidi w:val="0"/>
                  </w:pPr>
                  <w:r>
                    <w:t>-43.5</w:t>
                  </w:r>
                </w:p>
              </w:tc>
              <w:tc>
                <w:tcPr>
                  <w:tcW w:w="143" w:type="pct"/>
                  <w:tcBorders>
                    <w:tl2br w:val="nil"/>
                    <w:tr2bl w:val="nil"/>
                  </w:tcBorders>
                  <w:shd w:val="clear" w:color="auto" w:fill="auto"/>
                  <w:tcMar>
                    <w:top w:w="0" w:type="dxa"/>
                    <w:left w:w="0" w:type="dxa"/>
                    <w:bottom w:w="0" w:type="dxa"/>
                    <w:right w:w="0" w:type="dxa"/>
                  </w:tcMar>
                  <w:vAlign w:val="center"/>
                </w:tcPr>
                <w:p w14:paraId="6014DF86">
                  <w:pPr>
                    <w:pStyle w:val="40"/>
                    <w:bidi w:val="0"/>
                  </w:pPr>
                  <w:r>
                    <w:t>1.2</w:t>
                  </w:r>
                </w:p>
              </w:tc>
              <w:tc>
                <w:tcPr>
                  <w:tcW w:w="181" w:type="pct"/>
                  <w:tcBorders>
                    <w:tl2br w:val="nil"/>
                    <w:tr2bl w:val="nil"/>
                  </w:tcBorders>
                  <w:shd w:val="clear" w:color="auto" w:fill="auto"/>
                  <w:tcMar>
                    <w:top w:w="0" w:type="dxa"/>
                    <w:left w:w="0" w:type="dxa"/>
                    <w:bottom w:w="0" w:type="dxa"/>
                    <w:right w:w="0" w:type="dxa"/>
                  </w:tcMar>
                  <w:vAlign w:val="center"/>
                </w:tcPr>
                <w:p w14:paraId="51672DCE">
                  <w:pPr>
                    <w:pStyle w:val="40"/>
                    <w:bidi w:val="0"/>
                  </w:pPr>
                  <w:r>
                    <w:t>87.2</w:t>
                  </w:r>
                </w:p>
              </w:tc>
              <w:tc>
                <w:tcPr>
                  <w:tcW w:w="172" w:type="pct"/>
                  <w:tcBorders>
                    <w:tl2br w:val="nil"/>
                    <w:tr2bl w:val="nil"/>
                  </w:tcBorders>
                  <w:shd w:val="clear" w:color="auto" w:fill="auto"/>
                  <w:tcMar>
                    <w:top w:w="0" w:type="dxa"/>
                    <w:left w:w="0" w:type="dxa"/>
                    <w:bottom w:w="0" w:type="dxa"/>
                    <w:right w:w="0" w:type="dxa"/>
                  </w:tcMar>
                  <w:vAlign w:val="center"/>
                </w:tcPr>
                <w:p w14:paraId="380383C4">
                  <w:pPr>
                    <w:pStyle w:val="40"/>
                    <w:bidi w:val="0"/>
                  </w:pPr>
                  <w:r>
                    <w:t>27.2</w:t>
                  </w:r>
                </w:p>
              </w:tc>
              <w:tc>
                <w:tcPr>
                  <w:tcW w:w="153" w:type="pct"/>
                  <w:tcBorders>
                    <w:tl2br w:val="nil"/>
                    <w:tr2bl w:val="nil"/>
                  </w:tcBorders>
                  <w:shd w:val="clear" w:color="auto" w:fill="auto"/>
                  <w:tcMar>
                    <w:top w:w="0" w:type="dxa"/>
                    <w:left w:w="0" w:type="dxa"/>
                    <w:bottom w:w="0" w:type="dxa"/>
                    <w:right w:w="0" w:type="dxa"/>
                  </w:tcMar>
                  <w:vAlign w:val="center"/>
                </w:tcPr>
                <w:p w14:paraId="2C8615D6">
                  <w:pPr>
                    <w:pStyle w:val="40"/>
                    <w:bidi w:val="0"/>
                  </w:pPr>
                  <w:r>
                    <w:t>93.2</w:t>
                  </w:r>
                </w:p>
              </w:tc>
              <w:tc>
                <w:tcPr>
                  <w:tcW w:w="172" w:type="pct"/>
                  <w:tcBorders>
                    <w:tl2br w:val="nil"/>
                    <w:tr2bl w:val="nil"/>
                  </w:tcBorders>
                  <w:shd w:val="clear" w:color="auto" w:fill="auto"/>
                  <w:tcMar>
                    <w:top w:w="0" w:type="dxa"/>
                    <w:left w:w="0" w:type="dxa"/>
                    <w:bottom w:w="0" w:type="dxa"/>
                    <w:right w:w="0" w:type="dxa"/>
                  </w:tcMar>
                  <w:vAlign w:val="center"/>
                </w:tcPr>
                <w:p w14:paraId="22E9676A">
                  <w:pPr>
                    <w:pStyle w:val="40"/>
                    <w:bidi w:val="0"/>
                  </w:pPr>
                  <w:r>
                    <w:t>17.0</w:t>
                  </w:r>
                </w:p>
              </w:tc>
              <w:tc>
                <w:tcPr>
                  <w:tcW w:w="167" w:type="pct"/>
                  <w:tcBorders>
                    <w:tl2br w:val="nil"/>
                    <w:tr2bl w:val="nil"/>
                  </w:tcBorders>
                  <w:shd w:val="clear" w:color="auto" w:fill="auto"/>
                  <w:tcMar>
                    <w:top w:w="0" w:type="dxa"/>
                    <w:left w:w="0" w:type="dxa"/>
                    <w:bottom w:w="0" w:type="dxa"/>
                    <w:right w:w="0" w:type="dxa"/>
                  </w:tcMar>
                  <w:vAlign w:val="center"/>
                </w:tcPr>
                <w:p w14:paraId="2610B971">
                  <w:pPr>
                    <w:pStyle w:val="40"/>
                    <w:bidi w:val="0"/>
                  </w:pPr>
                  <w:r>
                    <w:t>50.7</w:t>
                  </w:r>
                </w:p>
              </w:tc>
              <w:tc>
                <w:tcPr>
                  <w:tcW w:w="172" w:type="pct"/>
                  <w:tcBorders>
                    <w:tl2br w:val="nil"/>
                    <w:tr2bl w:val="nil"/>
                  </w:tcBorders>
                  <w:shd w:val="clear" w:color="auto" w:fill="auto"/>
                  <w:tcMar>
                    <w:top w:w="0" w:type="dxa"/>
                    <w:left w:w="0" w:type="dxa"/>
                    <w:bottom w:w="0" w:type="dxa"/>
                    <w:right w:w="0" w:type="dxa"/>
                  </w:tcMar>
                  <w:vAlign w:val="center"/>
                </w:tcPr>
                <w:p w14:paraId="23DB4891">
                  <w:pPr>
                    <w:pStyle w:val="40"/>
                    <w:bidi w:val="0"/>
                  </w:pPr>
                  <w:r>
                    <w:t>50.7</w:t>
                  </w:r>
                </w:p>
              </w:tc>
              <w:tc>
                <w:tcPr>
                  <w:tcW w:w="162" w:type="pct"/>
                  <w:tcBorders>
                    <w:tl2br w:val="nil"/>
                    <w:tr2bl w:val="nil"/>
                  </w:tcBorders>
                  <w:shd w:val="clear" w:color="auto" w:fill="auto"/>
                  <w:tcMar>
                    <w:top w:w="0" w:type="dxa"/>
                    <w:left w:w="0" w:type="dxa"/>
                    <w:bottom w:w="0" w:type="dxa"/>
                    <w:right w:w="0" w:type="dxa"/>
                  </w:tcMar>
                  <w:vAlign w:val="center"/>
                </w:tcPr>
                <w:p w14:paraId="76005896">
                  <w:pPr>
                    <w:pStyle w:val="40"/>
                    <w:bidi w:val="0"/>
                  </w:pPr>
                  <w:r>
                    <w:t>50.6</w:t>
                  </w:r>
                </w:p>
              </w:tc>
              <w:tc>
                <w:tcPr>
                  <w:tcW w:w="153" w:type="pct"/>
                  <w:tcBorders>
                    <w:tl2br w:val="nil"/>
                    <w:tr2bl w:val="nil"/>
                  </w:tcBorders>
                  <w:shd w:val="clear" w:color="auto" w:fill="auto"/>
                  <w:tcMar>
                    <w:top w:w="0" w:type="dxa"/>
                    <w:left w:w="0" w:type="dxa"/>
                    <w:bottom w:w="0" w:type="dxa"/>
                    <w:right w:w="0" w:type="dxa"/>
                  </w:tcMar>
                  <w:vAlign w:val="center"/>
                </w:tcPr>
                <w:p w14:paraId="0918A89C">
                  <w:pPr>
                    <w:pStyle w:val="40"/>
                    <w:bidi w:val="0"/>
                  </w:pPr>
                  <w:r>
                    <w:t>50.7</w:t>
                  </w:r>
                </w:p>
              </w:tc>
              <w:tc>
                <w:tcPr>
                  <w:tcW w:w="167" w:type="pct"/>
                  <w:tcBorders>
                    <w:tl2br w:val="nil"/>
                    <w:tr2bl w:val="nil"/>
                  </w:tcBorders>
                  <w:shd w:val="clear" w:color="auto" w:fill="auto"/>
                  <w:tcMar>
                    <w:top w:w="0" w:type="dxa"/>
                    <w:left w:w="0" w:type="dxa"/>
                    <w:bottom w:w="0" w:type="dxa"/>
                    <w:right w:w="0" w:type="dxa"/>
                  </w:tcMar>
                  <w:vAlign w:val="center"/>
                </w:tcPr>
                <w:p w14:paraId="016437B0">
                  <w:pPr>
                    <w:pStyle w:val="40"/>
                    <w:bidi w:val="0"/>
                  </w:pPr>
                  <w:r>
                    <w:t>8.0</w:t>
                  </w:r>
                </w:p>
              </w:tc>
              <w:tc>
                <w:tcPr>
                  <w:tcW w:w="153" w:type="pct"/>
                  <w:tcBorders>
                    <w:tl2br w:val="nil"/>
                    <w:tr2bl w:val="nil"/>
                  </w:tcBorders>
                  <w:shd w:val="clear" w:color="auto" w:fill="auto"/>
                  <w:tcMar>
                    <w:top w:w="0" w:type="dxa"/>
                    <w:left w:w="0" w:type="dxa"/>
                    <w:bottom w:w="0" w:type="dxa"/>
                    <w:right w:w="0" w:type="dxa"/>
                  </w:tcMar>
                  <w:vAlign w:val="center"/>
                </w:tcPr>
                <w:p w14:paraId="187B1E0E">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4A5832E5">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453D25F1">
                  <w:pPr>
                    <w:pStyle w:val="40"/>
                    <w:bidi w:val="0"/>
                  </w:pPr>
                  <w:r>
                    <w:t>26.0</w:t>
                  </w:r>
                </w:p>
              </w:tc>
              <w:tc>
                <w:tcPr>
                  <w:tcW w:w="157" w:type="pct"/>
                  <w:tcBorders>
                    <w:tl2br w:val="nil"/>
                    <w:tr2bl w:val="nil"/>
                  </w:tcBorders>
                  <w:shd w:val="clear" w:color="auto" w:fill="auto"/>
                  <w:tcMar>
                    <w:top w:w="0" w:type="dxa"/>
                    <w:left w:w="0" w:type="dxa"/>
                    <w:bottom w:w="0" w:type="dxa"/>
                    <w:right w:w="0" w:type="dxa"/>
                  </w:tcMar>
                  <w:vAlign w:val="center"/>
                </w:tcPr>
                <w:p w14:paraId="35FC099D">
                  <w:pPr>
                    <w:pStyle w:val="40"/>
                    <w:bidi w:val="0"/>
                  </w:pPr>
                  <w:r>
                    <w:t>26.0</w:t>
                  </w:r>
                </w:p>
              </w:tc>
              <w:tc>
                <w:tcPr>
                  <w:tcW w:w="167" w:type="pct"/>
                  <w:tcBorders>
                    <w:tl2br w:val="nil"/>
                    <w:tr2bl w:val="nil"/>
                  </w:tcBorders>
                  <w:shd w:val="clear" w:color="auto" w:fill="auto"/>
                  <w:tcMar>
                    <w:top w:w="0" w:type="dxa"/>
                    <w:left w:w="0" w:type="dxa"/>
                    <w:bottom w:w="0" w:type="dxa"/>
                    <w:right w:w="0" w:type="dxa"/>
                  </w:tcMar>
                  <w:vAlign w:val="center"/>
                </w:tcPr>
                <w:p w14:paraId="384753F1">
                  <w:pPr>
                    <w:pStyle w:val="40"/>
                    <w:bidi w:val="0"/>
                  </w:pPr>
                  <w:r>
                    <w:t>24.7</w:t>
                  </w:r>
                </w:p>
              </w:tc>
              <w:tc>
                <w:tcPr>
                  <w:tcW w:w="158" w:type="pct"/>
                  <w:tcBorders>
                    <w:tl2br w:val="nil"/>
                    <w:tr2bl w:val="nil"/>
                  </w:tcBorders>
                  <w:shd w:val="clear" w:color="auto" w:fill="auto"/>
                  <w:tcMar>
                    <w:top w:w="0" w:type="dxa"/>
                    <w:left w:w="0" w:type="dxa"/>
                    <w:bottom w:w="0" w:type="dxa"/>
                    <w:right w:w="0" w:type="dxa"/>
                  </w:tcMar>
                  <w:vAlign w:val="center"/>
                </w:tcPr>
                <w:p w14:paraId="2C86259B">
                  <w:pPr>
                    <w:pStyle w:val="40"/>
                    <w:bidi w:val="0"/>
                  </w:pPr>
                  <w:r>
                    <w:t>24.7</w:t>
                  </w:r>
                </w:p>
              </w:tc>
              <w:tc>
                <w:tcPr>
                  <w:tcW w:w="153" w:type="pct"/>
                  <w:tcBorders>
                    <w:tl2br w:val="nil"/>
                    <w:tr2bl w:val="nil"/>
                  </w:tcBorders>
                  <w:shd w:val="clear" w:color="auto" w:fill="auto"/>
                  <w:tcMar>
                    <w:top w:w="0" w:type="dxa"/>
                    <w:left w:w="0" w:type="dxa"/>
                    <w:bottom w:w="0" w:type="dxa"/>
                    <w:right w:w="0" w:type="dxa"/>
                  </w:tcMar>
                  <w:vAlign w:val="center"/>
                </w:tcPr>
                <w:p w14:paraId="5DC55B8C">
                  <w:pPr>
                    <w:pStyle w:val="40"/>
                    <w:bidi w:val="0"/>
                  </w:pPr>
                  <w:r>
                    <w:t>24.6</w:t>
                  </w:r>
                </w:p>
              </w:tc>
              <w:tc>
                <w:tcPr>
                  <w:tcW w:w="155" w:type="pct"/>
                  <w:tcBorders>
                    <w:tl2br w:val="nil"/>
                    <w:tr2bl w:val="nil"/>
                  </w:tcBorders>
                  <w:shd w:val="clear" w:color="auto" w:fill="auto"/>
                  <w:tcMar>
                    <w:top w:w="0" w:type="dxa"/>
                    <w:left w:w="0" w:type="dxa"/>
                    <w:bottom w:w="0" w:type="dxa"/>
                    <w:right w:w="0" w:type="dxa"/>
                  </w:tcMar>
                  <w:vAlign w:val="center"/>
                </w:tcPr>
                <w:p w14:paraId="267775A6">
                  <w:pPr>
                    <w:pStyle w:val="40"/>
                    <w:bidi w:val="0"/>
                  </w:pPr>
                  <w:r>
                    <w:t>24.7</w:t>
                  </w:r>
                </w:p>
              </w:tc>
              <w:tc>
                <w:tcPr>
                  <w:tcW w:w="231" w:type="pct"/>
                  <w:tcBorders>
                    <w:tl2br w:val="nil"/>
                    <w:tr2bl w:val="nil"/>
                  </w:tcBorders>
                  <w:shd w:val="clear" w:color="auto" w:fill="auto"/>
                  <w:tcMar>
                    <w:top w:w="0" w:type="dxa"/>
                    <w:left w:w="0" w:type="dxa"/>
                    <w:bottom w:w="0" w:type="dxa"/>
                    <w:right w:w="0" w:type="dxa"/>
                  </w:tcMar>
                  <w:vAlign w:val="center"/>
                </w:tcPr>
                <w:p w14:paraId="19427FEA">
                  <w:pPr>
                    <w:pStyle w:val="40"/>
                    <w:bidi w:val="0"/>
                  </w:pPr>
                  <w:r>
                    <w:t>1</w:t>
                  </w:r>
                </w:p>
              </w:tc>
            </w:tr>
            <w:tr w14:paraId="51ED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9" w:hRule="atLeast"/>
                <w:jc w:val="center"/>
              </w:trPr>
              <w:tc>
                <w:tcPr>
                  <w:tcW w:w="175" w:type="pct"/>
                  <w:tcBorders>
                    <w:tl2br w:val="nil"/>
                    <w:tr2bl w:val="nil"/>
                  </w:tcBorders>
                  <w:shd w:val="clear" w:color="auto" w:fill="auto"/>
                  <w:tcMar>
                    <w:top w:w="0" w:type="dxa"/>
                    <w:left w:w="0" w:type="dxa"/>
                    <w:bottom w:w="0" w:type="dxa"/>
                    <w:right w:w="0" w:type="dxa"/>
                  </w:tcMar>
                  <w:vAlign w:val="center"/>
                </w:tcPr>
                <w:p w14:paraId="71E09455">
                  <w:pPr>
                    <w:pStyle w:val="40"/>
                    <w:bidi w:val="0"/>
                    <w:rPr>
                      <w:rFonts w:hint="default" w:eastAsia="宋体"/>
                      <w:lang w:val="en-US" w:eastAsia="zh-CN"/>
                    </w:rPr>
                  </w:pPr>
                  <w:r>
                    <w:rPr>
                      <w:rFonts w:hint="eastAsia"/>
                      <w:lang w:val="en-US" w:eastAsia="zh-CN"/>
                    </w:rPr>
                    <w:t>12</w:t>
                  </w:r>
                </w:p>
              </w:tc>
              <w:tc>
                <w:tcPr>
                  <w:tcW w:w="199" w:type="pct"/>
                  <w:vMerge w:val="continue"/>
                  <w:tcBorders>
                    <w:tl2br w:val="nil"/>
                    <w:tr2bl w:val="nil"/>
                  </w:tcBorders>
                  <w:shd w:val="clear" w:color="auto" w:fill="auto"/>
                  <w:tcMar>
                    <w:top w:w="0" w:type="dxa"/>
                    <w:left w:w="0" w:type="dxa"/>
                    <w:bottom w:w="0" w:type="dxa"/>
                    <w:right w:w="0" w:type="dxa"/>
                  </w:tcMar>
                  <w:vAlign w:val="center"/>
                </w:tcPr>
                <w:p w14:paraId="3B6E6759">
                  <w:pPr>
                    <w:pStyle w:val="40"/>
                    <w:bidi w:val="0"/>
                    <w:rPr>
                      <w:rFonts w:hint="eastAsia"/>
                      <w:lang w:val="en-US" w:eastAsia="zh-CN"/>
                    </w:rPr>
                  </w:pPr>
                </w:p>
              </w:tc>
              <w:tc>
                <w:tcPr>
                  <w:tcW w:w="565" w:type="pct"/>
                  <w:tcBorders>
                    <w:tl2br w:val="nil"/>
                    <w:tr2bl w:val="nil"/>
                  </w:tcBorders>
                  <w:shd w:val="clear" w:color="auto" w:fill="auto"/>
                  <w:tcMar>
                    <w:top w:w="0" w:type="dxa"/>
                    <w:left w:w="0" w:type="dxa"/>
                    <w:bottom w:w="0" w:type="dxa"/>
                    <w:right w:w="0" w:type="dxa"/>
                  </w:tcMar>
                  <w:vAlign w:val="center"/>
                </w:tcPr>
                <w:p w14:paraId="340241FD">
                  <w:pPr>
                    <w:pStyle w:val="40"/>
                    <w:bidi w:val="0"/>
                  </w:pPr>
                  <w:r>
                    <w:t>制砖机,2台（按点声源组预测）</w:t>
                  </w:r>
                </w:p>
              </w:tc>
              <w:tc>
                <w:tcPr>
                  <w:tcW w:w="362" w:type="pct"/>
                  <w:tcBorders>
                    <w:tl2br w:val="nil"/>
                    <w:tr2bl w:val="nil"/>
                  </w:tcBorders>
                  <w:shd w:val="clear" w:color="auto" w:fill="auto"/>
                  <w:tcMar>
                    <w:top w:w="0" w:type="dxa"/>
                    <w:left w:w="0" w:type="dxa"/>
                    <w:bottom w:w="0" w:type="dxa"/>
                    <w:right w:w="0" w:type="dxa"/>
                  </w:tcMar>
                  <w:vAlign w:val="center"/>
                </w:tcPr>
                <w:p w14:paraId="73FA69FC">
                  <w:pPr>
                    <w:pStyle w:val="40"/>
                    <w:bidi w:val="0"/>
                  </w:pPr>
                  <w:r>
                    <w:t>79（等效后：82.0)</w:t>
                  </w:r>
                </w:p>
              </w:tc>
              <w:tc>
                <w:tcPr>
                  <w:tcW w:w="204" w:type="pct"/>
                  <w:vMerge w:val="continue"/>
                  <w:tcBorders>
                    <w:tl2br w:val="nil"/>
                    <w:tr2bl w:val="nil"/>
                  </w:tcBorders>
                  <w:shd w:val="clear" w:color="auto" w:fill="auto"/>
                  <w:tcMar>
                    <w:top w:w="0" w:type="dxa"/>
                    <w:left w:w="0" w:type="dxa"/>
                    <w:bottom w:w="0" w:type="dxa"/>
                    <w:right w:w="0" w:type="dxa"/>
                  </w:tcMar>
                  <w:vAlign w:val="center"/>
                </w:tcPr>
                <w:p w14:paraId="186E61B0">
                  <w:pPr>
                    <w:pStyle w:val="40"/>
                    <w:bidi w:val="0"/>
                  </w:pPr>
                </w:p>
              </w:tc>
              <w:tc>
                <w:tcPr>
                  <w:tcW w:w="181" w:type="pct"/>
                  <w:tcBorders>
                    <w:tl2br w:val="nil"/>
                    <w:tr2bl w:val="nil"/>
                  </w:tcBorders>
                  <w:shd w:val="clear" w:color="auto" w:fill="auto"/>
                  <w:tcMar>
                    <w:top w:w="0" w:type="dxa"/>
                    <w:left w:w="0" w:type="dxa"/>
                    <w:bottom w:w="0" w:type="dxa"/>
                    <w:right w:w="0" w:type="dxa"/>
                  </w:tcMar>
                  <w:vAlign w:val="center"/>
                </w:tcPr>
                <w:p w14:paraId="693688CA">
                  <w:pPr>
                    <w:pStyle w:val="40"/>
                    <w:bidi w:val="0"/>
                  </w:pPr>
                  <w:r>
                    <w:t>29</w:t>
                  </w:r>
                </w:p>
              </w:tc>
              <w:tc>
                <w:tcPr>
                  <w:tcW w:w="162" w:type="pct"/>
                  <w:tcBorders>
                    <w:tl2br w:val="nil"/>
                    <w:tr2bl w:val="nil"/>
                  </w:tcBorders>
                  <w:shd w:val="clear" w:color="auto" w:fill="auto"/>
                  <w:tcMar>
                    <w:top w:w="0" w:type="dxa"/>
                    <w:left w:w="0" w:type="dxa"/>
                    <w:bottom w:w="0" w:type="dxa"/>
                    <w:right w:w="0" w:type="dxa"/>
                  </w:tcMar>
                  <w:vAlign w:val="center"/>
                </w:tcPr>
                <w:p w14:paraId="54768B9A">
                  <w:pPr>
                    <w:pStyle w:val="40"/>
                    <w:bidi w:val="0"/>
                  </w:pPr>
                  <w:r>
                    <w:t>-52.3</w:t>
                  </w:r>
                </w:p>
              </w:tc>
              <w:tc>
                <w:tcPr>
                  <w:tcW w:w="143" w:type="pct"/>
                  <w:tcBorders>
                    <w:tl2br w:val="nil"/>
                    <w:tr2bl w:val="nil"/>
                  </w:tcBorders>
                  <w:shd w:val="clear" w:color="auto" w:fill="auto"/>
                  <w:tcMar>
                    <w:top w:w="0" w:type="dxa"/>
                    <w:left w:w="0" w:type="dxa"/>
                    <w:bottom w:w="0" w:type="dxa"/>
                    <w:right w:w="0" w:type="dxa"/>
                  </w:tcMar>
                  <w:vAlign w:val="center"/>
                </w:tcPr>
                <w:p w14:paraId="3370E954">
                  <w:pPr>
                    <w:pStyle w:val="40"/>
                    <w:bidi w:val="0"/>
                  </w:pPr>
                  <w:r>
                    <w:t>1.2</w:t>
                  </w:r>
                </w:p>
              </w:tc>
              <w:tc>
                <w:tcPr>
                  <w:tcW w:w="181" w:type="pct"/>
                  <w:tcBorders>
                    <w:tl2br w:val="nil"/>
                    <w:tr2bl w:val="nil"/>
                  </w:tcBorders>
                  <w:shd w:val="clear" w:color="auto" w:fill="auto"/>
                  <w:tcMar>
                    <w:top w:w="0" w:type="dxa"/>
                    <w:left w:w="0" w:type="dxa"/>
                    <w:bottom w:w="0" w:type="dxa"/>
                    <w:right w:w="0" w:type="dxa"/>
                  </w:tcMar>
                  <w:vAlign w:val="center"/>
                </w:tcPr>
                <w:p w14:paraId="11815111">
                  <w:pPr>
                    <w:pStyle w:val="40"/>
                    <w:bidi w:val="0"/>
                  </w:pPr>
                  <w:r>
                    <w:t>38.3</w:t>
                  </w:r>
                </w:p>
              </w:tc>
              <w:tc>
                <w:tcPr>
                  <w:tcW w:w="172" w:type="pct"/>
                  <w:tcBorders>
                    <w:tl2br w:val="nil"/>
                    <w:tr2bl w:val="nil"/>
                  </w:tcBorders>
                  <w:shd w:val="clear" w:color="auto" w:fill="auto"/>
                  <w:tcMar>
                    <w:top w:w="0" w:type="dxa"/>
                    <w:left w:w="0" w:type="dxa"/>
                    <w:bottom w:w="0" w:type="dxa"/>
                    <w:right w:w="0" w:type="dxa"/>
                  </w:tcMar>
                  <w:vAlign w:val="center"/>
                </w:tcPr>
                <w:p w14:paraId="18530ECD">
                  <w:pPr>
                    <w:pStyle w:val="40"/>
                    <w:bidi w:val="0"/>
                  </w:pPr>
                  <w:r>
                    <w:t>24.4</w:t>
                  </w:r>
                </w:p>
              </w:tc>
              <w:tc>
                <w:tcPr>
                  <w:tcW w:w="153" w:type="pct"/>
                  <w:tcBorders>
                    <w:tl2br w:val="nil"/>
                    <w:tr2bl w:val="nil"/>
                  </w:tcBorders>
                  <w:shd w:val="clear" w:color="auto" w:fill="auto"/>
                  <w:tcMar>
                    <w:top w:w="0" w:type="dxa"/>
                    <w:left w:w="0" w:type="dxa"/>
                    <w:bottom w:w="0" w:type="dxa"/>
                    <w:right w:w="0" w:type="dxa"/>
                  </w:tcMar>
                  <w:vAlign w:val="center"/>
                </w:tcPr>
                <w:p w14:paraId="4586875D">
                  <w:pPr>
                    <w:pStyle w:val="40"/>
                    <w:bidi w:val="0"/>
                  </w:pPr>
                  <w:r>
                    <w:t>142.1</w:t>
                  </w:r>
                </w:p>
              </w:tc>
              <w:tc>
                <w:tcPr>
                  <w:tcW w:w="172" w:type="pct"/>
                  <w:tcBorders>
                    <w:tl2br w:val="nil"/>
                    <w:tr2bl w:val="nil"/>
                  </w:tcBorders>
                  <w:shd w:val="clear" w:color="auto" w:fill="auto"/>
                  <w:tcMar>
                    <w:top w:w="0" w:type="dxa"/>
                    <w:left w:w="0" w:type="dxa"/>
                    <w:bottom w:w="0" w:type="dxa"/>
                    <w:right w:w="0" w:type="dxa"/>
                  </w:tcMar>
                  <w:vAlign w:val="center"/>
                </w:tcPr>
                <w:p w14:paraId="2BF169A0">
                  <w:pPr>
                    <w:pStyle w:val="40"/>
                    <w:bidi w:val="0"/>
                  </w:pPr>
                  <w:r>
                    <w:t>19.8</w:t>
                  </w:r>
                </w:p>
              </w:tc>
              <w:tc>
                <w:tcPr>
                  <w:tcW w:w="167" w:type="pct"/>
                  <w:tcBorders>
                    <w:tl2br w:val="nil"/>
                    <w:tr2bl w:val="nil"/>
                  </w:tcBorders>
                  <w:shd w:val="clear" w:color="auto" w:fill="auto"/>
                  <w:tcMar>
                    <w:top w:w="0" w:type="dxa"/>
                    <w:left w:w="0" w:type="dxa"/>
                    <w:bottom w:w="0" w:type="dxa"/>
                    <w:right w:w="0" w:type="dxa"/>
                  </w:tcMar>
                  <w:vAlign w:val="center"/>
                </w:tcPr>
                <w:p w14:paraId="1101D890">
                  <w:pPr>
                    <w:pStyle w:val="40"/>
                    <w:bidi w:val="0"/>
                  </w:pPr>
                  <w:r>
                    <w:t>62.7</w:t>
                  </w:r>
                </w:p>
              </w:tc>
              <w:tc>
                <w:tcPr>
                  <w:tcW w:w="172" w:type="pct"/>
                  <w:tcBorders>
                    <w:tl2br w:val="nil"/>
                    <w:tr2bl w:val="nil"/>
                  </w:tcBorders>
                  <w:shd w:val="clear" w:color="auto" w:fill="auto"/>
                  <w:tcMar>
                    <w:top w:w="0" w:type="dxa"/>
                    <w:left w:w="0" w:type="dxa"/>
                    <w:bottom w:w="0" w:type="dxa"/>
                    <w:right w:w="0" w:type="dxa"/>
                  </w:tcMar>
                  <w:vAlign w:val="center"/>
                </w:tcPr>
                <w:p w14:paraId="7275ECFC">
                  <w:pPr>
                    <w:pStyle w:val="40"/>
                    <w:bidi w:val="0"/>
                  </w:pPr>
                  <w:r>
                    <w:t>62.7</w:t>
                  </w:r>
                </w:p>
              </w:tc>
              <w:tc>
                <w:tcPr>
                  <w:tcW w:w="162" w:type="pct"/>
                  <w:tcBorders>
                    <w:tl2br w:val="nil"/>
                    <w:tr2bl w:val="nil"/>
                  </w:tcBorders>
                  <w:shd w:val="clear" w:color="auto" w:fill="auto"/>
                  <w:tcMar>
                    <w:top w:w="0" w:type="dxa"/>
                    <w:left w:w="0" w:type="dxa"/>
                    <w:bottom w:w="0" w:type="dxa"/>
                    <w:right w:w="0" w:type="dxa"/>
                  </w:tcMar>
                  <w:vAlign w:val="center"/>
                </w:tcPr>
                <w:p w14:paraId="03658B5A">
                  <w:pPr>
                    <w:pStyle w:val="40"/>
                    <w:bidi w:val="0"/>
                  </w:pPr>
                  <w:r>
                    <w:t>62.6</w:t>
                  </w:r>
                </w:p>
              </w:tc>
              <w:tc>
                <w:tcPr>
                  <w:tcW w:w="153" w:type="pct"/>
                  <w:tcBorders>
                    <w:tl2br w:val="nil"/>
                    <w:tr2bl w:val="nil"/>
                  </w:tcBorders>
                  <w:shd w:val="clear" w:color="auto" w:fill="auto"/>
                  <w:tcMar>
                    <w:top w:w="0" w:type="dxa"/>
                    <w:left w:w="0" w:type="dxa"/>
                    <w:bottom w:w="0" w:type="dxa"/>
                    <w:right w:w="0" w:type="dxa"/>
                  </w:tcMar>
                  <w:vAlign w:val="center"/>
                </w:tcPr>
                <w:p w14:paraId="713FC871">
                  <w:pPr>
                    <w:pStyle w:val="40"/>
                    <w:bidi w:val="0"/>
                  </w:pPr>
                  <w:r>
                    <w:t>62.7</w:t>
                  </w:r>
                </w:p>
              </w:tc>
              <w:tc>
                <w:tcPr>
                  <w:tcW w:w="167" w:type="pct"/>
                  <w:tcBorders>
                    <w:tl2br w:val="nil"/>
                    <w:tr2bl w:val="nil"/>
                  </w:tcBorders>
                  <w:shd w:val="clear" w:color="auto" w:fill="auto"/>
                  <w:tcMar>
                    <w:top w:w="0" w:type="dxa"/>
                    <w:left w:w="0" w:type="dxa"/>
                    <w:bottom w:w="0" w:type="dxa"/>
                    <w:right w:w="0" w:type="dxa"/>
                  </w:tcMar>
                  <w:vAlign w:val="center"/>
                </w:tcPr>
                <w:p w14:paraId="2C8C7F84">
                  <w:pPr>
                    <w:pStyle w:val="40"/>
                    <w:bidi w:val="0"/>
                  </w:pPr>
                  <w:r>
                    <w:t>8.0</w:t>
                  </w:r>
                </w:p>
              </w:tc>
              <w:tc>
                <w:tcPr>
                  <w:tcW w:w="153" w:type="pct"/>
                  <w:tcBorders>
                    <w:tl2br w:val="nil"/>
                    <w:tr2bl w:val="nil"/>
                  </w:tcBorders>
                  <w:shd w:val="clear" w:color="auto" w:fill="auto"/>
                  <w:tcMar>
                    <w:top w:w="0" w:type="dxa"/>
                    <w:left w:w="0" w:type="dxa"/>
                    <w:bottom w:w="0" w:type="dxa"/>
                    <w:right w:w="0" w:type="dxa"/>
                  </w:tcMar>
                  <w:vAlign w:val="center"/>
                </w:tcPr>
                <w:p w14:paraId="3710DABA">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7818FEDC">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54C890E6">
                  <w:pPr>
                    <w:pStyle w:val="40"/>
                    <w:bidi w:val="0"/>
                  </w:pPr>
                  <w:r>
                    <w:t>26.0</w:t>
                  </w:r>
                </w:p>
              </w:tc>
              <w:tc>
                <w:tcPr>
                  <w:tcW w:w="157" w:type="pct"/>
                  <w:tcBorders>
                    <w:tl2br w:val="nil"/>
                    <w:tr2bl w:val="nil"/>
                  </w:tcBorders>
                  <w:shd w:val="clear" w:color="auto" w:fill="auto"/>
                  <w:tcMar>
                    <w:top w:w="0" w:type="dxa"/>
                    <w:left w:w="0" w:type="dxa"/>
                    <w:bottom w:w="0" w:type="dxa"/>
                    <w:right w:w="0" w:type="dxa"/>
                  </w:tcMar>
                  <w:vAlign w:val="center"/>
                </w:tcPr>
                <w:p w14:paraId="781CB617">
                  <w:pPr>
                    <w:pStyle w:val="40"/>
                    <w:bidi w:val="0"/>
                  </w:pPr>
                  <w:r>
                    <w:t>26.0</w:t>
                  </w:r>
                </w:p>
              </w:tc>
              <w:tc>
                <w:tcPr>
                  <w:tcW w:w="167" w:type="pct"/>
                  <w:tcBorders>
                    <w:tl2br w:val="nil"/>
                    <w:tr2bl w:val="nil"/>
                  </w:tcBorders>
                  <w:shd w:val="clear" w:color="auto" w:fill="auto"/>
                  <w:tcMar>
                    <w:top w:w="0" w:type="dxa"/>
                    <w:left w:w="0" w:type="dxa"/>
                    <w:bottom w:w="0" w:type="dxa"/>
                    <w:right w:w="0" w:type="dxa"/>
                  </w:tcMar>
                  <w:vAlign w:val="center"/>
                </w:tcPr>
                <w:p w14:paraId="3C699BD0">
                  <w:pPr>
                    <w:pStyle w:val="40"/>
                    <w:bidi w:val="0"/>
                  </w:pPr>
                  <w:r>
                    <w:t>36.7</w:t>
                  </w:r>
                </w:p>
              </w:tc>
              <w:tc>
                <w:tcPr>
                  <w:tcW w:w="158" w:type="pct"/>
                  <w:tcBorders>
                    <w:tl2br w:val="nil"/>
                    <w:tr2bl w:val="nil"/>
                  </w:tcBorders>
                  <w:shd w:val="clear" w:color="auto" w:fill="auto"/>
                  <w:tcMar>
                    <w:top w:w="0" w:type="dxa"/>
                    <w:left w:w="0" w:type="dxa"/>
                    <w:bottom w:w="0" w:type="dxa"/>
                    <w:right w:w="0" w:type="dxa"/>
                  </w:tcMar>
                  <w:vAlign w:val="center"/>
                </w:tcPr>
                <w:p w14:paraId="79E734F9">
                  <w:pPr>
                    <w:pStyle w:val="40"/>
                    <w:bidi w:val="0"/>
                  </w:pPr>
                  <w:r>
                    <w:t>36.7</w:t>
                  </w:r>
                </w:p>
              </w:tc>
              <w:tc>
                <w:tcPr>
                  <w:tcW w:w="153" w:type="pct"/>
                  <w:tcBorders>
                    <w:tl2br w:val="nil"/>
                    <w:tr2bl w:val="nil"/>
                  </w:tcBorders>
                  <w:shd w:val="clear" w:color="auto" w:fill="auto"/>
                  <w:tcMar>
                    <w:top w:w="0" w:type="dxa"/>
                    <w:left w:w="0" w:type="dxa"/>
                    <w:bottom w:w="0" w:type="dxa"/>
                    <w:right w:w="0" w:type="dxa"/>
                  </w:tcMar>
                  <w:vAlign w:val="center"/>
                </w:tcPr>
                <w:p w14:paraId="33DBD6F1">
                  <w:pPr>
                    <w:pStyle w:val="40"/>
                    <w:bidi w:val="0"/>
                  </w:pPr>
                  <w:r>
                    <w:t>36.6</w:t>
                  </w:r>
                </w:p>
              </w:tc>
              <w:tc>
                <w:tcPr>
                  <w:tcW w:w="155" w:type="pct"/>
                  <w:tcBorders>
                    <w:tl2br w:val="nil"/>
                    <w:tr2bl w:val="nil"/>
                  </w:tcBorders>
                  <w:shd w:val="clear" w:color="auto" w:fill="auto"/>
                  <w:tcMar>
                    <w:top w:w="0" w:type="dxa"/>
                    <w:left w:w="0" w:type="dxa"/>
                    <w:bottom w:w="0" w:type="dxa"/>
                    <w:right w:w="0" w:type="dxa"/>
                  </w:tcMar>
                  <w:vAlign w:val="center"/>
                </w:tcPr>
                <w:p w14:paraId="3BC34B92">
                  <w:pPr>
                    <w:pStyle w:val="40"/>
                    <w:bidi w:val="0"/>
                  </w:pPr>
                  <w:r>
                    <w:t>36.7</w:t>
                  </w:r>
                </w:p>
              </w:tc>
              <w:tc>
                <w:tcPr>
                  <w:tcW w:w="231" w:type="pct"/>
                  <w:tcBorders>
                    <w:tl2br w:val="nil"/>
                    <w:tr2bl w:val="nil"/>
                  </w:tcBorders>
                  <w:shd w:val="clear" w:color="auto" w:fill="auto"/>
                  <w:tcMar>
                    <w:top w:w="0" w:type="dxa"/>
                    <w:left w:w="0" w:type="dxa"/>
                    <w:bottom w:w="0" w:type="dxa"/>
                    <w:right w:w="0" w:type="dxa"/>
                  </w:tcMar>
                  <w:vAlign w:val="center"/>
                </w:tcPr>
                <w:p w14:paraId="24CE1E77">
                  <w:pPr>
                    <w:pStyle w:val="40"/>
                    <w:bidi w:val="0"/>
                  </w:pPr>
                  <w:r>
                    <w:t>1</w:t>
                  </w:r>
                </w:p>
              </w:tc>
            </w:tr>
            <w:tr w14:paraId="3457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75" w:type="pct"/>
                  <w:tcBorders>
                    <w:tl2br w:val="nil"/>
                    <w:tr2bl w:val="nil"/>
                  </w:tcBorders>
                  <w:shd w:val="clear" w:color="auto" w:fill="auto"/>
                  <w:tcMar>
                    <w:top w:w="0" w:type="dxa"/>
                    <w:left w:w="0" w:type="dxa"/>
                    <w:bottom w:w="0" w:type="dxa"/>
                    <w:right w:w="0" w:type="dxa"/>
                  </w:tcMar>
                  <w:vAlign w:val="center"/>
                </w:tcPr>
                <w:p w14:paraId="0F2228DA">
                  <w:pPr>
                    <w:pStyle w:val="40"/>
                    <w:bidi w:val="0"/>
                    <w:rPr>
                      <w:rFonts w:hint="default" w:eastAsia="宋体"/>
                      <w:lang w:val="en-US" w:eastAsia="zh-CN"/>
                    </w:rPr>
                  </w:pPr>
                  <w:r>
                    <w:rPr>
                      <w:rFonts w:hint="eastAsia"/>
                      <w:lang w:val="en-US" w:eastAsia="zh-CN"/>
                    </w:rPr>
                    <w:t>13</w:t>
                  </w:r>
                </w:p>
              </w:tc>
              <w:tc>
                <w:tcPr>
                  <w:tcW w:w="199" w:type="pct"/>
                  <w:vMerge w:val="continue"/>
                  <w:tcBorders>
                    <w:tl2br w:val="nil"/>
                    <w:tr2bl w:val="nil"/>
                  </w:tcBorders>
                  <w:shd w:val="clear" w:color="auto" w:fill="auto"/>
                  <w:tcMar>
                    <w:top w:w="0" w:type="dxa"/>
                    <w:left w:w="0" w:type="dxa"/>
                    <w:bottom w:w="0" w:type="dxa"/>
                    <w:right w:w="0" w:type="dxa"/>
                  </w:tcMar>
                  <w:vAlign w:val="center"/>
                </w:tcPr>
                <w:p w14:paraId="42E53C77">
                  <w:pPr>
                    <w:pStyle w:val="40"/>
                    <w:bidi w:val="0"/>
                    <w:rPr>
                      <w:rFonts w:hint="eastAsia"/>
                      <w:lang w:val="en-US" w:eastAsia="zh-CN"/>
                    </w:rPr>
                  </w:pPr>
                </w:p>
              </w:tc>
              <w:tc>
                <w:tcPr>
                  <w:tcW w:w="565" w:type="pct"/>
                  <w:tcBorders>
                    <w:tl2br w:val="nil"/>
                    <w:tr2bl w:val="nil"/>
                  </w:tcBorders>
                  <w:shd w:val="clear" w:color="auto" w:fill="auto"/>
                  <w:tcMar>
                    <w:top w:w="0" w:type="dxa"/>
                    <w:left w:w="0" w:type="dxa"/>
                    <w:bottom w:w="0" w:type="dxa"/>
                    <w:right w:w="0" w:type="dxa"/>
                  </w:tcMar>
                  <w:vAlign w:val="center"/>
                </w:tcPr>
                <w:p w14:paraId="0185121C">
                  <w:pPr>
                    <w:pStyle w:val="40"/>
                    <w:bidi w:val="0"/>
                  </w:pPr>
                  <w:r>
                    <w:t>螺杆式空压机,3台（按点声源组预测）</w:t>
                  </w:r>
                </w:p>
              </w:tc>
              <w:tc>
                <w:tcPr>
                  <w:tcW w:w="362" w:type="pct"/>
                  <w:tcBorders>
                    <w:tl2br w:val="nil"/>
                    <w:tr2bl w:val="nil"/>
                  </w:tcBorders>
                  <w:shd w:val="clear" w:color="auto" w:fill="auto"/>
                  <w:tcMar>
                    <w:top w:w="0" w:type="dxa"/>
                    <w:left w:w="0" w:type="dxa"/>
                    <w:bottom w:w="0" w:type="dxa"/>
                    <w:right w:w="0" w:type="dxa"/>
                  </w:tcMar>
                  <w:vAlign w:val="center"/>
                </w:tcPr>
                <w:p w14:paraId="257A9621">
                  <w:pPr>
                    <w:pStyle w:val="40"/>
                    <w:bidi w:val="0"/>
                  </w:pPr>
                  <w:r>
                    <w:t>80（等效后：84.8)</w:t>
                  </w:r>
                </w:p>
              </w:tc>
              <w:tc>
                <w:tcPr>
                  <w:tcW w:w="204" w:type="pct"/>
                  <w:vMerge w:val="continue"/>
                  <w:tcBorders>
                    <w:tl2br w:val="nil"/>
                    <w:tr2bl w:val="nil"/>
                  </w:tcBorders>
                  <w:shd w:val="clear" w:color="auto" w:fill="auto"/>
                  <w:tcMar>
                    <w:top w:w="0" w:type="dxa"/>
                    <w:left w:w="0" w:type="dxa"/>
                    <w:bottom w:w="0" w:type="dxa"/>
                    <w:right w:w="0" w:type="dxa"/>
                  </w:tcMar>
                  <w:vAlign w:val="center"/>
                </w:tcPr>
                <w:p w14:paraId="0055C6CA">
                  <w:pPr>
                    <w:pStyle w:val="40"/>
                    <w:bidi w:val="0"/>
                  </w:pPr>
                </w:p>
              </w:tc>
              <w:tc>
                <w:tcPr>
                  <w:tcW w:w="181" w:type="pct"/>
                  <w:tcBorders>
                    <w:tl2br w:val="nil"/>
                    <w:tr2bl w:val="nil"/>
                  </w:tcBorders>
                  <w:shd w:val="clear" w:color="auto" w:fill="auto"/>
                  <w:tcMar>
                    <w:top w:w="0" w:type="dxa"/>
                    <w:left w:w="0" w:type="dxa"/>
                    <w:bottom w:w="0" w:type="dxa"/>
                    <w:right w:w="0" w:type="dxa"/>
                  </w:tcMar>
                  <w:vAlign w:val="center"/>
                </w:tcPr>
                <w:p w14:paraId="5B547557">
                  <w:pPr>
                    <w:pStyle w:val="40"/>
                    <w:bidi w:val="0"/>
                  </w:pPr>
                  <w:r>
                    <w:t>58.7</w:t>
                  </w:r>
                </w:p>
              </w:tc>
              <w:tc>
                <w:tcPr>
                  <w:tcW w:w="162" w:type="pct"/>
                  <w:tcBorders>
                    <w:tl2br w:val="nil"/>
                    <w:tr2bl w:val="nil"/>
                  </w:tcBorders>
                  <w:shd w:val="clear" w:color="auto" w:fill="auto"/>
                  <w:tcMar>
                    <w:top w:w="0" w:type="dxa"/>
                    <w:left w:w="0" w:type="dxa"/>
                    <w:bottom w:w="0" w:type="dxa"/>
                    <w:right w:w="0" w:type="dxa"/>
                  </w:tcMar>
                  <w:vAlign w:val="center"/>
                </w:tcPr>
                <w:p w14:paraId="490B08D8">
                  <w:pPr>
                    <w:pStyle w:val="40"/>
                    <w:bidi w:val="0"/>
                  </w:pPr>
                  <w:r>
                    <w:t>-7.8</w:t>
                  </w:r>
                </w:p>
              </w:tc>
              <w:tc>
                <w:tcPr>
                  <w:tcW w:w="143" w:type="pct"/>
                  <w:tcBorders>
                    <w:tl2br w:val="nil"/>
                    <w:tr2bl w:val="nil"/>
                  </w:tcBorders>
                  <w:shd w:val="clear" w:color="auto" w:fill="auto"/>
                  <w:tcMar>
                    <w:top w:w="0" w:type="dxa"/>
                    <w:left w:w="0" w:type="dxa"/>
                    <w:bottom w:w="0" w:type="dxa"/>
                    <w:right w:w="0" w:type="dxa"/>
                  </w:tcMar>
                  <w:vAlign w:val="center"/>
                </w:tcPr>
                <w:p w14:paraId="4E9EB9FD">
                  <w:pPr>
                    <w:pStyle w:val="40"/>
                    <w:bidi w:val="0"/>
                  </w:pPr>
                  <w:r>
                    <w:t>1.2</w:t>
                  </w:r>
                </w:p>
              </w:tc>
              <w:tc>
                <w:tcPr>
                  <w:tcW w:w="181" w:type="pct"/>
                  <w:tcBorders>
                    <w:tl2br w:val="nil"/>
                    <w:tr2bl w:val="nil"/>
                  </w:tcBorders>
                  <w:shd w:val="clear" w:color="auto" w:fill="auto"/>
                  <w:tcMar>
                    <w:top w:w="0" w:type="dxa"/>
                    <w:left w:w="0" w:type="dxa"/>
                    <w:bottom w:w="0" w:type="dxa"/>
                    <w:right w:w="0" w:type="dxa"/>
                  </w:tcMar>
                  <w:vAlign w:val="center"/>
                </w:tcPr>
                <w:p w14:paraId="4411FA4F">
                  <w:pPr>
                    <w:pStyle w:val="40"/>
                    <w:bidi w:val="0"/>
                  </w:pPr>
                  <w:r>
                    <w:t>13.9</w:t>
                  </w:r>
                </w:p>
              </w:tc>
              <w:tc>
                <w:tcPr>
                  <w:tcW w:w="172" w:type="pct"/>
                  <w:tcBorders>
                    <w:tl2br w:val="nil"/>
                    <w:tr2bl w:val="nil"/>
                  </w:tcBorders>
                  <w:shd w:val="clear" w:color="auto" w:fill="auto"/>
                  <w:tcMar>
                    <w:top w:w="0" w:type="dxa"/>
                    <w:left w:w="0" w:type="dxa"/>
                    <w:bottom w:w="0" w:type="dxa"/>
                    <w:right w:w="0" w:type="dxa"/>
                  </w:tcMar>
                  <w:vAlign w:val="center"/>
                </w:tcPr>
                <w:p w14:paraId="365AF01A">
                  <w:pPr>
                    <w:pStyle w:val="40"/>
                    <w:bidi w:val="0"/>
                  </w:pPr>
                  <w:r>
                    <w:t>21.9</w:t>
                  </w:r>
                </w:p>
              </w:tc>
              <w:tc>
                <w:tcPr>
                  <w:tcW w:w="153" w:type="pct"/>
                  <w:tcBorders>
                    <w:tl2br w:val="nil"/>
                    <w:tr2bl w:val="nil"/>
                  </w:tcBorders>
                  <w:shd w:val="clear" w:color="auto" w:fill="auto"/>
                  <w:tcMar>
                    <w:top w:w="0" w:type="dxa"/>
                    <w:left w:w="0" w:type="dxa"/>
                    <w:bottom w:w="0" w:type="dxa"/>
                    <w:right w:w="0" w:type="dxa"/>
                  </w:tcMar>
                  <w:vAlign w:val="center"/>
                </w:tcPr>
                <w:p w14:paraId="25F5DC62">
                  <w:pPr>
                    <w:pStyle w:val="40"/>
                    <w:bidi w:val="0"/>
                  </w:pPr>
                  <w:r>
                    <w:t>168.7</w:t>
                  </w:r>
                </w:p>
              </w:tc>
              <w:tc>
                <w:tcPr>
                  <w:tcW w:w="172" w:type="pct"/>
                  <w:tcBorders>
                    <w:tl2br w:val="nil"/>
                    <w:tr2bl w:val="nil"/>
                  </w:tcBorders>
                  <w:shd w:val="clear" w:color="auto" w:fill="auto"/>
                  <w:tcMar>
                    <w:top w:w="0" w:type="dxa"/>
                    <w:left w:w="0" w:type="dxa"/>
                    <w:bottom w:w="0" w:type="dxa"/>
                    <w:right w:w="0" w:type="dxa"/>
                  </w:tcMar>
                  <w:vAlign w:val="center"/>
                </w:tcPr>
                <w:p w14:paraId="25E02BC4">
                  <w:pPr>
                    <w:pStyle w:val="40"/>
                    <w:bidi w:val="0"/>
                  </w:pPr>
                  <w:r>
                    <w:t>19.9</w:t>
                  </w:r>
                </w:p>
              </w:tc>
              <w:tc>
                <w:tcPr>
                  <w:tcW w:w="167" w:type="pct"/>
                  <w:tcBorders>
                    <w:tl2br w:val="nil"/>
                    <w:tr2bl w:val="nil"/>
                  </w:tcBorders>
                  <w:shd w:val="clear" w:color="auto" w:fill="auto"/>
                  <w:tcMar>
                    <w:top w:w="0" w:type="dxa"/>
                    <w:left w:w="0" w:type="dxa"/>
                    <w:bottom w:w="0" w:type="dxa"/>
                    <w:right w:w="0" w:type="dxa"/>
                  </w:tcMar>
                  <w:vAlign w:val="center"/>
                </w:tcPr>
                <w:p w14:paraId="60E8425D">
                  <w:pPr>
                    <w:pStyle w:val="40"/>
                    <w:bidi w:val="0"/>
                  </w:pPr>
                  <w:r>
                    <w:t>65.6</w:t>
                  </w:r>
                </w:p>
              </w:tc>
              <w:tc>
                <w:tcPr>
                  <w:tcW w:w="172" w:type="pct"/>
                  <w:tcBorders>
                    <w:tl2br w:val="nil"/>
                    <w:tr2bl w:val="nil"/>
                  </w:tcBorders>
                  <w:shd w:val="clear" w:color="auto" w:fill="auto"/>
                  <w:tcMar>
                    <w:top w:w="0" w:type="dxa"/>
                    <w:left w:w="0" w:type="dxa"/>
                    <w:bottom w:w="0" w:type="dxa"/>
                    <w:right w:w="0" w:type="dxa"/>
                  </w:tcMar>
                  <w:vAlign w:val="center"/>
                </w:tcPr>
                <w:p w14:paraId="4ED13C6B">
                  <w:pPr>
                    <w:pStyle w:val="40"/>
                    <w:bidi w:val="0"/>
                  </w:pPr>
                  <w:r>
                    <w:t>65.5</w:t>
                  </w:r>
                </w:p>
              </w:tc>
              <w:tc>
                <w:tcPr>
                  <w:tcW w:w="162" w:type="pct"/>
                  <w:tcBorders>
                    <w:tl2br w:val="nil"/>
                    <w:tr2bl w:val="nil"/>
                  </w:tcBorders>
                  <w:shd w:val="clear" w:color="auto" w:fill="auto"/>
                  <w:tcMar>
                    <w:top w:w="0" w:type="dxa"/>
                    <w:left w:w="0" w:type="dxa"/>
                    <w:bottom w:w="0" w:type="dxa"/>
                    <w:right w:w="0" w:type="dxa"/>
                  </w:tcMar>
                  <w:vAlign w:val="center"/>
                </w:tcPr>
                <w:p w14:paraId="278A6D82">
                  <w:pPr>
                    <w:pStyle w:val="40"/>
                    <w:bidi w:val="0"/>
                  </w:pPr>
                  <w:r>
                    <w:t>65.5</w:t>
                  </w:r>
                </w:p>
              </w:tc>
              <w:tc>
                <w:tcPr>
                  <w:tcW w:w="153" w:type="pct"/>
                  <w:tcBorders>
                    <w:tl2br w:val="nil"/>
                    <w:tr2bl w:val="nil"/>
                  </w:tcBorders>
                  <w:shd w:val="clear" w:color="auto" w:fill="auto"/>
                  <w:tcMar>
                    <w:top w:w="0" w:type="dxa"/>
                    <w:left w:w="0" w:type="dxa"/>
                    <w:bottom w:w="0" w:type="dxa"/>
                    <w:right w:w="0" w:type="dxa"/>
                  </w:tcMar>
                  <w:vAlign w:val="center"/>
                </w:tcPr>
                <w:p w14:paraId="6CAA3EFF">
                  <w:pPr>
                    <w:pStyle w:val="40"/>
                    <w:bidi w:val="0"/>
                  </w:pPr>
                  <w:r>
                    <w:t>65.5</w:t>
                  </w:r>
                </w:p>
              </w:tc>
              <w:tc>
                <w:tcPr>
                  <w:tcW w:w="167" w:type="pct"/>
                  <w:tcBorders>
                    <w:tl2br w:val="nil"/>
                    <w:tr2bl w:val="nil"/>
                  </w:tcBorders>
                  <w:shd w:val="clear" w:color="auto" w:fill="auto"/>
                  <w:tcMar>
                    <w:top w:w="0" w:type="dxa"/>
                    <w:left w:w="0" w:type="dxa"/>
                    <w:bottom w:w="0" w:type="dxa"/>
                    <w:right w:w="0" w:type="dxa"/>
                  </w:tcMar>
                  <w:vAlign w:val="center"/>
                </w:tcPr>
                <w:p w14:paraId="3EB990EC">
                  <w:pPr>
                    <w:pStyle w:val="40"/>
                    <w:bidi w:val="0"/>
                  </w:pPr>
                  <w:r>
                    <w:t>8.0</w:t>
                  </w:r>
                </w:p>
              </w:tc>
              <w:tc>
                <w:tcPr>
                  <w:tcW w:w="153" w:type="pct"/>
                  <w:tcBorders>
                    <w:tl2br w:val="nil"/>
                    <w:tr2bl w:val="nil"/>
                  </w:tcBorders>
                  <w:shd w:val="clear" w:color="auto" w:fill="auto"/>
                  <w:tcMar>
                    <w:top w:w="0" w:type="dxa"/>
                    <w:left w:w="0" w:type="dxa"/>
                    <w:bottom w:w="0" w:type="dxa"/>
                    <w:right w:w="0" w:type="dxa"/>
                  </w:tcMar>
                  <w:vAlign w:val="center"/>
                </w:tcPr>
                <w:p w14:paraId="19031878">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7291BD7A">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4C535E76">
                  <w:pPr>
                    <w:pStyle w:val="40"/>
                    <w:bidi w:val="0"/>
                  </w:pPr>
                  <w:r>
                    <w:t>26.0</w:t>
                  </w:r>
                </w:p>
              </w:tc>
              <w:tc>
                <w:tcPr>
                  <w:tcW w:w="157" w:type="pct"/>
                  <w:tcBorders>
                    <w:tl2br w:val="nil"/>
                    <w:tr2bl w:val="nil"/>
                  </w:tcBorders>
                  <w:shd w:val="clear" w:color="auto" w:fill="auto"/>
                  <w:tcMar>
                    <w:top w:w="0" w:type="dxa"/>
                    <w:left w:w="0" w:type="dxa"/>
                    <w:bottom w:w="0" w:type="dxa"/>
                    <w:right w:w="0" w:type="dxa"/>
                  </w:tcMar>
                  <w:vAlign w:val="center"/>
                </w:tcPr>
                <w:p w14:paraId="77EBCD36">
                  <w:pPr>
                    <w:pStyle w:val="40"/>
                    <w:bidi w:val="0"/>
                  </w:pPr>
                  <w:r>
                    <w:t>26.0</w:t>
                  </w:r>
                </w:p>
              </w:tc>
              <w:tc>
                <w:tcPr>
                  <w:tcW w:w="167" w:type="pct"/>
                  <w:tcBorders>
                    <w:tl2br w:val="nil"/>
                    <w:tr2bl w:val="nil"/>
                  </w:tcBorders>
                  <w:shd w:val="clear" w:color="auto" w:fill="auto"/>
                  <w:tcMar>
                    <w:top w:w="0" w:type="dxa"/>
                    <w:left w:w="0" w:type="dxa"/>
                    <w:bottom w:w="0" w:type="dxa"/>
                    <w:right w:w="0" w:type="dxa"/>
                  </w:tcMar>
                  <w:vAlign w:val="center"/>
                </w:tcPr>
                <w:p w14:paraId="0C9923D7">
                  <w:pPr>
                    <w:pStyle w:val="40"/>
                    <w:bidi w:val="0"/>
                  </w:pPr>
                  <w:r>
                    <w:t>39.6</w:t>
                  </w:r>
                </w:p>
              </w:tc>
              <w:tc>
                <w:tcPr>
                  <w:tcW w:w="158" w:type="pct"/>
                  <w:tcBorders>
                    <w:tl2br w:val="nil"/>
                    <w:tr2bl w:val="nil"/>
                  </w:tcBorders>
                  <w:shd w:val="clear" w:color="auto" w:fill="auto"/>
                  <w:tcMar>
                    <w:top w:w="0" w:type="dxa"/>
                    <w:left w:w="0" w:type="dxa"/>
                    <w:bottom w:w="0" w:type="dxa"/>
                    <w:right w:w="0" w:type="dxa"/>
                  </w:tcMar>
                  <w:vAlign w:val="center"/>
                </w:tcPr>
                <w:p w14:paraId="6381D760">
                  <w:pPr>
                    <w:pStyle w:val="40"/>
                    <w:bidi w:val="0"/>
                  </w:pPr>
                  <w:r>
                    <w:t>39.5</w:t>
                  </w:r>
                </w:p>
              </w:tc>
              <w:tc>
                <w:tcPr>
                  <w:tcW w:w="153" w:type="pct"/>
                  <w:tcBorders>
                    <w:tl2br w:val="nil"/>
                    <w:tr2bl w:val="nil"/>
                  </w:tcBorders>
                  <w:shd w:val="clear" w:color="auto" w:fill="auto"/>
                  <w:tcMar>
                    <w:top w:w="0" w:type="dxa"/>
                    <w:left w:w="0" w:type="dxa"/>
                    <w:bottom w:w="0" w:type="dxa"/>
                    <w:right w:w="0" w:type="dxa"/>
                  </w:tcMar>
                  <w:vAlign w:val="center"/>
                </w:tcPr>
                <w:p w14:paraId="404FB763">
                  <w:pPr>
                    <w:pStyle w:val="40"/>
                    <w:bidi w:val="0"/>
                  </w:pPr>
                  <w:r>
                    <w:t>39.5</w:t>
                  </w:r>
                </w:p>
              </w:tc>
              <w:tc>
                <w:tcPr>
                  <w:tcW w:w="155" w:type="pct"/>
                  <w:tcBorders>
                    <w:tl2br w:val="nil"/>
                    <w:tr2bl w:val="nil"/>
                  </w:tcBorders>
                  <w:shd w:val="clear" w:color="auto" w:fill="auto"/>
                  <w:tcMar>
                    <w:top w:w="0" w:type="dxa"/>
                    <w:left w:w="0" w:type="dxa"/>
                    <w:bottom w:w="0" w:type="dxa"/>
                    <w:right w:w="0" w:type="dxa"/>
                  </w:tcMar>
                  <w:vAlign w:val="center"/>
                </w:tcPr>
                <w:p w14:paraId="611F51B0">
                  <w:pPr>
                    <w:pStyle w:val="40"/>
                    <w:bidi w:val="0"/>
                  </w:pPr>
                  <w:r>
                    <w:t>39.5</w:t>
                  </w:r>
                </w:p>
              </w:tc>
              <w:tc>
                <w:tcPr>
                  <w:tcW w:w="231" w:type="pct"/>
                  <w:tcBorders>
                    <w:tl2br w:val="nil"/>
                    <w:tr2bl w:val="nil"/>
                  </w:tcBorders>
                  <w:shd w:val="clear" w:color="auto" w:fill="auto"/>
                  <w:tcMar>
                    <w:top w:w="0" w:type="dxa"/>
                    <w:left w:w="0" w:type="dxa"/>
                    <w:bottom w:w="0" w:type="dxa"/>
                    <w:right w:w="0" w:type="dxa"/>
                  </w:tcMar>
                  <w:vAlign w:val="center"/>
                </w:tcPr>
                <w:p w14:paraId="218FB5A6">
                  <w:pPr>
                    <w:pStyle w:val="40"/>
                    <w:bidi w:val="0"/>
                  </w:pPr>
                  <w:r>
                    <w:t>1</w:t>
                  </w:r>
                </w:p>
              </w:tc>
            </w:tr>
            <w:tr w14:paraId="04F9D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9" w:hRule="atLeast"/>
                <w:jc w:val="center"/>
              </w:trPr>
              <w:tc>
                <w:tcPr>
                  <w:tcW w:w="175" w:type="pct"/>
                  <w:tcBorders>
                    <w:tl2br w:val="nil"/>
                    <w:tr2bl w:val="nil"/>
                  </w:tcBorders>
                  <w:shd w:val="clear" w:color="auto" w:fill="auto"/>
                  <w:tcMar>
                    <w:top w:w="0" w:type="dxa"/>
                    <w:left w:w="0" w:type="dxa"/>
                    <w:bottom w:w="0" w:type="dxa"/>
                    <w:right w:w="0" w:type="dxa"/>
                  </w:tcMar>
                  <w:vAlign w:val="center"/>
                </w:tcPr>
                <w:p w14:paraId="2CF168EA">
                  <w:pPr>
                    <w:pStyle w:val="40"/>
                    <w:bidi w:val="0"/>
                    <w:rPr>
                      <w:rFonts w:hint="default" w:eastAsia="宋体"/>
                      <w:lang w:val="en-US" w:eastAsia="zh-CN"/>
                    </w:rPr>
                  </w:pPr>
                  <w:r>
                    <w:rPr>
                      <w:rFonts w:hint="eastAsia"/>
                      <w:lang w:val="en-US" w:eastAsia="zh-CN"/>
                    </w:rPr>
                    <w:t>14</w:t>
                  </w:r>
                </w:p>
              </w:tc>
              <w:tc>
                <w:tcPr>
                  <w:tcW w:w="199" w:type="pct"/>
                  <w:vMerge w:val="continue"/>
                  <w:tcBorders>
                    <w:tl2br w:val="nil"/>
                    <w:tr2bl w:val="nil"/>
                  </w:tcBorders>
                  <w:shd w:val="clear" w:color="auto" w:fill="auto"/>
                  <w:tcMar>
                    <w:top w:w="0" w:type="dxa"/>
                    <w:left w:w="0" w:type="dxa"/>
                    <w:bottom w:w="0" w:type="dxa"/>
                    <w:right w:w="0" w:type="dxa"/>
                  </w:tcMar>
                  <w:vAlign w:val="center"/>
                </w:tcPr>
                <w:p w14:paraId="5FB92E6A">
                  <w:pPr>
                    <w:pStyle w:val="40"/>
                    <w:bidi w:val="0"/>
                    <w:rPr>
                      <w:rFonts w:hint="eastAsia"/>
                      <w:lang w:val="en-US" w:eastAsia="zh-CN"/>
                    </w:rPr>
                  </w:pPr>
                </w:p>
              </w:tc>
              <w:tc>
                <w:tcPr>
                  <w:tcW w:w="565" w:type="pct"/>
                  <w:tcBorders>
                    <w:tl2br w:val="nil"/>
                    <w:tr2bl w:val="nil"/>
                  </w:tcBorders>
                  <w:shd w:val="clear" w:color="auto" w:fill="auto"/>
                  <w:tcMar>
                    <w:top w:w="0" w:type="dxa"/>
                    <w:left w:w="0" w:type="dxa"/>
                    <w:bottom w:w="0" w:type="dxa"/>
                    <w:right w:w="0" w:type="dxa"/>
                  </w:tcMar>
                  <w:vAlign w:val="center"/>
                </w:tcPr>
                <w:p w14:paraId="45A53810">
                  <w:pPr>
                    <w:pStyle w:val="40"/>
                    <w:bidi w:val="0"/>
                  </w:pPr>
                  <w:r>
                    <w:t>喷码机,3台（按点声源组预测）</w:t>
                  </w:r>
                </w:p>
              </w:tc>
              <w:tc>
                <w:tcPr>
                  <w:tcW w:w="362" w:type="pct"/>
                  <w:tcBorders>
                    <w:tl2br w:val="nil"/>
                    <w:tr2bl w:val="nil"/>
                  </w:tcBorders>
                  <w:shd w:val="clear" w:color="auto" w:fill="auto"/>
                  <w:tcMar>
                    <w:top w:w="0" w:type="dxa"/>
                    <w:left w:w="0" w:type="dxa"/>
                    <w:bottom w:w="0" w:type="dxa"/>
                    <w:right w:w="0" w:type="dxa"/>
                  </w:tcMar>
                  <w:vAlign w:val="center"/>
                </w:tcPr>
                <w:p w14:paraId="7AA02F81">
                  <w:pPr>
                    <w:pStyle w:val="40"/>
                    <w:bidi w:val="0"/>
                  </w:pPr>
                  <w:r>
                    <w:t>67（等效后：71.8)</w:t>
                  </w:r>
                </w:p>
              </w:tc>
              <w:tc>
                <w:tcPr>
                  <w:tcW w:w="204" w:type="pct"/>
                  <w:vMerge w:val="continue"/>
                  <w:tcBorders>
                    <w:tl2br w:val="nil"/>
                    <w:tr2bl w:val="nil"/>
                  </w:tcBorders>
                  <w:shd w:val="clear" w:color="auto" w:fill="auto"/>
                  <w:tcMar>
                    <w:top w:w="0" w:type="dxa"/>
                    <w:left w:w="0" w:type="dxa"/>
                    <w:bottom w:w="0" w:type="dxa"/>
                    <w:right w:w="0" w:type="dxa"/>
                  </w:tcMar>
                  <w:vAlign w:val="center"/>
                </w:tcPr>
                <w:p w14:paraId="550FF9BF">
                  <w:pPr>
                    <w:pStyle w:val="40"/>
                    <w:bidi w:val="0"/>
                  </w:pPr>
                </w:p>
              </w:tc>
              <w:tc>
                <w:tcPr>
                  <w:tcW w:w="181" w:type="pct"/>
                  <w:tcBorders>
                    <w:tl2br w:val="nil"/>
                    <w:tr2bl w:val="nil"/>
                  </w:tcBorders>
                  <w:shd w:val="clear" w:color="auto" w:fill="auto"/>
                  <w:tcMar>
                    <w:top w:w="0" w:type="dxa"/>
                    <w:left w:w="0" w:type="dxa"/>
                    <w:bottom w:w="0" w:type="dxa"/>
                    <w:right w:w="0" w:type="dxa"/>
                  </w:tcMar>
                  <w:vAlign w:val="center"/>
                </w:tcPr>
                <w:p w14:paraId="4F395659">
                  <w:pPr>
                    <w:pStyle w:val="40"/>
                    <w:bidi w:val="0"/>
                  </w:pPr>
                  <w:r>
                    <w:t>5.8</w:t>
                  </w:r>
                </w:p>
              </w:tc>
              <w:tc>
                <w:tcPr>
                  <w:tcW w:w="162" w:type="pct"/>
                  <w:tcBorders>
                    <w:tl2br w:val="nil"/>
                    <w:tr2bl w:val="nil"/>
                  </w:tcBorders>
                  <w:shd w:val="clear" w:color="auto" w:fill="auto"/>
                  <w:tcMar>
                    <w:top w:w="0" w:type="dxa"/>
                    <w:left w:w="0" w:type="dxa"/>
                    <w:bottom w:w="0" w:type="dxa"/>
                    <w:right w:w="0" w:type="dxa"/>
                  </w:tcMar>
                  <w:vAlign w:val="center"/>
                </w:tcPr>
                <w:p w14:paraId="17F1881F">
                  <w:pPr>
                    <w:pStyle w:val="40"/>
                    <w:bidi w:val="0"/>
                  </w:pPr>
                  <w:r>
                    <w:t>-52.3</w:t>
                  </w:r>
                </w:p>
              </w:tc>
              <w:tc>
                <w:tcPr>
                  <w:tcW w:w="143" w:type="pct"/>
                  <w:tcBorders>
                    <w:tl2br w:val="nil"/>
                    <w:tr2bl w:val="nil"/>
                  </w:tcBorders>
                  <w:shd w:val="clear" w:color="auto" w:fill="auto"/>
                  <w:tcMar>
                    <w:top w:w="0" w:type="dxa"/>
                    <w:left w:w="0" w:type="dxa"/>
                    <w:bottom w:w="0" w:type="dxa"/>
                    <w:right w:w="0" w:type="dxa"/>
                  </w:tcMar>
                  <w:vAlign w:val="center"/>
                </w:tcPr>
                <w:p w14:paraId="5BE3E9E5">
                  <w:pPr>
                    <w:pStyle w:val="40"/>
                    <w:bidi w:val="0"/>
                  </w:pPr>
                  <w:r>
                    <w:t>1.2</w:t>
                  </w:r>
                </w:p>
              </w:tc>
              <w:tc>
                <w:tcPr>
                  <w:tcW w:w="181" w:type="pct"/>
                  <w:tcBorders>
                    <w:tl2br w:val="nil"/>
                    <w:tr2bl w:val="nil"/>
                  </w:tcBorders>
                  <w:shd w:val="clear" w:color="auto" w:fill="auto"/>
                  <w:tcMar>
                    <w:top w:w="0" w:type="dxa"/>
                    <w:left w:w="0" w:type="dxa"/>
                    <w:bottom w:w="0" w:type="dxa"/>
                    <w:right w:w="0" w:type="dxa"/>
                  </w:tcMar>
                  <w:vAlign w:val="center"/>
                </w:tcPr>
                <w:p w14:paraId="0AC8B0DE">
                  <w:pPr>
                    <w:pStyle w:val="40"/>
                    <w:bidi w:val="0"/>
                  </w:pPr>
                  <w:r>
                    <w:t>61.2</w:t>
                  </w:r>
                </w:p>
              </w:tc>
              <w:tc>
                <w:tcPr>
                  <w:tcW w:w="172" w:type="pct"/>
                  <w:tcBorders>
                    <w:tl2br w:val="nil"/>
                    <w:tr2bl w:val="nil"/>
                  </w:tcBorders>
                  <w:shd w:val="clear" w:color="auto" w:fill="auto"/>
                  <w:tcMar>
                    <w:top w:w="0" w:type="dxa"/>
                    <w:left w:w="0" w:type="dxa"/>
                    <w:bottom w:w="0" w:type="dxa"/>
                    <w:right w:w="0" w:type="dxa"/>
                  </w:tcMar>
                  <w:vAlign w:val="center"/>
                </w:tcPr>
                <w:p w14:paraId="0E1D77F9">
                  <w:pPr>
                    <w:pStyle w:val="40"/>
                    <w:bidi w:val="0"/>
                  </w:pPr>
                  <w:r>
                    <w:t>21.6</w:t>
                  </w:r>
                </w:p>
              </w:tc>
              <w:tc>
                <w:tcPr>
                  <w:tcW w:w="153" w:type="pct"/>
                  <w:tcBorders>
                    <w:tl2br w:val="nil"/>
                    <w:tr2bl w:val="nil"/>
                  </w:tcBorders>
                  <w:shd w:val="clear" w:color="auto" w:fill="auto"/>
                  <w:tcMar>
                    <w:top w:w="0" w:type="dxa"/>
                    <w:left w:w="0" w:type="dxa"/>
                    <w:bottom w:w="0" w:type="dxa"/>
                    <w:right w:w="0" w:type="dxa"/>
                  </w:tcMar>
                  <w:vAlign w:val="center"/>
                </w:tcPr>
                <w:p w14:paraId="13EC7409">
                  <w:pPr>
                    <w:pStyle w:val="40"/>
                    <w:bidi w:val="0"/>
                  </w:pPr>
                  <w:r>
                    <w:t>119.2</w:t>
                  </w:r>
                </w:p>
              </w:tc>
              <w:tc>
                <w:tcPr>
                  <w:tcW w:w="172" w:type="pct"/>
                  <w:tcBorders>
                    <w:tl2br w:val="nil"/>
                    <w:tr2bl w:val="nil"/>
                  </w:tcBorders>
                  <w:shd w:val="clear" w:color="auto" w:fill="auto"/>
                  <w:tcMar>
                    <w:top w:w="0" w:type="dxa"/>
                    <w:left w:w="0" w:type="dxa"/>
                    <w:bottom w:w="0" w:type="dxa"/>
                    <w:right w:w="0" w:type="dxa"/>
                  </w:tcMar>
                  <w:vAlign w:val="center"/>
                </w:tcPr>
                <w:p w14:paraId="2DEECF0C">
                  <w:pPr>
                    <w:pStyle w:val="40"/>
                    <w:bidi w:val="0"/>
                  </w:pPr>
                  <w:r>
                    <w:t>22.7</w:t>
                  </w:r>
                </w:p>
              </w:tc>
              <w:tc>
                <w:tcPr>
                  <w:tcW w:w="167" w:type="pct"/>
                  <w:tcBorders>
                    <w:tl2br w:val="nil"/>
                    <w:tr2bl w:val="nil"/>
                  </w:tcBorders>
                  <w:shd w:val="clear" w:color="auto" w:fill="auto"/>
                  <w:tcMar>
                    <w:top w:w="0" w:type="dxa"/>
                    <w:left w:w="0" w:type="dxa"/>
                    <w:bottom w:w="0" w:type="dxa"/>
                    <w:right w:w="0" w:type="dxa"/>
                  </w:tcMar>
                  <w:vAlign w:val="center"/>
                </w:tcPr>
                <w:p w14:paraId="3BB122B9">
                  <w:pPr>
                    <w:pStyle w:val="40"/>
                    <w:bidi w:val="0"/>
                  </w:pPr>
                  <w:r>
                    <w:t>52.5</w:t>
                  </w:r>
                </w:p>
              </w:tc>
              <w:tc>
                <w:tcPr>
                  <w:tcW w:w="172" w:type="pct"/>
                  <w:tcBorders>
                    <w:tl2br w:val="nil"/>
                    <w:tr2bl w:val="nil"/>
                  </w:tcBorders>
                  <w:shd w:val="clear" w:color="auto" w:fill="auto"/>
                  <w:tcMar>
                    <w:top w:w="0" w:type="dxa"/>
                    <w:left w:w="0" w:type="dxa"/>
                    <w:bottom w:w="0" w:type="dxa"/>
                    <w:right w:w="0" w:type="dxa"/>
                  </w:tcMar>
                  <w:vAlign w:val="center"/>
                </w:tcPr>
                <w:p w14:paraId="20BF23FD">
                  <w:pPr>
                    <w:pStyle w:val="40"/>
                    <w:bidi w:val="0"/>
                  </w:pPr>
                  <w:r>
                    <w:t>52.5</w:t>
                  </w:r>
                </w:p>
              </w:tc>
              <w:tc>
                <w:tcPr>
                  <w:tcW w:w="162" w:type="pct"/>
                  <w:tcBorders>
                    <w:tl2br w:val="nil"/>
                    <w:tr2bl w:val="nil"/>
                  </w:tcBorders>
                  <w:shd w:val="clear" w:color="auto" w:fill="auto"/>
                  <w:tcMar>
                    <w:top w:w="0" w:type="dxa"/>
                    <w:left w:w="0" w:type="dxa"/>
                    <w:bottom w:w="0" w:type="dxa"/>
                    <w:right w:w="0" w:type="dxa"/>
                  </w:tcMar>
                  <w:vAlign w:val="center"/>
                </w:tcPr>
                <w:p w14:paraId="481B9722">
                  <w:pPr>
                    <w:pStyle w:val="40"/>
                    <w:bidi w:val="0"/>
                  </w:pPr>
                  <w:r>
                    <w:t>52.4</w:t>
                  </w:r>
                </w:p>
              </w:tc>
              <w:tc>
                <w:tcPr>
                  <w:tcW w:w="153" w:type="pct"/>
                  <w:tcBorders>
                    <w:tl2br w:val="nil"/>
                    <w:tr2bl w:val="nil"/>
                  </w:tcBorders>
                  <w:shd w:val="clear" w:color="auto" w:fill="auto"/>
                  <w:tcMar>
                    <w:top w:w="0" w:type="dxa"/>
                    <w:left w:w="0" w:type="dxa"/>
                    <w:bottom w:w="0" w:type="dxa"/>
                    <w:right w:w="0" w:type="dxa"/>
                  </w:tcMar>
                  <w:vAlign w:val="center"/>
                </w:tcPr>
                <w:p w14:paraId="65DFAC6E">
                  <w:pPr>
                    <w:pStyle w:val="40"/>
                    <w:bidi w:val="0"/>
                  </w:pPr>
                  <w:r>
                    <w:t>52.5</w:t>
                  </w:r>
                </w:p>
              </w:tc>
              <w:tc>
                <w:tcPr>
                  <w:tcW w:w="167" w:type="pct"/>
                  <w:tcBorders>
                    <w:tl2br w:val="nil"/>
                    <w:tr2bl w:val="nil"/>
                  </w:tcBorders>
                  <w:shd w:val="clear" w:color="auto" w:fill="auto"/>
                  <w:tcMar>
                    <w:top w:w="0" w:type="dxa"/>
                    <w:left w:w="0" w:type="dxa"/>
                    <w:bottom w:w="0" w:type="dxa"/>
                    <w:right w:w="0" w:type="dxa"/>
                  </w:tcMar>
                  <w:vAlign w:val="center"/>
                </w:tcPr>
                <w:p w14:paraId="17C4E621">
                  <w:pPr>
                    <w:pStyle w:val="40"/>
                    <w:bidi w:val="0"/>
                  </w:pPr>
                  <w:r>
                    <w:t>8.0</w:t>
                  </w:r>
                </w:p>
              </w:tc>
              <w:tc>
                <w:tcPr>
                  <w:tcW w:w="153" w:type="pct"/>
                  <w:tcBorders>
                    <w:tl2br w:val="nil"/>
                    <w:tr2bl w:val="nil"/>
                  </w:tcBorders>
                  <w:shd w:val="clear" w:color="auto" w:fill="auto"/>
                  <w:tcMar>
                    <w:top w:w="0" w:type="dxa"/>
                    <w:left w:w="0" w:type="dxa"/>
                    <w:bottom w:w="0" w:type="dxa"/>
                    <w:right w:w="0" w:type="dxa"/>
                  </w:tcMar>
                  <w:vAlign w:val="center"/>
                </w:tcPr>
                <w:p w14:paraId="611395BF">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2789EDD4">
                  <w:pPr>
                    <w:pStyle w:val="40"/>
                    <w:bidi w:val="0"/>
                  </w:pPr>
                  <w:r>
                    <w:t>26.0</w:t>
                  </w:r>
                </w:p>
              </w:tc>
              <w:tc>
                <w:tcPr>
                  <w:tcW w:w="162" w:type="pct"/>
                  <w:tcBorders>
                    <w:tl2br w:val="nil"/>
                    <w:tr2bl w:val="nil"/>
                  </w:tcBorders>
                  <w:shd w:val="clear" w:color="auto" w:fill="auto"/>
                  <w:tcMar>
                    <w:top w:w="0" w:type="dxa"/>
                    <w:left w:w="0" w:type="dxa"/>
                    <w:bottom w:w="0" w:type="dxa"/>
                    <w:right w:w="0" w:type="dxa"/>
                  </w:tcMar>
                  <w:vAlign w:val="center"/>
                </w:tcPr>
                <w:p w14:paraId="1C41DFD5">
                  <w:pPr>
                    <w:pStyle w:val="40"/>
                    <w:bidi w:val="0"/>
                  </w:pPr>
                  <w:r>
                    <w:t>26.0</w:t>
                  </w:r>
                </w:p>
              </w:tc>
              <w:tc>
                <w:tcPr>
                  <w:tcW w:w="157" w:type="pct"/>
                  <w:tcBorders>
                    <w:tl2br w:val="nil"/>
                    <w:tr2bl w:val="nil"/>
                  </w:tcBorders>
                  <w:shd w:val="clear" w:color="auto" w:fill="auto"/>
                  <w:tcMar>
                    <w:top w:w="0" w:type="dxa"/>
                    <w:left w:w="0" w:type="dxa"/>
                    <w:bottom w:w="0" w:type="dxa"/>
                    <w:right w:w="0" w:type="dxa"/>
                  </w:tcMar>
                  <w:vAlign w:val="center"/>
                </w:tcPr>
                <w:p w14:paraId="37491B32">
                  <w:pPr>
                    <w:pStyle w:val="40"/>
                    <w:bidi w:val="0"/>
                  </w:pPr>
                  <w:r>
                    <w:t>26.0</w:t>
                  </w:r>
                </w:p>
              </w:tc>
              <w:tc>
                <w:tcPr>
                  <w:tcW w:w="167" w:type="pct"/>
                  <w:tcBorders>
                    <w:tl2br w:val="nil"/>
                    <w:tr2bl w:val="nil"/>
                  </w:tcBorders>
                  <w:shd w:val="clear" w:color="auto" w:fill="auto"/>
                  <w:tcMar>
                    <w:top w:w="0" w:type="dxa"/>
                    <w:left w:w="0" w:type="dxa"/>
                    <w:bottom w:w="0" w:type="dxa"/>
                    <w:right w:w="0" w:type="dxa"/>
                  </w:tcMar>
                  <w:vAlign w:val="center"/>
                </w:tcPr>
                <w:p w14:paraId="56BD216C">
                  <w:pPr>
                    <w:pStyle w:val="40"/>
                    <w:bidi w:val="0"/>
                  </w:pPr>
                  <w:r>
                    <w:t>26.5</w:t>
                  </w:r>
                </w:p>
              </w:tc>
              <w:tc>
                <w:tcPr>
                  <w:tcW w:w="158" w:type="pct"/>
                  <w:tcBorders>
                    <w:tl2br w:val="nil"/>
                    <w:tr2bl w:val="nil"/>
                  </w:tcBorders>
                  <w:shd w:val="clear" w:color="auto" w:fill="auto"/>
                  <w:tcMar>
                    <w:top w:w="0" w:type="dxa"/>
                    <w:left w:w="0" w:type="dxa"/>
                    <w:bottom w:w="0" w:type="dxa"/>
                    <w:right w:w="0" w:type="dxa"/>
                  </w:tcMar>
                  <w:vAlign w:val="center"/>
                </w:tcPr>
                <w:p w14:paraId="49B7D99F">
                  <w:pPr>
                    <w:pStyle w:val="40"/>
                    <w:bidi w:val="0"/>
                  </w:pPr>
                  <w:r>
                    <w:t>26.5</w:t>
                  </w:r>
                </w:p>
              </w:tc>
              <w:tc>
                <w:tcPr>
                  <w:tcW w:w="153" w:type="pct"/>
                  <w:tcBorders>
                    <w:tl2br w:val="nil"/>
                    <w:tr2bl w:val="nil"/>
                  </w:tcBorders>
                  <w:shd w:val="clear" w:color="auto" w:fill="auto"/>
                  <w:tcMar>
                    <w:top w:w="0" w:type="dxa"/>
                    <w:left w:w="0" w:type="dxa"/>
                    <w:bottom w:w="0" w:type="dxa"/>
                    <w:right w:w="0" w:type="dxa"/>
                  </w:tcMar>
                  <w:vAlign w:val="center"/>
                </w:tcPr>
                <w:p w14:paraId="030A721E">
                  <w:pPr>
                    <w:pStyle w:val="40"/>
                    <w:bidi w:val="0"/>
                  </w:pPr>
                  <w:r>
                    <w:t>26.4</w:t>
                  </w:r>
                </w:p>
              </w:tc>
              <w:tc>
                <w:tcPr>
                  <w:tcW w:w="155" w:type="pct"/>
                  <w:tcBorders>
                    <w:tl2br w:val="nil"/>
                    <w:tr2bl w:val="nil"/>
                  </w:tcBorders>
                  <w:shd w:val="clear" w:color="auto" w:fill="auto"/>
                  <w:tcMar>
                    <w:top w:w="0" w:type="dxa"/>
                    <w:left w:w="0" w:type="dxa"/>
                    <w:bottom w:w="0" w:type="dxa"/>
                    <w:right w:w="0" w:type="dxa"/>
                  </w:tcMar>
                  <w:vAlign w:val="center"/>
                </w:tcPr>
                <w:p w14:paraId="74B5D5C0">
                  <w:pPr>
                    <w:pStyle w:val="40"/>
                    <w:bidi w:val="0"/>
                  </w:pPr>
                  <w:r>
                    <w:t>26.5</w:t>
                  </w:r>
                </w:p>
              </w:tc>
              <w:tc>
                <w:tcPr>
                  <w:tcW w:w="231" w:type="pct"/>
                  <w:tcBorders>
                    <w:tl2br w:val="nil"/>
                    <w:tr2bl w:val="nil"/>
                  </w:tcBorders>
                  <w:shd w:val="clear" w:color="auto" w:fill="auto"/>
                  <w:tcMar>
                    <w:top w:w="0" w:type="dxa"/>
                    <w:left w:w="0" w:type="dxa"/>
                    <w:bottom w:w="0" w:type="dxa"/>
                    <w:right w:w="0" w:type="dxa"/>
                  </w:tcMar>
                  <w:vAlign w:val="center"/>
                </w:tcPr>
                <w:p w14:paraId="291420BF">
                  <w:pPr>
                    <w:pStyle w:val="40"/>
                    <w:bidi w:val="0"/>
                  </w:pPr>
                  <w:r>
                    <w:t>1</w:t>
                  </w:r>
                </w:p>
              </w:tc>
            </w:tr>
            <w:tr w14:paraId="289A5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 w:hRule="atLeast"/>
                <w:jc w:val="center"/>
              </w:trPr>
              <w:tc>
                <w:tcPr>
                  <w:tcW w:w="5000" w:type="pct"/>
                  <w:gridSpan w:val="26"/>
                  <w:tcBorders>
                    <w:tl2br w:val="nil"/>
                    <w:tr2bl w:val="nil"/>
                  </w:tcBorders>
                  <w:shd w:val="clear" w:color="auto" w:fill="auto"/>
                  <w:tcMar>
                    <w:top w:w="0" w:type="dxa"/>
                    <w:left w:w="0" w:type="dxa"/>
                    <w:bottom w:w="0" w:type="dxa"/>
                    <w:right w:w="0" w:type="dxa"/>
                  </w:tcMar>
                  <w:vAlign w:val="center"/>
                </w:tcPr>
                <w:p w14:paraId="2A28452B">
                  <w:pPr>
                    <w:pStyle w:val="40"/>
                    <w:bidi w:val="0"/>
                    <w:rPr>
                      <w:rFonts w:hint="eastAsia" w:eastAsia="宋体"/>
                      <w:lang w:val="en-US" w:eastAsia="zh-CN"/>
                    </w:rPr>
                  </w:pPr>
                  <w:r>
                    <w:rPr>
                      <w:rFonts w:hint="eastAsia"/>
                      <w:lang w:val="en-US" w:eastAsia="zh-CN"/>
                    </w:rPr>
                    <w:t>室外声源</w:t>
                  </w:r>
                </w:p>
              </w:tc>
            </w:tr>
            <w:tr w14:paraId="2069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75" w:type="pct"/>
                  <w:tcBorders>
                    <w:tl2br w:val="nil"/>
                    <w:tr2bl w:val="nil"/>
                  </w:tcBorders>
                  <w:shd w:val="clear" w:color="auto" w:fill="auto"/>
                  <w:tcMar>
                    <w:top w:w="0" w:type="dxa"/>
                    <w:left w:w="0" w:type="dxa"/>
                    <w:bottom w:w="0" w:type="dxa"/>
                    <w:right w:w="0" w:type="dxa"/>
                  </w:tcMar>
                  <w:vAlign w:val="center"/>
                </w:tcPr>
                <w:p w14:paraId="0B53027A">
                  <w:pPr>
                    <w:pStyle w:val="40"/>
                    <w:bidi w:val="0"/>
                    <w:rPr>
                      <w:rFonts w:hint="eastAsia"/>
                      <w:lang w:val="en-US" w:eastAsia="zh-CN"/>
                    </w:rPr>
                  </w:pPr>
                  <w:r>
                    <w:t>1</w:t>
                  </w:r>
                </w:p>
              </w:tc>
              <w:tc>
                <w:tcPr>
                  <w:tcW w:w="764" w:type="pct"/>
                  <w:gridSpan w:val="2"/>
                  <w:tcBorders>
                    <w:tl2br w:val="nil"/>
                    <w:tr2bl w:val="nil"/>
                  </w:tcBorders>
                  <w:shd w:val="clear" w:color="auto" w:fill="auto"/>
                  <w:tcMar>
                    <w:top w:w="0" w:type="dxa"/>
                    <w:left w:w="0" w:type="dxa"/>
                    <w:bottom w:w="0" w:type="dxa"/>
                    <w:right w:w="0" w:type="dxa"/>
                  </w:tcMar>
                  <w:vAlign w:val="center"/>
                </w:tcPr>
                <w:p w14:paraId="2AEB7924">
                  <w:pPr>
                    <w:pStyle w:val="40"/>
                    <w:bidi w:val="0"/>
                  </w:pPr>
                  <w:r>
                    <w:t>52m泵车,3台（按点声源组预测）</w:t>
                  </w:r>
                </w:p>
              </w:tc>
              <w:tc>
                <w:tcPr>
                  <w:tcW w:w="362" w:type="pct"/>
                  <w:tcBorders>
                    <w:tl2br w:val="nil"/>
                    <w:tr2bl w:val="nil"/>
                  </w:tcBorders>
                  <w:shd w:val="clear" w:color="auto" w:fill="auto"/>
                  <w:tcMar>
                    <w:top w:w="0" w:type="dxa"/>
                    <w:left w:w="0" w:type="dxa"/>
                    <w:bottom w:w="0" w:type="dxa"/>
                    <w:right w:w="0" w:type="dxa"/>
                  </w:tcMar>
                  <w:vAlign w:val="center"/>
                </w:tcPr>
                <w:p w14:paraId="50E8B50D">
                  <w:pPr>
                    <w:pStyle w:val="40"/>
                    <w:bidi w:val="0"/>
                  </w:pPr>
                  <w:r>
                    <w:t>88（等效后：92.8)</w:t>
                  </w:r>
                </w:p>
              </w:tc>
              <w:tc>
                <w:tcPr>
                  <w:tcW w:w="204" w:type="pct"/>
                  <w:vMerge w:val="restart"/>
                  <w:tcBorders>
                    <w:tl2br w:val="nil"/>
                    <w:tr2bl w:val="nil"/>
                  </w:tcBorders>
                  <w:shd w:val="clear" w:color="auto" w:fill="auto"/>
                  <w:tcMar>
                    <w:top w:w="0" w:type="dxa"/>
                    <w:left w:w="0" w:type="dxa"/>
                    <w:bottom w:w="0" w:type="dxa"/>
                    <w:right w:w="0" w:type="dxa"/>
                  </w:tcMar>
                  <w:vAlign w:val="center"/>
                </w:tcPr>
                <w:p w14:paraId="721FAA51">
                  <w:pPr>
                    <w:pStyle w:val="40"/>
                    <w:bidi w:val="0"/>
                    <w:rPr>
                      <w:rFonts w:hint="eastAsia"/>
                      <w:lang w:val="en-US" w:eastAsia="zh-CN"/>
                    </w:rPr>
                  </w:pPr>
                  <w:r>
                    <w:rPr>
                      <w:rFonts w:hint="eastAsia"/>
                      <w:lang w:val="en-US" w:eastAsia="zh-CN"/>
                    </w:rPr>
                    <w:t>/</w:t>
                  </w:r>
                </w:p>
              </w:tc>
              <w:tc>
                <w:tcPr>
                  <w:tcW w:w="181" w:type="pct"/>
                  <w:tcBorders>
                    <w:tl2br w:val="nil"/>
                    <w:tr2bl w:val="nil"/>
                  </w:tcBorders>
                  <w:shd w:val="clear" w:color="auto" w:fill="auto"/>
                  <w:tcMar>
                    <w:top w:w="0" w:type="dxa"/>
                    <w:left w:w="0" w:type="dxa"/>
                    <w:bottom w:w="0" w:type="dxa"/>
                    <w:right w:w="0" w:type="dxa"/>
                  </w:tcMar>
                  <w:vAlign w:val="center"/>
                </w:tcPr>
                <w:p w14:paraId="072AA612">
                  <w:pPr>
                    <w:pStyle w:val="40"/>
                    <w:bidi w:val="0"/>
                  </w:pPr>
                  <w:r>
                    <w:t>56.9</w:t>
                  </w:r>
                </w:p>
              </w:tc>
              <w:tc>
                <w:tcPr>
                  <w:tcW w:w="162" w:type="pct"/>
                  <w:tcBorders>
                    <w:tl2br w:val="nil"/>
                    <w:tr2bl w:val="nil"/>
                  </w:tcBorders>
                  <w:shd w:val="clear" w:color="auto" w:fill="auto"/>
                  <w:tcMar>
                    <w:top w:w="0" w:type="dxa"/>
                    <w:left w:w="0" w:type="dxa"/>
                    <w:bottom w:w="0" w:type="dxa"/>
                    <w:right w:w="0" w:type="dxa"/>
                  </w:tcMar>
                  <w:vAlign w:val="center"/>
                </w:tcPr>
                <w:p w14:paraId="769DBCF8">
                  <w:pPr>
                    <w:pStyle w:val="40"/>
                    <w:bidi w:val="0"/>
                  </w:pPr>
                  <w:r>
                    <w:t>42.3</w:t>
                  </w:r>
                </w:p>
              </w:tc>
              <w:tc>
                <w:tcPr>
                  <w:tcW w:w="143" w:type="pct"/>
                  <w:tcBorders>
                    <w:tl2br w:val="nil"/>
                    <w:tr2bl w:val="nil"/>
                  </w:tcBorders>
                  <w:shd w:val="clear" w:color="auto" w:fill="auto"/>
                  <w:tcMar>
                    <w:top w:w="0" w:type="dxa"/>
                    <w:left w:w="0" w:type="dxa"/>
                    <w:bottom w:w="0" w:type="dxa"/>
                    <w:right w:w="0" w:type="dxa"/>
                  </w:tcMar>
                  <w:vAlign w:val="center"/>
                </w:tcPr>
                <w:p w14:paraId="16421B3B">
                  <w:pPr>
                    <w:pStyle w:val="40"/>
                    <w:bidi w:val="0"/>
                  </w:pPr>
                  <w:r>
                    <w:t>1.2</w:t>
                  </w:r>
                </w:p>
              </w:tc>
              <w:tc>
                <w:tcPr>
                  <w:tcW w:w="1334" w:type="pct"/>
                  <w:gridSpan w:val="8"/>
                  <w:tcBorders>
                    <w:tl2br w:val="nil"/>
                    <w:tr2bl w:val="nil"/>
                  </w:tcBorders>
                  <w:shd w:val="clear" w:color="auto" w:fill="auto"/>
                  <w:tcMar>
                    <w:top w:w="0" w:type="dxa"/>
                    <w:left w:w="0" w:type="dxa"/>
                    <w:bottom w:w="0" w:type="dxa"/>
                    <w:right w:w="0" w:type="dxa"/>
                  </w:tcMar>
                  <w:vAlign w:val="center"/>
                </w:tcPr>
                <w:p w14:paraId="72A1D786">
                  <w:pPr>
                    <w:pStyle w:val="40"/>
                    <w:bidi w:val="0"/>
                    <w:rPr>
                      <w:rFonts w:hint="eastAsia"/>
                      <w:lang w:val="en-US" w:eastAsia="zh-CN"/>
                    </w:rPr>
                  </w:pPr>
                  <w:r>
                    <w:rPr>
                      <w:rFonts w:hint="eastAsia"/>
                      <w:lang w:val="en-US" w:eastAsia="zh-CN"/>
                    </w:rPr>
                    <w:t>/</w:t>
                  </w:r>
                </w:p>
              </w:tc>
              <w:tc>
                <w:tcPr>
                  <w:tcW w:w="167" w:type="pct"/>
                  <w:tcBorders>
                    <w:tl2br w:val="nil"/>
                    <w:tr2bl w:val="nil"/>
                  </w:tcBorders>
                  <w:shd w:val="clear" w:color="auto" w:fill="auto"/>
                  <w:tcMar>
                    <w:top w:w="0" w:type="dxa"/>
                    <w:left w:w="0" w:type="dxa"/>
                    <w:bottom w:w="0" w:type="dxa"/>
                    <w:right w:w="0" w:type="dxa"/>
                  </w:tcMar>
                  <w:vAlign w:val="center"/>
                </w:tcPr>
                <w:p w14:paraId="2CD6A3C4">
                  <w:pPr>
                    <w:pStyle w:val="40"/>
                    <w:bidi w:val="0"/>
                    <w:rPr>
                      <w:rFonts w:hint="default"/>
                      <w:lang w:val="en-US" w:eastAsia="zh-CN"/>
                    </w:rPr>
                  </w:pPr>
                  <w:r>
                    <w:rPr>
                      <w:rFonts w:hint="eastAsia"/>
                      <w:lang w:val="en-US" w:eastAsia="zh-CN"/>
                    </w:rPr>
                    <w:t>8.0</w:t>
                  </w:r>
                </w:p>
              </w:tc>
              <w:tc>
                <w:tcPr>
                  <w:tcW w:w="1502" w:type="pct"/>
                  <w:gridSpan w:val="9"/>
                  <w:tcBorders>
                    <w:tl2br w:val="nil"/>
                    <w:tr2bl w:val="nil"/>
                  </w:tcBorders>
                  <w:shd w:val="clear" w:color="auto" w:fill="auto"/>
                  <w:tcMar>
                    <w:top w:w="0" w:type="dxa"/>
                    <w:left w:w="0" w:type="dxa"/>
                    <w:bottom w:w="0" w:type="dxa"/>
                    <w:right w:w="0" w:type="dxa"/>
                  </w:tcMar>
                  <w:vAlign w:val="center"/>
                </w:tcPr>
                <w:p w14:paraId="394B58A1">
                  <w:pPr>
                    <w:pStyle w:val="40"/>
                    <w:bidi w:val="0"/>
                    <w:rPr>
                      <w:rFonts w:hint="eastAsia"/>
                      <w:lang w:val="en-US" w:eastAsia="zh-CN"/>
                    </w:rPr>
                  </w:pPr>
                  <w:r>
                    <w:rPr>
                      <w:rFonts w:hint="eastAsia"/>
                      <w:lang w:val="en-US" w:eastAsia="zh-CN"/>
                    </w:rPr>
                    <w:t>/</w:t>
                  </w:r>
                </w:p>
              </w:tc>
            </w:tr>
            <w:tr w14:paraId="6019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3" w:hRule="atLeast"/>
                <w:jc w:val="center"/>
              </w:trPr>
              <w:tc>
                <w:tcPr>
                  <w:tcW w:w="175" w:type="pct"/>
                  <w:tcBorders>
                    <w:tl2br w:val="nil"/>
                    <w:tr2bl w:val="nil"/>
                  </w:tcBorders>
                  <w:shd w:val="clear" w:color="auto" w:fill="auto"/>
                  <w:tcMar>
                    <w:top w:w="0" w:type="dxa"/>
                    <w:left w:w="0" w:type="dxa"/>
                    <w:bottom w:w="0" w:type="dxa"/>
                    <w:right w:w="0" w:type="dxa"/>
                  </w:tcMar>
                  <w:vAlign w:val="center"/>
                </w:tcPr>
                <w:p w14:paraId="231E1795">
                  <w:pPr>
                    <w:pStyle w:val="40"/>
                    <w:bidi w:val="0"/>
                    <w:rPr>
                      <w:rFonts w:hint="eastAsia"/>
                      <w:lang w:val="en-US" w:eastAsia="zh-CN"/>
                    </w:rPr>
                  </w:pPr>
                  <w:r>
                    <w:t>2</w:t>
                  </w:r>
                </w:p>
              </w:tc>
              <w:tc>
                <w:tcPr>
                  <w:tcW w:w="764" w:type="pct"/>
                  <w:gridSpan w:val="2"/>
                  <w:tcBorders>
                    <w:tl2br w:val="nil"/>
                    <w:tr2bl w:val="nil"/>
                  </w:tcBorders>
                  <w:shd w:val="clear" w:color="auto" w:fill="auto"/>
                  <w:tcMar>
                    <w:top w:w="0" w:type="dxa"/>
                    <w:left w:w="0" w:type="dxa"/>
                    <w:bottom w:w="0" w:type="dxa"/>
                    <w:right w:w="0" w:type="dxa"/>
                  </w:tcMar>
                  <w:vAlign w:val="center"/>
                </w:tcPr>
                <w:p w14:paraId="07738E12">
                  <w:pPr>
                    <w:pStyle w:val="40"/>
                    <w:bidi w:val="0"/>
                  </w:pPr>
                  <w:r>
                    <w:t>叉车,4台（按点声源组预测）</w:t>
                  </w:r>
                </w:p>
              </w:tc>
              <w:tc>
                <w:tcPr>
                  <w:tcW w:w="362" w:type="pct"/>
                  <w:tcBorders>
                    <w:tl2br w:val="nil"/>
                    <w:tr2bl w:val="nil"/>
                  </w:tcBorders>
                  <w:shd w:val="clear" w:color="auto" w:fill="auto"/>
                  <w:tcMar>
                    <w:top w:w="0" w:type="dxa"/>
                    <w:left w:w="0" w:type="dxa"/>
                    <w:bottom w:w="0" w:type="dxa"/>
                    <w:right w:w="0" w:type="dxa"/>
                  </w:tcMar>
                  <w:vAlign w:val="center"/>
                </w:tcPr>
                <w:p w14:paraId="0E248B76">
                  <w:pPr>
                    <w:pStyle w:val="40"/>
                    <w:bidi w:val="0"/>
                  </w:pPr>
                  <w:r>
                    <w:t>65（等效后：71.0)</w:t>
                  </w:r>
                </w:p>
              </w:tc>
              <w:tc>
                <w:tcPr>
                  <w:tcW w:w="204" w:type="pct"/>
                  <w:vMerge w:val="continue"/>
                  <w:tcBorders>
                    <w:tl2br w:val="nil"/>
                    <w:tr2bl w:val="nil"/>
                  </w:tcBorders>
                  <w:shd w:val="clear" w:color="auto" w:fill="auto"/>
                  <w:tcMar>
                    <w:top w:w="0" w:type="dxa"/>
                    <w:left w:w="0" w:type="dxa"/>
                    <w:bottom w:w="0" w:type="dxa"/>
                    <w:right w:w="0" w:type="dxa"/>
                  </w:tcMar>
                  <w:vAlign w:val="center"/>
                </w:tcPr>
                <w:p w14:paraId="2308154E">
                  <w:pPr>
                    <w:pStyle w:val="40"/>
                    <w:bidi w:val="0"/>
                  </w:pPr>
                </w:p>
              </w:tc>
              <w:tc>
                <w:tcPr>
                  <w:tcW w:w="181" w:type="pct"/>
                  <w:tcBorders>
                    <w:tl2br w:val="nil"/>
                    <w:tr2bl w:val="nil"/>
                  </w:tcBorders>
                  <w:shd w:val="clear" w:color="auto" w:fill="auto"/>
                  <w:tcMar>
                    <w:top w:w="0" w:type="dxa"/>
                    <w:left w:w="0" w:type="dxa"/>
                    <w:bottom w:w="0" w:type="dxa"/>
                    <w:right w:w="0" w:type="dxa"/>
                  </w:tcMar>
                  <w:vAlign w:val="center"/>
                </w:tcPr>
                <w:p w14:paraId="77C020FC">
                  <w:pPr>
                    <w:pStyle w:val="40"/>
                    <w:bidi w:val="0"/>
                  </w:pPr>
                  <w:r>
                    <w:t>67.5</w:t>
                  </w:r>
                </w:p>
              </w:tc>
              <w:tc>
                <w:tcPr>
                  <w:tcW w:w="162" w:type="pct"/>
                  <w:tcBorders>
                    <w:tl2br w:val="nil"/>
                    <w:tr2bl w:val="nil"/>
                  </w:tcBorders>
                  <w:shd w:val="clear" w:color="auto" w:fill="auto"/>
                  <w:tcMar>
                    <w:top w:w="0" w:type="dxa"/>
                    <w:left w:w="0" w:type="dxa"/>
                    <w:bottom w:w="0" w:type="dxa"/>
                    <w:right w:w="0" w:type="dxa"/>
                  </w:tcMar>
                  <w:vAlign w:val="center"/>
                </w:tcPr>
                <w:p w14:paraId="492A1DDE">
                  <w:pPr>
                    <w:pStyle w:val="40"/>
                    <w:bidi w:val="0"/>
                  </w:pPr>
                  <w:r>
                    <w:t>26.1</w:t>
                  </w:r>
                </w:p>
              </w:tc>
              <w:tc>
                <w:tcPr>
                  <w:tcW w:w="143" w:type="pct"/>
                  <w:tcBorders>
                    <w:tl2br w:val="nil"/>
                    <w:tr2bl w:val="nil"/>
                  </w:tcBorders>
                  <w:shd w:val="clear" w:color="auto" w:fill="auto"/>
                  <w:tcMar>
                    <w:top w:w="0" w:type="dxa"/>
                    <w:left w:w="0" w:type="dxa"/>
                    <w:bottom w:w="0" w:type="dxa"/>
                    <w:right w:w="0" w:type="dxa"/>
                  </w:tcMar>
                  <w:vAlign w:val="center"/>
                </w:tcPr>
                <w:p w14:paraId="034DBB02">
                  <w:pPr>
                    <w:pStyle w:val="40"/>
                    <w:bidi w:val="0"/>
                  </w:pPr>
                  <w:r>
                    <w:t>1.2</w:t>
                  </w:r>
                </w:p>
              </w:tc>
              <w:tc>
                <w:tcPr>
                  <w:tcW w:w="1334" w:type="pct"/>
                  <w:gridSpan w:val="8"/>
                  <w:tcBorders>
                    <w:tl2br w:val="nil"/>
                    <w:tr2bl w:val="nil"/>
                  </w:tcBorders>
                  <w:shd w:val="clear" w:color="auto" w:fill="auto"/>
                  <w:tcMar>
                    <w:top w:w="0" w:type="dxa"/>
                    <w:left w:w="0" w:type="dxa"/>
                    <w:bottom w:w="0" w:type="dxa"/>
                    <w:right w:w="0" w:type="dxa"/>
                  </w:tcMar>
                  <w:vAlign w:val="center"/>
                </w:tcPr>
                <w:p w14:paraId="092E12FC">
                  <w:pPr>
                    <w:pStyle w:val="40"/>
                    <w:bidi w:val="0"/>
                    <w:rPr>
                      <w:rFonts w:hint="eastAsia"/>
                      <w:lang w:val="en-US" w:eastAsia="zh-CN"/>
                    </w:rPr>
                  </w:pPr>
                  <w:r>
                    <w:rPr>
                      <w:rFonts w:hint="eastAsia"/>
                      <w:lang w:val="en-US" w:eastAsia="zh-CN"/>
                    </w:rPr>
                    <w:t>/</w:t>
                  </w:r>
                </w:p>
              </w:tc>
              <w:tc>
                <w:tcPr>
                  <w:tcW w:w="167" w:type="pct"/>
                  <w:tcBorders>
                    <w:tl2br w:val="nil"/>
                    <w:tr2bl w:val="nil"/>
                  </w:tcBorders>
                  <w:shd w:val="clear" w:color="auto" w:fill="auto"/>
                  <w:tcMar>
                    <w:top w:w="0" w:type="dxa"/>
                    <w:left w:w="0" w:type="dxa"/>
                    <w:bottom w:w="0" w:type="dxa"/>
                    <w:right w:w="0" w:type="dxa"/>
                  </w:tcMar>
                  <w:vAlign w:val="center"/>
                </w:tcPr>
                <w:p w14:paraId="7D1009D3">
                  <w:pPr>
                    <w:pStyle w:val="40"/>
                    <w:bidi w:val="0"/>
                  </w:pPr>
                  <w:r>
                    <w:rPr>
                      <w:rFonts w:hint="eastAsia"/>
                      <w:lang w:val="en-US" w:eastAsia="zh-CN"/>
                    </w:rPr>
                    <w:t>8.0</w:t>
                  </w:r>
                </w:p>
              </w:tc>
              <w:tc>
                <w:tcPr>
                  <w:tcW w:w="1502" w:type="pct"/>
                  <w:gridSpan w:val="9"/>
                  <w:tcBorders>
                    <w:tl2br w:val="nil"/>
                    <w:tr2bl w:val="nil"/>
                  </w:tcBorders>
                  <w:shd w:val="clear" w:color="auto" w:fill="auto"/>
                  <w:tcMar>
                    <w:top w:w="0" w:type="dxa"/>
                    <w:left w:w="0" w:type="dxa"/>
                    <w:bottom w:w="0" w:type="dxa"/>
                    <w:right w:w="0" w:type="dxa"/>
                  </w:tcMar>
                  <w:vAlign w:val="center"/>
                </w:tcPr>
                <w:p w14:paraId="4DE9E777">
                  <w:pPr>
                    <w:pStyle w:val="40"/>
                    <w:bidi w:val="0"/>
                    <w:rPr>
                      <w:rFonts w:hint="eastAsia"/>
                      <w:lang w:val="en-US" w:eastAsia="zh-CN"/>
                    </w:rPr>
                  </w:pPr>
                  <w:r>
                    <w:rPr>
                      <w:rFonts w:hint="eastAsia"/>
                      <w:lang w:val="en-US" w:eastAsia="zh-CN"/>
                    </w:rPr>
                    <w:t>/</w:t>
                  </w:r>
                </w:p>
              </w:tc>
            </w:tr>
            <w:tr w14:paraId="389C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75" w:type="pct"/>
                  <w:tcBorders>
                    <w:tl2br w:val="nil"/>
                    <w:tr2bl w:val="nil"/>
                  </w:tcBorders>
                  <w:shd w:val="clear" w:color="auto" w:fill="auto"/>
                  <w:tcMar>
                    <w:top w:w="0" w:type="dxa"/>
                    <w:left w:w="0" w:type="dxa"/>
                    <w:bottom w:w="0" w:type="dxa"/>
                    <w:right w:w="0" w:type="dxa"/>
                  </w:tcMar>
                  <w:vAlign w:val="center"/>
                </w:tcPr>
                <w:p w14:paraId="6A1EFE0E">
                  <w:pPr>
                    <w:pStyle w:val="40"/>
                    <w:bidi w:val="0"/>
                    <w:rPr>
                      <w:rFonts w:hint="eastAsia"/>
                      <w:lang w:val="en-US" w:eastAsia="zh-CN"/>
                    </w:rPr>
                  </w:pPr>
                  <w:r>
                    <w:t>3</w:t>
                  </w:r>
                </w:p>
              </w:tc>
              <w:tc>
                <w:tcPr>
                  <w:tcW w:w="764" w:type="pct"/>
                  <w:gridSpan w:val="2"/>
                  <w:tcBorders>
                    <w:tl2br w:val="nil"/>
                    <w:tr2bl w:val="nil"/>
                  </w:tcBorders>
                  <w:shd w:val="clear" w:color="auto" w:fill="auto"/>
                  <w:tcMar>
                    <w:top w:w="0" w:type="dxa"/>
                    <w:left w:w="0" w:type="dxa"/>
                    <w:bottom w:w="0" w:type="dxa"/>
                    <w:right w:w="0" w:type="dxa"/>
                  </w:tcMar>
                  <w:vAlign w:val="center"/>
                </w:tcPr>
                <w:p w14:paraId="4ED1F4CE">
                  <w:pPr>
                    <w:pStyle w:val="40"/>
                    <w:bidi w:val="0"/>
                  </w:pPr>
                  <w:r>
                    <w:t>20型铲车,2台（按点声源组预测）</w:t>
                  </w:r>
                </w:p>
              </w:tc>
              <w:tc>
                <w:tcPr>
                  <w:tcW w:w="362" w:type="pct"/>
                  <w:tcBorders>
                    <w:tl2br w:val="nil"/>
                    <w:tr2bl w:val="nil"/>
                  </w:tcBorders>
                  <w:shd w:val="clear" w:color="auto" w:fill="auto"/>
                  <w:tcMar>
                    <w:top w:w="0" w:type="dxa"/>
                    <w:left w:w="0" w:type="dxa"/>
                    <w:bottom w:w="0" w:type="dxa"/>
                    <w:right w:w="0" w:type="dxa"/>
                  </w:tcMar>
                  <w:vAlign w:val="center"/>
                </w:tcPr>
                <w:p w14:paraId="1BD0210D">
                  <w:pPr>
                    <w:pStyle w:val="40"/>
                    <w:bidi w:val="0"/>
                  </w:pPr>
                  <w:r>
                    <w:t>73（等效后：76.0)</w:t>
                  </w:r>
                </w:p>
              </w:tc>
              <w:tc>
                <w:tcPr>
                  <w:tcW w:w="204" w:type="pct"/>
                  <w:vMerge w:val="continue"/>
                  <w:tcBorders>
                    <w:tl2br w:val="nil"/>
                    <w:tr2bl w:val="nil"/>
                  </w:tcBorders>
                  <w:shd w:val="clear" w:color="auto" w:fill="auto"/>
                  <w:tcMar>
                    <w:top w:w="0" w:type="dxa"/>
                    <w:left w:w="0" w:type="dxa"/>
                    <w:bottom w:w="0" w:type="dxa"/>
                    <w:right w:w="0" w:type="dxa"/>
                  </w:tcMar>
                  <w:vAlign w:val="center"/>
                </w:tcPr>
                <w:p w14:paraId="01615209">
                  <w:pPr>
                    <w:pStyle w:val="40"/>
                    <w:bidi w:val="0"/>
                  </w:pPr>
                </w:p>
              </w:tc>
              <w:tc>
                <w:tcPr>
                  <w:tcW w:w="181" w:type="pct"/>
                  <w:tcBorders>
                    <w:tl2br w:val="nil"/>
                    <w:tr2bl w:val="nil"/>
                  </w:tcBorders>
                  <w:shd w:val="clear" w:color="auto" w:fill="auto"/>
                  <w:tcMar>
                    <w:top w:w="0" w:type="dxa"/>
                    <w:left w:w="0" w:type="dxa"/>
                    <w:bottom w:w="0" w:type="dxa"/>
                    <w:right w:w="0" w:type="dxa"/>
                  </w:tcMar>
                  <w:vAlign w:val="center"/>
                </w:tcPr>
                <w:p w14:paraId="45F92E41">
                  <w:pPr>
                    <w:pStyle w:val="40"/>
                    <w:bidi w:val="0"/>
                  </w:pPr>
                  <w:r>
                    <w:t>80.5</w:t>
                  </w:r>
                </w:p>
              </w:tc>
              <w:tc>
                <w:tcPr>
                  <w:tcW w:w="162" w:type="pct"/>
                  <w:tcBorders>
                    <w:tl2br w:val="nil"/>
                    <w:tr2bl w:val="nil"/>
                  </w:tcBorders>
                  <w:shd w:val="clear" w:color="auto" w:fill="auto"/>
                  <w:tcMar>
                    <w:top w:w="0" w:type="dxa"/>
                    <w:left w:w="0" w:type="dxa"/>
                    <w:bottom w:w="0" w:type="dxa"/>
                    <w:right w:w="0" w:type="dxa"/>
                  </w:tcMar>
                  <w:vAlign w:val="center"/>
                </w:tcPr>
                <w:p w14:paraId="696AB81C">
                  <w:pPr>
                    <w:pStyle w:val="40"/>
                    <w:bidi w:val="0"/>
                  </w:pPr>
                  <w:r>
                    <w:t>42.8</w:t>
                  </w:r>
                </w:p>
              </w:tc>
              <w:tc>
                <w:tcPr>
                  <w:tcW w:w="143" w:type="pct"/>
                  <w:tcBorders>
                    <w:tl2br w:val="nil"/>
                    <w:tr2bl w:val="nil"/>
                  </w:tcBorders>
                  <w:shd w:val="clear" w:color="auto" w:fill="auto"/>
                  <w:tcMar>
                    <w:top w:w="0" w:type="dxa"/>
                    <w:left w:w="0" w:type="dxa"/>
                    <w:bottom w:w="0" w:type="dxa"/>
                    <w:right w:w="0" w:type="dxa"/>
                  </w:tcMar>
                  <w:vAlign w:val="center"/>
                </w:tcPr>
                <w:p w14:paraId="3B9DB4B2">
                  <w:pPr>
                    <w:pStyle w:val="40"/>
                    <w:bidi w:val="0"/>
                  </w:pPr>
                  <w:r>
                    <w:t>1.2</w:t>
                  </w:r>
                </w:p>
              </w:tc>
              <w:tc>
                <w:tcPr>
                  <w:tcW w:w="1334" w:type="pct"/>
                  <w:gridSpan w:val="8"/>
                  <w:tcBorders>
                    <w:tl2br w:val="nil"/>
                    <w:tr2bl w:val="nil"/>
                  </w:tcBorders>
                  <w:shd w:val="clear" w:color="auto" w:fill="auto"/>
                  <w:tcMar>
                    <w:top w:w="0" w:type="dxa"/>
                    <w:left w:w="0" w:type="dxa"/>
                    <w:bottom w:w="0" w:type="dxa"/>
                    <w:right w:w="0" w:type="dxa"/>
                  </w:tcMar>
                  <w:vAlign w:val="center"/>
                </w:tcPr>
                <w:p w14:paraId="2B890CFC">
                  <w:pPr>
                    <w:pStyle w:val="40"/>
                    <w:bidi w:val="0"/>
                    <w:rPr>
                      <w:rFonts w:hint="eastAsia"/>
                      <w:lang w:val="en-US" w:eastAsia="zh-CN"/>
                    </w:rPr>
                  </w:pPr>
                  <w:r>
                    <w:rPr>
                      <w:rFonts w:hint="eastAsia"/>
                      <w:lang w:val="en-US" w:eastAsia="zh-CN"/>
                    </w:rPr>
                    <w:t>/</w:t>
                  </w:r>
                </w:p>
              </w:tc>
              <w:tc>
                <w:tcPr>
                  <w:tcW w:w="167" w:type="pct"/>
                  <w:tcBorders>
                    <w:tl2br w:val="nil"/>
                    <w:tr2bl w:val="nil"/>
                  </w:tcBorders>
                  <w:shd w:val="clear" w:color="auto" w:fill="auto"/>
                  <w:tcMar>
                    <w:top w:w="0" w:type="dxa"/>
                    <w:left w:w="0" w:type="dxa"/>
                    <w:bottom w:w="0" w:type="dxa"/>
                    <w:right w:w="0" w:type="dxa"/>
                  </w:tcMar>
                  <w:vAlign w:val="center"/>
                </w:tcPr>
                <w:p w14:paraId="5D582098">
                  <w:pPr>
                    <w:pStyle w:val="40"/>
                    <w:bidi w:val="0"/>
                  </w:pPr>
                  <w:r>
                    <w:rPr>
                      <w:rFonts w:hint="eastAsia"/>
                      <w:lang w:val="en-US" w:eastAsia="zh-CN"/>
                    </w:rPr>
                    <w:t>8.0</w:t>
                  </w:r>
                </w:p>
              </w:tc>
              <w:tc>
                <w:tcPr>
                  <w:tcW w:w="1502" w:type="pct"/>
                  <w:gridSpan w:val="9"/>
                  <w:tcBorders>
                    <w:tl2br w:val="nil"/>
                    <w:tr2bl w:val="nil"/>
                  </w:tcBorders>
                  <w:shd w:val="clear" w:color="auto" w:fill="auto"/>
                  <w:tcMar>
                    <w:top w:w="0" w:type="dxa"/>
                    <w:left w:w="0" w:type="dxa"/>
                    <w:bottom w:w="0" w:type="dxa"/>
                    <w:right w:w="0" w:type="dxa"/>
                  </w:tcMar>
                  <w:vAlign w:val="center"/>
                </w:tcPr>
                <w:p w14:paraId="6624B649">
                  <w:pPr>
                    <w:pStyle w:val="40"/>
                    <w:bidi w:val="0"/>
                    <w:rPr>
                      <w:rFonts w:hint="eastAsia"/>
                      <w:lang w:val="en-US" w:eastAsia="zh-CN"/>
                    </w:rPr>
                  </w:pPr>
                  <w:r>
                    <w:rPr>
                      <w:rFonts w:hint="eastAsia"/>
                      <w:lang w:val="en-US" w:eastAsia="zh-CN"/>
                    </w:rPr>
                    <w:t>/</w:t>
                  </w:r>
                </w:p>
              </w:tc>
            </w:tr>
            <w:bookmarkEnd w:id="24"/>
          </w:tbl>
          <w:p w14:paraId="335F010F">
            <w:pPr>
              <w:pStyle w:val="44"/>
              <w:bidi w:val="0"/>
              <w:rPr>
                <w:rFonts w:hint="eastAsia"/>
                <w:vertAlign w:val="baseline"/>
              </w:rPr>
            </w:pPr>
            <w:r>
              <w:rPr>
                <w:rFonts w:hint="default"/>
                <w:lang w:val="en-US" w:eastAsia="zh-CN"/>
              </w:rPr>
              <w:t>表中坐标以厂界中心（</w:t>
            </w:r>
            <w:bookmarkStart w:id="26" w:name="PO_7"/>
            <w:r>
              <w:rPr>
                <w:rFonts w:hint="default"/>
                <w:lang w:val="en-US" w:eastAsia="zh-CN"/>
              </w:rPr>
              <w:t>88.2411194,39.016136</w:t>
            </w:r>
            <w:bookmarkEnd w:id="26"/>
            <w:r>
              <w:rPr>
                <w:rFonts w:hint="default"/>
                <w:lang w:val="en-US" w:eastAsia="zh-CN"/>
              </w:rPr>
              <w:t>）为坐标原点，正东向为X轴正方向，正北向为Y轴正方向</w:t>
            </w:r>
            <w:r>
              <w:rPr>
                <w:rFonts w:hint="eastAsia"/>
                <w:lang w:val="en-US" w:eastAsia="zh-CN"/>
              </w:rPr>
              <w:t>。</w:t>
            </w:r>
          </w:p>
        </w:tc>
      </w:tr>
    </w:tbl>
    <w:p w14:paraId="7C59FA04">
      <w:pPr>
        <w:pStyle w:val="11"/>
        <w:ind w:left="0" w:leftChars="0" w:firstLine="0" w:firstLineChars="0"/>
        <w:rPr>
          <w:rFonts w:hint="eastAsia"/>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8612"/>
      </w:tblGrid>
      <w:tr w14:paraId="756E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tcPr>
          <w:p w14:paraId="13D0B417">
            <w:pPr>
              <w:pStyle w:val="11"/>
              <w:rPr>
                <w:rFonts w:hint="eastAsia"/>
                <w:vertAlign w:val="baseline"/>
              </w:rPr>
            </w:pPr>
          </w:p>
        </w:tc>
        <w:tc>
          <w:tcPr>
            <w:tcW w:w="8612" w:type="dxa"/>
          </w:tcPr>
          <w:p w14:paraId="35A3B963">
            <w:pPr>
              <w:pStyle w:val="2"/>
              <w:bidi w:val="0"/>
              <w:rPr>
                <w:rFonts w:hint="default"/>
                <w:lang w:val="en-US" w:eastAsia="zh-CN"/>
              </w:rPr>
            </w:pPr>
            <w:r>
              <w:rPr>
                <w:rFonts w:hint="eastAsia"/>
                <w:lang w:val="en-US" w:eastAsia="zh-CN"/>
              </w:rPr>
              <w:t>3.3预测结果</w:t>
            </w:r>
          </w:p>
          <w:p w14:paraId="615D2D50">
            <w:pPr>
              <w:pStyle w:val="8"/>
              <w:bidi w:val="0"/>
              <w:rPr>
                <w:rFonts w:hint="default"/>
                <w:lang w:val="en-US" w:eastAsia="zh-CN"/>
              </w:rPr>
            </w:pPr>
            <w:r>
              <w:rPr>
                <w:rFonts w:hint="default"/>
                <w:lang w:val="en-US" w:eastAsia="zh-CN"/>
              </w:rPr>
              <w:t>通过预测模型计算，项目厂界噪声预测结果与达标分析详见下表。</w:t>
            </w:r>
          </w:p>
          <w:p w14:paraId="55AF8B21">
            <w:pPr>
              <w:pStyle w:val="42"/>
              <w:bidi w:val="0"/>
              <w:rPr>
                <w:rFonts w:hint="default"/>
                <w:lang w:val="en-US" w:eastAsia="zh-CN"/>
              </w:rPr>
            </w:pPr>
            <w:r>
              <w:rPr>
                <w:rFonts w:hint="default"/>
                <w:lang w:val="en-US" w:eastAsia="zh-CN"/>
              </w:rPr>
              <w:t>表4-</w:t>
            </w:r>
            <w:r>
              <w:rPr>
                <w:rFonts w:hint="eastAsia"/>
                <w:lang w:val="en-US" w:eastAsia="zh-CN"/>
              </w:rPr>
              <w:t>10</w:t>
            </w:r>
            <w:r>
              <w:rPr>
                <w:rFonts w:hint="default"/>
                <w:lang w:val="en-US" w:eastAsia="zh-CN"/>
              </w:rPr>
              <w:t xml:space="preserve">    厂界噪声预测结果与达标分析表</w:t>
            </w:r>
            <w:r>
              <w:rPr>
                <w:rFonts w:hint="eastAsia"/>
                <w:lang w:val="en-US" w:eastAsia="zh-CN"/>
              </w:rPr>
              <w:t xml:space="preserve">   （dB(A)）</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854"/>
              <w:gridCol w:w="877"/>
              <w:gridCol w:w="888"/>
              <w:gridCol w:w="842"/>
              <w:gridCol w:w="981"/>
              <w:gridCol w:w="1650"/>
              <w:gridCol w:w="1118"/>
            </w:tblGrid>
            <w:tr w14:paraId="37DF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exact"/>
                <w:jc w:val="center"/>
              </w:trPr>
              <w:tc>
                <w:tcPr>
                  <w:tcW w:w="699" w:type="pct"/>
                  <w:vMerge w:val="restart"/>
                  <w:noWrap w:val="0"/>
                  <w:vAlign w:val="center"/>
                </w:tcPr>
                <w:p w14:paraId="58E66B19">
                  <w:pPr>
                    <w:pStyle w:val="40"/>
                    <w:bidi w:val="0"/>
                    <w:rPr>
                      <w:rFonts w:hint="default"/>
                      <w:lang w:val="en-US" w:eastAsia="zh-CN"/>
                    </w:rPr>
                  </w:pPr>
                  <w:r>
                    <w:rPr>
                      <w:rFonts w:hint="default"/>
                      <w:lang w:val="en-US" w:eastAsia="zh-CN"/>
                    </w:rPr>
                    <w:t>预测方位</w:t>
                  </w:r>
                </w:p>
              </w:tc>
              <w:tc>
                <w:tcPr>
                  <w:tcW w:w="1562" w:type="pct"/>
                  <w:gridSpan w:val="3"/>
                  <w:noWrap w:val="0"/>
                  <w:vAlign w:val="center"/>
                </w:tcPr>
                <w:p w14:paraId="6EE6A6E2">
                  <w:pPr>
                    <w:pStyle w:val="40"/>
                    <w:bidi w:val="0"/>
                    <w:rPr>
                      <w:rFonts w:hint="default"/>
                      <w:lang w:val="en-US" w:eastAsia="zh-CN"/>
                    </w:rPr>
                  </w:pPr>
                  <w:r>
                    <w:rPr>
                      <w:rFonts w:hint="default"/>
                      <w:lang w:val="en-US" w:eastAsia="zh-CN"/>
                    </w:rPr>
                    <w:t>最大值点空间相对位置/m</w:t>
                  </w:r>
                </w:p>
              </w:tc>
              <w:tc>
                <w:tcPr>
                  <w:tcW w:w="502" w:type="pct"/>
                  <w:vMerge w:val="restart"/>
                  <w:noWrap w:val="0"/>
                  <w:vAlign w:val="center"/>
                </w:tcPr>
                <w:p w14:paraId="36A4FBC3">
                  <w:pPr>
                    <w:pStyle w:val="40"/>
                    <w:bidi w:val="0"/>
                    <w:rPr>
                      <w:rFonts w:hint="default"/>
                      <w:lang w:val="en-US" w:eastAsia="zh-CN"/>
                    </w:rPr>
                  </w:pPr>
                  <w:r>
                    <w:rPr>
                      <w:rFonts w:hint="default"/>
                      <w:lang w:val="en-US" w:eastAsia="zh-CN"/>
                    </w:rPr>
                    <w:t>时段</w:t>
                  </w:r>
                </w:p>
              </w:tc>
              <w:tc>
                <w:tcPr>
                  <w:tcW w:w="585" w:type="pct"/>
                  <w:vMerge w:val="restart"/>
                  <w:noWrap w:val="0"/>
                  <w:vAlign w:val="center"/>
                </w:tcPr>
                <w:p w14:paraId="13F03022">
                  <w:pPr>
                    <w:pStyle w:val="40"/>
                    <w:bidi w:val="0"/>
                    <w:rPr>
                      <w:rFonts w:hint="default"/>
                      <w:lang w:val="en-US" w:eastAsia="zh-CN"/>
                    </w:rPr>
                  </w:pPr>
                  <w:r>
                    <w:rPr>
                      <w:rFonts w:hint="default"/>
                      <w:lang w:val="en-US" w:eastAsia="zh-CN"/>
                    </w:rPr>
                    <w:t>贡献值</w:t>
                  </w:r>
                </w:p>
              </w:tc>
              <w:tc>
                <w:tcPr>
                  <w:tcW w:w="984" w:type="pct"/>
                  <w:vMerge w:val="restart"/>
                  <w:noWrap w:val="0"/>
                  <w:vAlign w:val="center"/>
                </w:tcPr>
                <w:p w14:paraId="1A751C81">
                  <w:pPr>
                    <w:pStyle w:val="40"/>
                    <w:bidi w:val="0"/>
                    <w:rPr>
                      <w:rFonts w:hint="default"/>
                      <w:lang w:val="en-US" w:eastAsia="zh-CN"/>
                    </w:rPr>
                  </w:pPr>
                  <w:r>
                    <w:rPr>
                      <w:rFonts w:hint="default"/>
                      <w:lang w:val="en-US" w:eastAsia="zh-CN"/>
                    </w:rPr>
                    <w:t>标准限值</w:t>
                  </w:r>
                  <w:r>
                    <w:t>dB(A)</w:t>
                  </w:r>
                </w:p>
              </w:tc>
              <w:tc>
                <w:tcPr>
                  <w:tcW w:w="666" w:type="pct"/>
                  <w:vMerge w:val="restart"/>
                  <w:noWrap w:val="0"/>
                  <w:vAlign w:val="center"/>
                </w:tcPr>
                <w:p w14:paraId="7062755B">
                  <w:pPr>
                    <w:pStyle w:val="40"/>
                    <w:bidi w:val="0"/>
                    <w:rPr>
                      <w:rFonts w:hint="default"/>
                      <w:lang w:val="en-US" w:eastAsia="zh-CN"/>
                    </w:rPr>
                  </w:pPr>
                  <w:r>
                    <w:rPr>
                      <w:rFonts w:hint="default"/>
                      <w:lang w:val="en-US" w:eastAsia="zh-CN"/>
                    </w:rPr>
                    <w:t>达标情况</w:t>
                  </w:r>
                </w:p>
              </w:tc>
            </w:tr>
            <w:tr w14:paraId="73D02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99" w:type="pct"/>
                  <w:vMerge w:val="continue"/>
                  <w:noWrap w:val="0"/>
                  <w:vAlign w:val="center"/>
                </w:tcPr>
                <w:p w14:paraId="1E9A8FB0">
                  <w:pPr>
                    <w:pStyle w:val="40"/>
                    <w:bidi w:val="0"/>
                    <w:rPr>
                      <w:rFonts w:hint="default"/>
                      <w:lang w:val="en-US" w:eastAsia="zh-CN"/>
                    </w:rPr>
                  </w:pPr>
                </w:p>
              </w:tc>
              <w:tc>
                <w:tcPr>
                  <w:tcW w:w="509" w:type="pct"/>
                  <w:noWrap w:val="0"/>
                  <w:vAlign w:val="center"/>
                </w:tcPr>
                <w:p w14:paraId="2477CB71">
                  <w:pPr>
                    <w:pStyle w:val="40"/>
                    <w:bidi w:val="0"/>
                    <w:rPr>
                      <w:rFonts w:hint="default"/>
                      <w:lang w:val="en-US" w:eastAsia="zh-CN"/>
                    </w:rPr>
                  </w:pPr>
                  <w:r>
                    <w:rPr>
                      <w:rFonts w:hint="default"/>
                      <w:lang w:val="en-US" w:eastAsia="zh-CN"/>
                    </w:rPr>
                    <w:t>X</w:t>
                  </w:r>
                </w:p>
              </w:tc>
              <w:tc>
                <w:tcPr>
                  <w:tcW w:w="523" w:type="pct"/>
                  <w:noWrap w:val="0"/>
                  <w:vAlign w:val="center"/>
                </w:tcPr>
                <w:p w14:paraId="46849071">
                  <w:pPr>
                    <w:pStyle w:val="40"/>
                    <w:bidi w:val="0"/>
                    <w:rPr>
                      <w:rFonts w:hint="default"/>
                      <w:lang w:val="en-US" w:eastAsia="zh-CN"/>
                    </w:rPr>
                  </w:pPr>
                  <w:r>
                    <w:rPr>
                      <w:rFonts w:hint="default"/>
                      <w:lang w:val="en-US" w:eastAsia="zh-CN"/>
                    </w:rPr>
                    <w:t>Y</w:t>
                  </w:r>
                </w:p>
              </w:tc>
              <w:tc>
                <w:tcPr>
                  <w:tcW w:w="529" w:type="pct"/>
                  <w:noWrap w:val="0"/>
                  <w:vAlign w:val="center"/>
                </w:tcPr>
                <w:p w14:paraId="59379213">
                  <w:pPr>
                    <w:pStyle w:val="40"/>
                    <w:bidi w:val="0"/>
                    <w:rPr>
                      <w:rFonts w:hint="default"/>
                      <w:lang w:val="en-US" w:eastAsia="zh-CN"/>
                    </w:rPr>
                  </w:pPr>
                  <w:r>
                    <w:rPr>
                      <w:rFonts w:hint="default"/>
                      <w:lang w:val="en-US" w:eastAsia="zh-CN"/>
                    </w:rPr>
                    <w:t>Z</w:t>
                  </w:r>
                </w:p>
              </w:tc>
              <w:tc>
                <w:tcPr>
                  <w:tcW w:w="502" w:type="pct"/>
                  <w:vMerge w:val="continue"/>
                  <w:noWrap w:val="0"/>
                  <w:vAlign w:val="center"/>
                </w:tcPr>
                <w:p w14:paraId="2DFE217D">
                  <w:pPr>
                    <w:pStyle w:val="40"/>
                    <w:bidi w:val="0"/>
                    <w:rPr>
                      <w:rFonts w:hint="default"/>
                      <w:lang w:val="en-US" w:eastAsia="zh-CN"/>
                    </w:rPr>
                  </w:pPr>
                </w:p>
              </w:tc>
              <w:tc>
                <w:tcPr>
                  <w:tcW w:w="585" w:type="pct"/>
                  <w:vMerge w:val="continue"/>
                  <w:noWrap w:val="0"/>
                  <w:vAlign w:val="center"/>
                </w:tcPr>
                <w:p w14:paraId="7FBA0861">
                  <w:pPr>
                    <w:pStyle w:val="40"/>
                    <w:bidi w:val="0"/>
                    <w:rPr>
                      <w:rFonts w:hint="default"/>
                      <w:lang w:val="en-US" w:eastAsia="zh-CN"/>
                    </w:rPr>
                  </w:pPr>
                </w:p>
              </w:tc>
              <w:tc>
                <w:tcPr>
                  <w:tcW w:w="984" w:type="pct"/>
                  <w:vMerge w:val="continue"/>
                  <w:noWrap w:val="0"/>
                  <w:vAlign w:val="center"/>
                </w:tcPr>
                <w:p w14:paraId="73B74C47">
                  <w:pPr>
                    <w:pStyle w:val="40"/>
                    <w:bidi w:val="0"/>
                    <w:rPr>
                      <w:rFonts w:hint="default"/>
                      <w:lang w:val="en-US" w:eastAsia="zh-CN"/>
                    </w:rPr>
                  </w:pPr>
                </w:p>
              </w:tc>
              <w:tc>
                <w:tcPr>
                  <w:tcW w:w="666" w:type="pct"/>
                  <w:vMerge w:val="continue"/>
                  <w:noWrap w:val="0"/>
                  <w:vAlign w:val="center"/>
                </w:tcPr>
                <w:p w14:paraId="0F689A2A">
                  <w:pPr>
                    <w:pStyle w:val="40"/>
                    <w:bidi w:val="0"/>
                    <w:rPr>
                      <w:rFonts w:hint="default"/>
                      <w:lang w:val="en-US" w:eastAsia="zh-CN"/>
                    </w:rPr>
                  </w:pPr>
                </w:p>
              </w:tc>
            </w:tr>
            <w:tr w14:paraId="4775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699" w:type="pct"/>
                  <w:noWrap w:val="0"/>
                  <w:vAlign w:val="center"/>
                </w:tcPr>
                <w:p w14:paraId="694548CA">
                  <w:pPr>
                    <w:pStyle w:val="40"/>
                    <w:bidi w:val="0"/>
                    <w:rPr>
                      <w:rFonts w:hint="default"/>
                      <w:lang w:val="en-US" w:eastAsia="zh-CN"/>
                    </w:rPr>
                  </w:pPr>
                  <w:r>
                    <w:rPr>
                      <w:rFonts w:hint="default"/>
                      <w:lang w:val="en-US" w:eastAsia="zh-CN"/>
                    </w:rPr>
                    <w:t>东侧</w:t>
                  </w:r>
                </w:p>
              </w:tc>
              <w:tc>
                <w:tcPr>
                  <w:tcW w:w="854" w:type="dxa"/>
                  <w:noWrap w:val="0"/>
                  <w:vAlign w:val="center"/>
                </w:tcPr>
                <w:p w14:paraId="24F8D042">
                  <w:pPr>
                    <w:pStyle w:val="40"/>
                    <w:bidi w:val="0"/>
                    <w:rPr>
                      <w:rFonts w:hint="default"/>
                      <w:lang w:val="en-US" w:eastAsia="zh-CN"/>
                    </w:rPr>
                  </w:pPr>
                  <w:r>
                    <w:t>122.1</w:t>
                  </w:r>
                </w:p>
              </w:tc>
              <w:tc>
                <w:tcPr>
                  <w:tcW w:w="877" w:type="dxa"/>
                  <w:noWrap w:val="0"/>
                  <w:vAlign w:val="center"/>
                </w:tcPr>
                <w:p w14:paraId="440FDABD">
                  <w:pPr>
                    <w:pStyle w:val="40"/>
                    <w:bidi w:val="0"/>
                    <w:rPr>
                      <w:rFonts w:hint="default"/>
                      <w:lang w:val="en-US" w:eastAsia="zh-CN"/>
                    </w:rPr>
                  </w:pPr>
                  <w:r>
                    <w:t>28.7</w:t>
                  </w:r>
                </w:p>
              </w:tc>
              <w:tc>
                <w:tcPr>
                  <w:tcW w:w="888" w:type="dxa"/>
                  <w:noWrap w:val="0"/>
                  <w:vAlign w:val="center"/>
                </w:tcPr>
                <w:p w14:paraId="49475F8C">
                  <w:pPr>
                    <w:pStyle w:val="40"/>
                    <w:bidi w:val="0"/>
                    <w:rPr>
                      <w:rFonts w:hint="default"/>
                      <w:lang w:val="en-US" w:eastAsia="zh-CN"/>
                    </w:rPr>
                  </w:pPr>
                  <w:r>
                    <w:t>1.2</w:t>
                  </w:r>
                </w:p>
              </w:tc>
              <w:tc>
                <w:tcPr>
                  <w:tcW w:w="842" w:type="dxa"/>
                  <w:noWrap w:val="0"/>
                  <w:vAlign w:val="center"/>
                </w:tcPr>
                <w:p w14:paraId="1D197083">
                  <w:pPr>
                    <w:pStyle w:val="40"/>
                    <w:bidi w:val="0"/>
                    <w:rPr>
                      <w:rFonts w:hint="default"/>
                      <w:lang w:val="en-US" w:eastAsia="zh-CN"/>
                    </w:rPr>
                  </w:pPr>
                  <w:r>
                    <w:t>昼间</w:t>
                  </w:r>
                </w:p>
              </w:tc>
              <w:tc>
                <w:tcPr>
                  <w:tcW w:w="981" w:type="dxa"/>
                  <w:noWrap w:val="0"/>
                  <w:vAlign w:val="center"/>
                </w:tcPr>
                <w:p w14:paraId="189B5522">
                  <w:pPr>
                    <w:pStyle w:val="40"/>
                    <w:bidi w:val="0"/>
                    <w:rPr>
                      <w:rFonts w:hint="default"/>
                      <w:lang w:val="en-US" w:eastAsia="zh-CN"/>
                    </w:rPr>
                  </w:pPr>
                  <w:r>
                    <w:t>46.7</w:t>
                  </w:r>
                </w:p>
              </w:tc>
              <w:tc>
                <w:tcPr>
                  <w:tcW w:w="1650" w:type="dxa"/>
                  <w:noWrap w:val="0"/>
                  <w:vAlign w:val="center"/>
                </w:tcPr>
                <w:p w14:paraId="7A83F0EA">
                  <w:pPr>
                    <w:pStyle w:val="40"/>
                    <w:bidi w:val="0"/>
                  </w:pPr>
                  <w:r>
                    <w:t>65</w:t>
                  </w:r>
                </w:p>
              </w:tc>
              <w:tc>
                <w:tcPr>
                  <w:tcW w:w="666" w:type="pct"/>
                  <w:noWrap w:val="0"/>
                  <w:vAlign w:val="center"/>
                </w:tcPr>
                <w:p w14:paraId="3A9EBDF4">
                  <w:pPr>
                    <w:pStyle w:val="40"/>
                    <w:bidi w:val="0"/>
                    <w:rPr>
                      <w:rFonts w:hint="default"/>
                      <w:lang w:val="en-US" w:eastAsia="zh-CN"/>
                    </w:rPr>
                  </w:pPr>
                  <w:r>
                    <w:t>达标</w:t>
                  </w:r>
                </w:p>
              </w:tc>
            </w:tr>
            <w:tr w14:paraId="7BA4B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699" w:type="pct"/>
                  <w:noWrap w:val="0"/>
                  <w:vAlign w:val="center"/>
                </w:tcPr>
                <w:p w14:paraId="4D86EBCA">
                  <w:pPr>
                    <w:pStyle w:val="40"/>
                    <w:bidi w:val="0"/>
                    <w:rPr>
                      <w:rFonts w:hint="default"/>
                      <w:lang w:val="en-US" w:eastAsia="zh-CN"/>
                    </w:rPr>
                  </w:pPr>
                  <w:r>
                    <w:rPr>
                      <w:rFonts w:hint="default"/>
                      <w:lang w:val="en-US" w:eastAsia="zh-CN"/>
                    </w:rPr>
                    <w:t>南侧</w:t>
                  </w:r>
                </w:p>
              </w:tc>
              <w:tc>
                <w:tcPr>
                  <w:tcW w:w="854" w:type="dxa"/>
                  <w:noWrap w:val="0"/>
                  <w:vAlign w:val="center"/>
                </w:tcPr>
                <w:p w14:paraId="05FF173C">
                  <w:pPr>
                    <w:pStyle w:val="40"/>
                    <w:bidi w:val="0"/>
                    <w:rPr>
                      <w:rFonts w:hint="default"/>
                      <w:lang w:val="en-US" w:eastAsia="zh-CN"/>
                    </w:rPr>
                  </w:pPr>
                  <w:r>
                    <w:t>-89.8</w:t>
                  </w:r>
                </w:p>
              </w:tc>
              <w:tc>
                <w:tcPr>
                  <w:tcW w:w="877" w:type="dxa"/>
                  <w:noWrap w:val="0"/>
                  <w:vAlign w:val="center"/>
                </w:tcPr>
                <w:p w14:paraId="22645E23">
                  <w:pPr>
                    <w:pStyle w:val="40"/>
                    <w:bidi w:val="0"/>
                    <w:rPr>
                      <w:rFonts w:hint="default"/>
                      <w:lang w:val="en-US" w:eastAsia="zh-CN"/>
                    </w:rPr>
                  </w:pPr>
                  <w:r>
                    <w:t>-69.2</w:t>
                  </w:r>
                </w:p>
              </w:tc>
              <w:tc>
                <w:tcPr>
                  <w:tcW w:w="888" w:type="dxa"/>
                  <w:noWrap w:val="0"/>
                  <w:vAlign w:val="center"/>
                </w:tcPr>
                <w:p w14:paraId="1CD93CE0">
                  <w:pPr>
                    <w:pStyle w:val="40"/>
                    <w:bidi w:val="0"/>
                    <w:rPr>
                      <w:rFonts w:hint="default"/>
                      <w:lang w:val="en-US" w:eastAsia="zh-CN"/>
                    </w:rPr>
                  </w:pPr>
                  <w:r>
                    <w:t>1.2</w:t>
                  </w:r>
                </w:p>
              </w:tc>
              <w:tc>
                <w:tcPr>
                  <w:tcW w:w="842" w:type="dxa"/>
                  <w:noWrap w:val="0"/>
                  <w:vAlign w:val="center"/>
                </w:tcPr>
                <w:p w14:paraId="58019C7E">
                  <w:pPr>
                    <w:pStyle w:val="40"/>
                    <w:bidi w:val="0"/>
                    <w:rPr>
                      <w:rFonts w:hint="default"/>
                      <w:lang w:val="en-US" w:eastAsia="zh-CN"/>
                    </w:rPr>
                  </w:pPr>
                  <w:r>
                    <w:t>昼间</w:t>
                  </w:r>
                </w:p>
              </w:tc>
              <w:tc>
                <w:tcPr>
                  <w:tcW w:w="981" w:type="dxa"/>
                  <w:noWrap w:val="0"/>
                  <w:vAlign w:val="center"/>
                </w:tcPr>
                <w:p w14:paraId="3B40B075">
                  <w:pPr>
                    <w:pStyle w:val="40"/>
                    <w:bidi w:val="0"/>
                    <w:rPr>
                      <w:rFonts w:hint="default"/>
                      <w:lang w:val="en-US" w:eastAsia="zh-CN"/>
                    </w:rPr>
                  </w:pPr>
                  <w:r>
                    <w:t>48.5</w:t>
                  </w:r>
                </w:p>
              </w:tc>
              <w:tc>
                <w:tcPr>
                  <w:tcW w:w="1650" w:type="dxa"/>
                  <w:noWrap w:val="0"/>
                  <w:vAlign w:val="center"/>
                </w:tcPr>
                <w:p w14:paraId="5C1150B7">
                  <w:pPr>
                    <w:pStyle w:val="40"/>
                    <w:bidi w:val="0"/>
                  </w:pPr>
                  <w:r>
                    <w:t>65</w:t>
                  </w:r>
                </w:p>
              </w:tc>
              <w:tc>
                <w:tcPr>
                  <w:tcW w:w="666" w:type="pct"/>
                  <w:noWrap w:val="0"/>
                  <w:vAlign w:val="center"/>
                </w:tcPr>
                <w:p w14:paraId="70FB797F">
                  <w:pPr>
                    <w:pStyle w:val="40"/>
                    <w:bidi w:val="0"/>
                    <w:rPr>
                      <w:rFonts w:hint="default"/>
                      <w:lang w:val="en-US" w:eastAsia="zh-CN"/>
                    </w:rPr>
                  </w:pPr>
                  <w:r>
                    <w:t>达标</w:t>
                  </w:r>
                </w:p>
              </w:tc>
            </w:tr>
            <w:tr w14:paraId="4B4D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699" w:type="pct"/>
                  <w:noWrap w:val="0"/>
                  <w:vAlign w:val="center"/>
                </w:tcPr>
                <w:p w14:paraId="6B12B4FB">
                  <w:pPr>
                    <w:pStyle w:val="40"/>
                    <w:bidi w:val="0"/>
                    <w:rPr>
                      <w:rFonts w:hint="default"/>
                      <w:lang w:val="en-US" w:eastAsia="zh-CN"/>
                    </w:rPr>
                  </w:pPr>
                  <w:r>
                    <w:rPr>
                      <w:rFonts w:hint="default"/>
                      <w:lang w:val="en-US" w:eastAsia="zh-CN"/>
                    </w:rPr>
                    <w:t>西侧</w:t>
                  </w:r>
                </w:p>
              </w:tc>
              <w:tc>
                <w:tcPr>
                  <w:tcW w:w="854" w:type="dxa"/>
                  <w:noWrap w:val="0"/>
                  <w:vAlign w:val="center"/>
                </w:tcPr>
                <w:p w14:paraId="7C8BA813">
                  <w:pPr>
                    <w:pStyle w:val="40"/>
                    <w:bidi w:val="0"/>
                    <w:rPr>
                      <w:rFonts w:hint="default"/>
                      <w:lang w:val="en-US" w:eastAsia="zh-CN"/>
                    </w:rPr>
                  </w:pPr>
                  <w:r>
                    <w:t>-117.5</w:t>
                  </w:r>
                </w:p>
              </w:tc>
              <w:tc>
                <w:tcPr>
                  <w:tcW w:w="877" w:type="dxa"/>
                  <w:noWrap w:val="0"/>
                  <w:vAlign w:val="center"/>
                </w:tcPr>
                <w:p w14:paraId="4C5D5A23">
                  <w:pPr>
                    <w:pStyle w:val="40"/>
                    <w:bidi w:val="0"/>
                    <w:rPr>
                      <w:rFonts w:hint="default"/>
                      <w:lang w:val="en-US" w:eastAsia="zh-CN"/>
                    </w:rPr>
                  </w:pPr>
                  <w:r>
                    <w:t>6.8</w:t>
                  </w:r>
                </w:p>
              </w:tc>
              <w:tc>
                <w:tcPr>
                  <w:tcW w:w="888" w:type="dxa"/>
                  <w:noWrap w:val="0"/>
                  <w:vAlign w:val="center"/>
                </w:tcPr>
                <w:p w14:paraId="06D3FC5C">
                  <w:pPr>
                    <w:pStyle w:val="40"/>
                    <w:bidi w:val="0"/>
                    <w:rPr>
                      <w:rFonts w:hint="default"/>
                      <w:lang w:val="en-US" w:eastAsia="zh-CN"/>
                    </w:rPr>
                  </w:pPr>
                  <w:r>
                    <w:t>1.2</w:t>
                  </w:r>
                </w:p>
              </w:tc>
              <w:tc>
                <w:tcPr>
                  <w:tcW w:w="842" w:type="dxa"/>
                  <w:noWrap w:val="0"/>
                  <w:vAlign w:val="center"/>
                </w:tcPr>
                <w:p w14:paraId="3178AD9E">
                  <w:pPr>
                    <w:pStyle w:val="40"/>
                    <w:bidi w:val="0"/>
                    <w:rPr>
                      <w:rFonts w:hint="default"/>
                      <w:lang w:val="en-US" w:eastAsia="zh-CN"/>
                    </w:rPr>
                  </w:pPr>
                  <w:r>
                    <w:t>昼间</w:t>
                  </w:r>
                </w:p>
              </w:tc>
              <w:tc>
                <w:tcPr>
                  <w:tcW w:w="981" w:type="dxa"/>
                  <w:noWrap w:val="0"/>
                  <w:vAlign w:val="center"/>
                </w:tcPr>
                <w:p w14:paraId="3E9836BD">
                  <w:pPr>
                    <w:pStyle w:val="40"/>
                    <w:bidi w:val="0"/>
                    <w:rPr>
                      <w:rFonts w:hint="default"/>
                      <w:lang w:val="en-US" w:eastAsia="zh-CN"/>
                    </w:rPr>
                  </w:pPr>
                  <w:r>
                    <w:t>49.4</w:t>
                  </w:r>
                </w:p>
              </w:tc>
              <w:tc>
                <w:tcPr>
                  <w:tcW w:w="1650" w:type="dxa"/>
                  <w:noWrap w:val="0"/>
                  <w:vAlign w:val="center"/>
                </w:tcPr>
                <w:p w14:paraId="6C622382">
                  <w:pPr>
                    <w:pStyle w:val="40"/>
                    <w:bidi w:val="0"/>
                  </w:pPr>
                  <w:r>
                    <w:t>65</w:t>
                  </w:r>
                </w:p>
              </w:tc>
              <w:tc>
                <w:tcPr>
                  <w:tcW w:w="666" w:type="pct"/>
                  <w:noWrap w:val="0"/>
                  <w:vAlign w:val="center"/>
                </w:tcPr>
                <w:p w14:paraId="76FF4396">
                  <w:pPr>
                    <w:pStyle w:val="40"/>
                    <w:bidi w:val="0"/>
                    <w:rPr>
                      <w:rFonts w:hint="default"/>
                      <w:lang w:val="en-US" w:eastAsia="zh-CN"/>
                    </w:rPr>
                  </w:pPr>
                  <w:r>
                    <w:t>达标</w:t>
                  </w:r>
                </w:p>
              </w:tc>
            </w:tr>
            <w:tr w14:paraId="0A791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699" w:type="pct"/>
                  <w:noWrap w:val="0"/>
                  <w:vAlign w:val="center"/>
                </w:tcPr>
                <w:p w14:paraId="407EB62A">
                  <w:pPr>
                    <w:pStyle w:val="40"/>
                    <w:bidi w:val="0"/>
                    <w:rPr>
                      <w:rFonts w:hint="default"/>
                      <w:lang w:val="en-US" w:eastAsia="zh-CN"/>
                    </w:rPr>
                  </w:pPr>
                  <w:r>
                    <w:rPr>
                      <w:rFonts w:hint="default"/>
                      <w:lang w:val="en-US" w:eastAsia="zh-CN"/>
                    </w:rPr>
                    <w:t>北侧</w:t>
                  </w:r>
                </w:p>
              </w:tc>
              <w:tc>
                <w:tcPr>
                  <w:tcW w:w="854" w:type="dxa"/>
                  <w:noWrap w:val="0"/>
                  <w:vAlign w:val="center"/>
                </w:tcPr>
                <w:p w14:paraId="67146830">
                  <w:pPr>
                    <w:pStyle w:val="40"/>
                    <w:bidi w:val="0"/>
                    <w:rPr>
                      <w:rFonts w:hint="default"/>
                      <w:lang w:val="en-US" w:eastAsia="zh-CN"/>
                    </w:rPr>
                  </w:pPr>
                  <w:r>
                    <w:t>60.2</w:t>
                  </w:r>
                </w:p>
              </w:tc>
              <w:tc>
                <w:tcPr>
                  <w:tcW w:w="877" w:type="dxa"/>
                  <w:noWrap w:val="0"/>
                  <w:vAlign w:val="center"/>
                </w:tcPr>
                <w:p w14:paraId="09911ED8">
                  <w:pPr>
                    <w:pStyle w:val="40"/>
                    <w:bidi w:val="0"/>
                    <w:rPr>
                      <w:rFonts w:hint="default"/>
                      <w:lang w:val="en-US" w:eastAsia="zh-CN"/>
                    </w:rPr>
                  </w:pPr>
                  <w:r>
                    <w:t>72.8</w:t>
                  </w:r>
                </w:p>
              </w:tc>
              <w:tc>
                <w:tcPr>
                  <w:tcW w:w="888" w:type="dxa"/>
                  <w:noWrap w:val="0"/>
                  <w:vAlign w:val="center"/>
                </w:tcPr>
                <w:p w14:paraId="466B3952">
                  <w:pPr>
                    <w:pStyle w:val="40"/>
                    <w:bidi w:val="0"/>
                    <w:rPr>
                      <w:rFonts w:hint="default"/>
                      <w:lang w:val="en-US" w:eastAsia="zh-CN"/>
                    </w:rPr>
                  </w:pPr>
                  <w:r>
                    <w:t>1.2</w:t>
                  </w:r>
                </w:p>
              </w:tc>
              <w:tc>
                <w:tcPr>
                  <w:tcW w:w="842" w:type="dxa"/>
                  <w:noWrap w:val="0"/>
                  <w:vAlign w:val="center"/>
                </w:tcPr>
                <w:p w14:paraId="28792595">
                  <w:pPr>
                    <w:pStyle w:val="40"/>
                    <w:bidi w:val="0"/>
                    <w:rPr>
                      <w:rFonts w:hint="default"/>
                      <w:lang w:val="en-US" w:eastAsia="zh-CN"/>
                    </w:rPr>
                  </w:pPr>
                  <w:r>
                    <w:t>昼间</w:t>
                  </w:r>
                </w:p>
              </w:tc>
              <w:tc>
                <w:tcPr>
                  <w:tcW w:w="981" w:type="dxa"/>
                  <w:noWrap w:val="0"/>
                  <w:vAlign w:val="center"/>
                </w:tcPr>
                <w:p w14:paraId="30BA9393">
                  <w:pPr>
                    <w:pStyle w:val="40"/>
                    <w:bidi w:val="0"/>
                    <w:rPr>
                      <w:rFonts w:hint="default"/>
                      <w:lang w:val="en-US" w:eastAsia="zh-CN"/>
                    </w:rPr>
                  </w:pPr>
                  <w:r>
                    <w:t>57.5</w:t>
                  </w:r>
                </w:p>
              </w:tc>
              <w:tc>
                <w:tcPr>
                  <w:tcW w:w="1650" w:type="dxa"/>
                  <w:noWrap w:val="0"/>
                  <w:vAlign w:val="center"/>
                </w:tcPr>
                <w:p w14:paraId="249E2FDD">
                  <w:pPr>
                    <w:pStyle w:val="40"/>
                    <w:bidi w:val="0"/>
                  </w:pPr>
                  <w:r>
                    <w:t>65</w:t>
                  </w:r>
                </w:p>
              </w:tc>
              <w:tc>
                <w:tcPr>
                  <w:tcW w:w="666" w:type="pct"/>
                  <w:noWrap w:val="0"/>
                  <w:vAlign w:val="center"/>
                </w:tcPr>
                <w:p w14:paraId="61AA561C">
                  <w:pPr>
                    <w:pStyle w:val="40"/>
                    <w:bidi w:val="0"/>
                    <w:rPr>
                      <w:rFonts w:hint="default"/>
                      <w:lang w:val="en-US" w:eastAsia="zh-CN"/>
                    </w:rPr>
                  </w:pPr>
                  <w:r>
                    <w:t>达标</w:t>
                  </w:r>
                </w:p>
              </w:tc>
            </w:tr>
          </w:tbl>
          <w:p w14:paraId="0C159070">
            <w:pPr>
              <w:pStyle w:val="8"/>
              <w:bidi w:val="0"/>
              <w:rPr>
                <w:rFonts w:hint="default"/>
                <w:lang w:val="en-US" w:eastAsia="zh-CN"/>
              </w:rPr>
            </w:pPr>
            <w:r>
              <w:rPr>
                <w:rFonts w:hint="default"/>
                <w:lang w:val="en-US" w:eastAsia="zh-CN"/>
              </w:rPr>
              <w:t>由上表可知，正常工况下，项目厂界噪声满足《工业企业厂界环境噪声排放标准》</w:t>
            </w:r>
            <w:bookmarkStart w:id="27" w:name="PO_3"/>
            <w:r>
              <w:rPr>
                <w:rFonts w:hint="eastAsia"/>
                <w:lang w:val="en-US" w:eastAsia="zh-CN"/>
              </w:rPr>
              <w:t>（</w:t>
            </w:r>
            <w:r>
              <w:rPr>
                <w:rFonts w:hint="default"/>
                <w:lang w:val="en-US" w:eastAsia="zh-CN"/>
              </w:rPr>
              <w:t>GB12348.2008</w:t>
            </w:r>
            <w:r>
              <w:rPr>
                <w:rFonts w:hint="eastAsia"/>
                <w:lang w:val="en-US" w:eastAsia="zh-CN"/>
              </w:rPr>
              <w:t>）</w:t>
            </w:r>
            <w:r>
              <w:rPr>
                <w:rFonts w:hint="default"/>
                <w:lang w:val="en-US" w:eastAsia="zh-CN"/>
              </w:rPr>
              <w:t>3</w:t>
            </w:r>
            <w:bookmarkEnd w:id="27"/>
            <w:r>
              <w:rPr>
                <w:rFonts w:hint="default"/>
                <w:lang w:val="en-US" w:eastAsia="zh-CN"/>
              </w:rPr>
              <w:t>类标准（夜间不生产）。</w:t>
            </w:r>
          </w:p>
          <w:p w14:paraId="56358A4D">
            <w:pPr>
              <w:pStyle w:val="2"/>
              <w:bidi w:val="0"/>
              <w:rPr>
                <w:rFonts w:hint="eastAsia"/>
                <w:lang w:val="en-US" w:eastAsia="zh-CN"/>
              </w:rPr>
            </w:pPr>
            <w:r>
              <w:rPr>
                <w:rFonts w:hint="eastAsia"/>
                <w:lang w:val="en-US" w:eastAsia="zh-CN"/>
              </w:rPr>
              <w:t>3.4监测要求</w:t>
            </w:r>
          </w:p>
          <w:p w14:paraId="10E2E421">
            <w:pPr>
              <w:pStyle w:val="8"/>
              <w:bidi w:val="0"/>
              <w:rPr>
                <w:rFonts w:hint="default"/>
                <w:lang w:val="en-US" w:eastAsia="zh-CN"/>
              </w:rPr>
            </w:pPr>
            <w:r>
              <w:rPr>
                <w:rFonts w:hint="default"/>
                <w:lang w:val="en-US" w:eastAsia="zh-CN"/>
              </w:rPr>
              <w:t>参照《排污单位自行监测技术指南 总则》（HJ819-2017）的相关要求，本项目噪声监测计划详见下表。</w:t>
            </w:r>
          </w:p>
          <w:p w14:paraId="7D5D139F">
            <w:pPr>
              <w:pStyle w:val="42"/>
              <w:bidi w:val="0"/>
              <w:rPr>
                <w:rFonts w:hint="default"/>
                <w:lang w:val="en-US" w:eastAsia="zh-CN"/>
              </w:rPr>
            </w:pPr>
            <w:r>
              <w:rPr>
                <w:rFonts w:hint="default"/>
                <w:lang w:val="en-US" w:eastAsia="zh-CN"/>
              </w:rPr>
              <w:t>表</w:t>
            </w:r>
            <w:r>
              <w:rPr>
                <w:rFonts w:hint="eastAsia"/>
                <w:highlight w:val="none"/>
                <w:lang w:val="en-US" w:eastAsia="zh-CN"/>
              </w:rPr>
              <w:t>4-11</w:t>
            </w:r>
            <w:r>
              <w:rPr>
                <w:rFonts w:hint="default"/>
                <w:highlight w:val="none"/>
                <w:lang w:val="en-US" w:eastAsia="zh-CN"/>
              </w:rPr>
              <w:t xml:space="preserve"> </w:t>
            </w:r>
            <w:r>
              <w:rPr>
                <w:rFonts w:hint="default"/>
                <w:lang w:val="en-US" w:eastAsia="zh-CN"/>
              </w:rPr>
              <w:t xml:space="preserve">   噪声环境监测计划</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664"/>
              <w:gridCol w:w="1375"/>
              <w:gridCol w:w="1573"/>
              <w:gridCol w:w="2984"/>
            </w:tblGrid>
            <w:tr w14:paraId="080A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shd w:val="clear" w:color="auto" w:fill="auto"/>
                  <w:noWrap w:val="0"/>
                  <w:vAlign w:val="center"/>
                </w:tcPr>
                <w:p w14:paraId="36B9CC6E">
                  <w:pPr>
                    <w:pStyle w:val="40"/>
                    <w:bidi w:val="0"/>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项目</w:t>
                  </w:r>
                </w:p>
              </w:tc>
              <w:tc>
                <w:tcPr>
                  <w:tcW w:w="992" w:type="pct"/>
                  <w:shd w:val="clear" w:color="auto" w:fill="auto"/>
                  <w:noWrap w:val="0"/>
                  <w:vAlign w:val="center"/>
                </w:tcPr>
                <w:p w14:paraId="7CF2EB13">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指标</w:t>
                  </w:r>
                </w:p>
              </w:tc>
              <w:tc>
                <w:tcPr>
                  <w:tcW w:w="820" w:type="pct"/>
                  <w:shd w:val="clear" w:color="auto" w:fill="auto"/>
                  <w:noWrap w:val="0"/>
                  <w:vAlign w:val="center"/>
                </w:tcPr>
                <w:p w14:paraId="692F08B6">
                  <w:pPr>
                    <w:pStyle w:val="40"/>
                    <w:bidi w:val="0"/>
                    <w:rPr>
                      <w:rFonts w:hint="eastAsia" w:ascii="Times New Roman" w:hAnsi="Times New Roman" w:eastAsia="宋体" w:cs="Times New Roman"/>
                      <w:kern w:val="2"/>
                      <w:sz w:val="21"/>
                      <w:szCs w:val="21"/>
                      <w:lang w:val="en-US" w:eastAsia="zh-CN" w:bidi="ar-SA"/>
                    </w:rPr>
                  </w:pPr>
                  <w:r>
                    <w:rPr>
                      <w:rFonts w:hint="eastAsia"/>
                      <w:lang w:val="en-US" w:eastAsia="zh-CN"/>
                    </w:rPr>
                    <w:t>点位</w:t>
                  </w:r>
                </w:p>
              </w:tc>
              <w:tc>
                <w:tcPr>
                  <w:tcW w:w="938" w:type="pct"/>
                  <w:noWrap w:val="0"/>
                  <w:vAlign w:val="center"/>
                </w:tcPr>
                <w:p w14:paraId="3A62B3F4">
                  <w:pPr>
                    <w:pStyle w:val="40"/>
                    <w:bidi w:val="0"/>
                    <w:rPr>
                      <w:rFonts w:hint="default"/>
                    </w:rPr>
                  </w:pPr>
                  <w:r>
                    <w:rPr>
                      <w:rFonts w:hint="default"/>
                    </w:rPr>
                    <w:t>监测频次</w:t>
                  </w:r>
                </w:p>
              </w:tc>
              <w:tc>
                <w:tcPr>
                  <w:tcW w:w="1779" w:type="pct"/>
                  <w:noWrap w:val="0"/>
                  <w:vAlign w:val="center"/>
                </w:tcPr>
                <w:p w14:paraId="47218ED3">
                  <w:pPr>
                    <w:pStyle w:val="40"/>
                    <w:bidi w:val="0"/>
                    <w:rPr>
                      <w:rFonts w:hint="default"/>
                    </w:rPr>
                  </w:pPr>
                  <w:r>
                    <w:rPr>
                      <w:rFonts w:hint="default"/>
                    </w:rPr>
                    <w:t>执行标准</w:t>
                  </w:r>
                </w:p>
              </w:tc>
            </w:tr>
            <w:tr w14:paraId="04224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shd w:val="clear" w:color="auto" w:fill="auto"/>
                  <w:noWrap w:val="0"/>
                  <w:vAlign w:val="center"/>
                </w:tcPr>
                <w:p w14:paraId="3D89B6A2">
                  <w:pPr>
                    <w:pStyle w:val="40"/>
                    <w:bidi w:val="0"/>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噪声</w:t>
                  </w:r>
                </w:p>
              </w:tc>
              <w:tc>
                <w:tcPr>
                  <w:tcW w:w="992" w:type="pct"/>
                  <w:shd w:val="clear" w:color="auto" w:fill="auto"/>
                  <w:noWrap w:val="0"/>
                  <w:vAlign w:val="center"/>
                </w:tcPr>
                <w:p w14:paraId="79094555">
                  <w:pPr>
                    <w:pStyle w:val="40"/>
                    <w:bidi w:val="0"/>
                    <w:rPr>
                      <w:rFonts w:hint="eastAsia" w:ascii="Times New Roman" w:hAnsi="Times New Roman" w:eastAsia="宋体" w:cs="Times New Roman"/>
                      <w:kern w:val="2"/>
                      <w:sz w:val="21"/>
                      <w:szCs w:val="21"/>
                      <w:lang w:val="en-US" w:eastAsia="zh-CN" w:bidi="ar-SA"/>
                    </w:rPr>
                  </w:pPr>
                  <w:r>
                    <w:rPr>
                      <w:rFonts w:hint="eastAsia"/>
                    </w:rPr>
                    <w:t>连续等效A声级</w:t>
                  </w:r>
                </w:p>
              </w:tc>
              <w:tc>
                <w:tcPr>
                  <w:tcW w:w="820" w:type="pct"/>
                  <w:shd w:val="clear" w:color="auto" w:fill="auto"/>
                  <w:noWrap w:val="0"/>
                  <w:vAlign w:val="center"/>
                </w:tcPr>
                <w:p w14:paraId="06EE45D3">
                  <w:pPr>
                    <w:pStyle w:val="40"/>
                    <w:bidi w:val="0"/>
                    <w:rPr>
                      <w:rFonts w:hint="default" w:ascii="Times New Roman" w:hAnsi="Times New Roman" w:eastAsia="宋体" w:cs="Times New Roman"/>
                      <w:kern w:val="2"/>
                      <w:sz w:val="21"/>
                      <w:szCs w:val="21"/>
                      <w:lang w:val="en-US" w:eastAsia="zh-CN" w:bidi="ar-SA"/>
                    </w:rPr>
                  </w:pPr>
                  <w:r>
                    <w:rPr>
                      <w:rFonts w:hint="eastAsia"/>
                      <w:lang w:val="en-US" w:eastAsia="zh-CN"/>
                    </w:rPr>
                    <w:t>四周</w:t>
                  </w:r>
                  <w:r>
                    <w:rPr>
                      <w:rFonts w:hint="eastAsia"/>
                    </w:rPr>
                    <w:t>厂界外1米</w:t>
                  </w:r>
                </w:p>
              </w:tc>
              <w:tc>
                <w:tcPr>
                  <w:tcW w:w="938" w:type="pct"/>
                  <w:noWrap w:val="0"/>
                  <w:vAlign w:val="center"/>
                </w:tcPr>
                <w:p w14:paraId="7EB14344">
                  <w:pPr>
                    <w:pStyle w:val="40"/>
                    <w:bidi w:val="0"/>
                    <w:rPr>
                      <w:rFonts w:hint="default"/>
                    </w:rPr>
                  </w:pPr>
                  <w:r>
                    <w:rPr>
                      <w:rFonts w:hint="default"/>
                    </w:rPr>
                    <w:t>1次/</w:t>
                  </w:r>
                  <w:r>
                    <w:rPr>
                      <w:rFonts w:hint="eastAsia"/>
                    </w:rPr>
                    <w:t>季度</w:t>
                  </w:r>
                </w:p>
              </w:tc>
              <w:tc>
                <w:tcPr>
                  <w:tcW w:w="1779" w:type="pct"/>
                  <w:noWrap w:val="0"/>
                  <w:vAlign w:val="center"/>
                </w:tcPr>
                <w:p w14:paraId="0166ABFE">
                  <w:pPr>
                    <w:pStyle w:val="40"/>
                    <w:bidi w:val="0"/>
                    <w:rPr>
                      <w:rFonts w:hint="default"/>
                    </w:rPr>
                  </w:pPr>
                  <w:r>
                    <w:rPr>
                      <w:rFonts w:hint="default"/>
                    </w:rPr>
                    <w:t>《工业企业厂界环境噪声排放标准》（GB12348-2008）中</w:t>
                  </w:r>
                  <w:r>
                    <w:rPr>
                      <w:rFonts w:hint="eastAsia"/>
                    </w:rPr>
                    <w:t>3</w:t>
                  </w:r>
                  <w:r>
                    <w:rPr>
                      <w:rFonts w:hint="default"/>
                    </w:rPr>
                    <w:t>类标准</w:t>
                  </w:r>
                </w:p>
              </w:tc>
            </w:tr>
          </w:tbl>
          <w:p w14:paraId="7C1602D1">
            <w:pPr>
              <w:pStyle w:val="2"/>
              <w:bidi w:val="0"/>
              <w:rPr>
                <w:rFonts w:hint="default"/>
                <w:lang w:val="en-US" w:eastAsia="zh-CN"/>
              </w:rPr>
            </w:pPr>
            <w:r>
              <w:rPr>
                <w:rFonts w:hint="default"/>
                <w:lang w:val="en-US" w:eastAsia="zh-CN"/>
              </w:rPr>
              <w:t>4.固体废物环境影响和保护措施</w:t>
            </w:r>
          </w:p>
          <w:p w14:paraId="16842D81">
            <w:pPr>
              <w:pStyle w:val="2"/>
              <w:bidi w:val="0"/>
              <w:rPr>
                <w:rFonts w:hint="default"/>
                <w:lang w:val="en-US" w:eastAsia="zh-CN"/>
              </w:rPr>
            </w:pPr>
            <w:r>
              <w:rPr>
                <w:rFonts w:hint="default"/>
                <w:lang w:val="en-US" w:eastAsia="zh-CN"/>
              </w:rPr>
              <w:t>4.1固体废物产生及处置情况</w:t>
            </w:r>
          </w:p>
          <w:p w14:paraId="60DDA72A">
            <w:pPr>
              <w:pStyle w:val="8"/>
              <w:bidi w:val="0"/>
              <w:rPr>
                <w:rFonts w:hint="default"/>
                <w:lang w:val="en-US" w:eastAsia="zh-CN"/>
              </w:rPr>
            </w:pPr>
            <w:r>
              <w:rPr>
                <w:rFonts w:hint="default"/>
                <w:lang w:val="en-US" w:eastAsia="zh-CN"/>
              </w:rPr>
              <w:t>本项目固体废弃物主要来源有除尘系统收集的粉尘</w:t>
            </w:r>
            <w:r>
              <w:rPr>
                <w:rFonts w:hint="eastAsia"/>
                <w:lang w:val="en-US" w:eastAsia="zh-CN"/>
              </w:rPr>
              <w:t>、生产过程中产生的边角料、不合格产品、废包装袋、废布袋，</w:t>
            </w:r>
            <w:r>
              <w:rPr>
                <w:rFonts w:hint="default"/>
                <w:lang w:val="en-US" w:eastAsia="zh-CN"/>
              </w:rPr>
              <w:t>设备维护产生的废润滑油</w:t>
            </w:r>
            <w:r>
              <w:rPr>
                <w:rFonts w:hint="eastAsia"/>
                <w:lang w:val="en-US" w:eastAsia="zh-CN"/>
              </w:rPr>
              <w:t>和</w:t>
            </w:r>
            <w:r>
              <w:rPr>
                <w:rFonts w:hint="default"/>
                <w:lang w:val="en-US" w:eastAsia="zh-CN"/>
              </w:rPr>
              <w:t>废润滑油桶</w:t>
            </w:r>
            <w:r>
              <w:rPr>
                <w:rFonts w:hint="eastAsia"/>
                <w:lang w:val="en-US" w:eastAsia="zh-CN"/>
              </w:rPr>
              <w:t>，</w:t>
            </w:r>
            <w:r>
              <w:rPr>
                <w:rFonts w:hint="default"/>
                <w:lang w:val="en-US" w:eastAsia="zh-CN"/>
              </w:rPr>
              <w:t>员工生活垃圾等。</w:t>
            </w:r>
          </w:p>
          <w:p w14:paraId="051720B3">
            <w:pPr>
              <w:pStyle w:val="8"/>
              <w:bidi w:val="0"/>
              <w:rPr>
                <w:rFonts w:hint="default"/>
                <w:lang w:val="en-US" w:eastAsia="zh-CN"/>
              </w:rPr>
            </w:pPr>
            <w:r>
              <w:rPr>
                <w:rFonts w:hint="default"/>
                <w:lang w:val="en-US" w:eastAsia="zh-CN"/>
              </w:rPr>
              <w:t>（1）一般固废</w:t>
            </w:r>
          </w:p>
          <w:p w14:paraId="743BD61C">
            <w:pPr>
              <w:pStyle w:val="8"/>
              <w:bidi w:val="0"/>
              <w:rPr>
                <w:rFonts w:hint="default"/>
                <w:lang w:val="en-US" w:eastAsia="zh-CN"/>
              </w:rPr>
            </w:pPr>
            <w:r>
              <w:rPr>
                <w:rFonts w:hint="default"/>
                <w:lang w:val="en-US" w:eastAsia="zh-CN"/>
              </w:rPr>
              <w:t>①除尘器收集的粉尘</w:t>
            </w:r>
          </w:p>
          <w:p w14:paraId="2B1288B1">
            <w:pPr>
              <w:pStyle w:val="8"/>
              <w:bidi w:val="0"/>
              <w:rPr>
                <w:rFonts w:hint="default"/>
                <w:lang w:val="en-US" w:eastAsia="zh-CN"/>
              </w:rPr>
            </w:pPr>
            <w:r>
              <w:rPr>
                <w:rFonts w:hint="default"/>
                <w:lang w:val="en-US" w:eastAsia="zh-CN"/>
              </w:rPr>
              <w:t>项目各布袋除尘器收集的粉尘量约为</w:t>
            </w:r>
            <w:r>
              <w:rPr>
                <w:rFonts w:hint="eastAsia"/>
                <w:highlight w:val="none"/>
                <w:lang w:val="en-US" w:eastAsia="zh-CN"/>
              </w:rPr>
              <w:t>111.415</w:t>
            </w:r>
            <w:r>
              <w:rPr>
                <w:rFonts w:hint="default"/>
                <w:highlight w:val="none"/>
                <w:lang w:val="en-US" w:eastAsia="zh-CN"/>
              </w:rPr>
              <w:t>t/a，</w:t>
            </w:r>
            <w:r>
              <w:rPr>
                <w:rFonts w:hint="default"/>
                <w:lang w:val="en-US" w:eastAsia="zh-CN"/>
              </w:rPr>
              <w:t>除尘器收集的粉尘全部回用于生产，不外排。</w:t>
            </w:r>
          </w:p>
          <w:p w14:paraId="7FFAFCE7">
            <w:pPr>
              <w:pStyle w:val="8"/>
              <w:bidi w:val="0"/>
              <w:rPr>
                <w:rFonts w:hint="eastAsia" w:eastAsia="宋体"/>
                <w:lang w:val="en-US" w:eastAsia="zh-CN"/>
              </w:rPr>
            </w:pPr>
            <w:r>
              <w:rPr>
                <w:rFonts w:hint="default"/>
                <w:lang w:val="en-US" w:eastAsia="zh-CN"/>
              </w:rPr>
              <w:t>②</w:t>
            </w:r>
            <w:r>
              <w:rPr>
                <w:rFonts w:hint="eastAsia"/>
                <w:lang w:val="en-US" w:eastAsia="zh-CN"/>
              </w:rPr>
              <w:t>废钢筋</w:t>
            </w:r>
          </w:p>
          <w:p w14:paraId="0D42A37C">
            <w:pPr>
              <w:pStyle w:val="8"/>
              <w:bidi w:val="0"/>
              <w:rPr>
                <w:rFonts w:hint="default"/>
                <w:lang w:val="en-US" w:eastAsia="zh-CN"/>
              </w:rPr>
            </w:pPr>
            <w:r>
              <w:rPr>
                <w:rFonts w:hint="eastAsia"/>
                <w:lang w:val="en-US" w:eastAsia="zh-CN"/>
              </w:rPr>
              <w:t>项目砼预制房、检查井、消防池和化粪池生产过程中会产生废钢筋，产生量约为3t/a，</w:t>
            </w:r>
            <w:r>
              <w:rPr>
                <w:rFonts w:hint="default"/>
                <w:lang w:val="en-US" w:eastAsia="zh-CN"/>
              </w:rPr>
              <w:t>收集储存</w:t>
            </w:r>
            <w:r>
              <w:rPr>
                <w:rFonts w:hint="eastAsia"/>
                <w:lang w:val="en-US" w:eastAsia="zh-CN"/>
              </w:rPr>
              <w:t>后外售处理</w:t>
            </w:r>
            <w:r>
              <w:rPr>
                <w:rFonts w:hint="default"/>
                <w:lang w:val="en-US" w:eastAsia="zh-CN"/>
              </w:rPr>
              <w:t>。</w:t>
            </w:r>
          </w:p>
          <w:p w14:paraId="4F09FA62">
            <w:pPr>
              <w:pStyle w:val="8"/>
              <w:bidi w:val="0"/>
              <w:rPr>
                <w:rFonts w:hint="eastAsia"/>
                <w:lang w:val="en-US" w:eastAsia="zh-CN"/>
              </w:rPr>
            </w:pPr>
            <w:r>
              <w:rPr>
                <w:rFonts w:hint="eastAsia"/>
                <w:lang w:val="en-US" w:eastAsia="zh-CN"/>
              </w:rPr>
              <w:t>③废包装袋、边角料及不合格产品</w:t>
            </w:r>
          </w:p>
          <w:p w14:paraId="1FE1A96F">
            <w:pPr>
              <w:pStyle w:val="8"/>
              <w:bidi w:val="0"/>
              <w:rPr>
                <w:rFonts w:hint="default"/>
                <w:lang w:val="en-US" w:eastAsia="zh-CN"/>
              </w:rPr>
            </w:pPr>
            <w:r>
              <w:rPr>
                <w:rFonts w:hint="eastAsia"/>
                <w:lang w:val="en-US" w:eastAsia="zh-CN"/>
              </w:rPr>
              <w:t>项目生产过程中会产生少量原料废包装袋，</w:t>
            </w:r>
            <w:r>
              <w:rPr>
                <w:rFonts w:hint="eastAsia"/>
                <w:highlight w:val="none"/>
                <w:lang w:val="en-US" w:eastAsia="zh-CN"/>
              </w:rPr>
              <w:t>产生量约为0.3t/a</w:t>
            </w:r>
            <w:r>
              <w:rPr>
                <w:rFonts w:hint="eastAsia"/>
                <w:lang w:val="en-US" w:eastAsia="zh-CN"/>
              </w:rPr>
              <w:t>；</w:t>
            </w:r>
            <w:r>
              <w:rPr>
                <w:rFonts w:hint="default"/>
                <w:lang w:val="en-US" w:eastAsia="zh-CN"/>
              </w:rPr>
              <w:t>项目</w:t>
            </w:r>
            <w:r>
              <w:rPr>
                <w:rFonts w:hint="eastAsia"/>
                <w:lang w:val="en-US" w:eastAsia="zh-CN"/>
              </w:rPr>
              <w:t>加气块切割、砼预制房焊接、成品检验会</w:t>
            </w:r>
            <w:r>
              <w:rPr>
                <w:rFonts w:hint="default"/>
                <w:lang w:val="en-US" w:eastAsia="zh-CN"/>
              </w:rPr>
              <w:t>产生的边角料</w:t>
            </w:r>
            <w:r>
              <w:rPr>
                <w:rFonts w:hint="eastAsia"/>
                <w:lang w:val="en-US" w:eastAsia="zh-CN"/>
              </w:rPr>
              <w:t>、焊接废料、</w:t>
            </w:r>
            <w:r>
              <w:rPr>
                <w:rFonts w:hint="default"/>
                <w:lang w:val="en-US" w:eastAsia="zh-CN"/>
              </w:rPr>
              <w:t>不合格产品，产生量约为</w:t>
            </w:r>
            <w:r>
              <w:rPr>
                <w:rFonts w:hint="eastAsia"/>
                <w:lang w:val="en-US" w:eastAsia="zh-CN"/>
              </w:rPr>
              <w:t>5</w:t>
            </w:r>
            <w:r>
              <w:rPr>
                <w:rFonts w:hint="default"/>
                <w:lang w:val="en-US" w:eastAsia="zh-CN"/>
              </w:rPr>
              <w:t>t/a，</w:t>
            </w:r>
            <w:r>
              <w:rPr>
                <w:rFonts w:hint="eastAsia"/>
                <w:lang w:val="en-US" w:eastAsia="zh-CN"/>
              </w:rPr>
              <w:t>收集后外售综合利用。</w:t>
            </w:r>
          </w:p>
          <w:p w14:paraId="6A62511B">
            <w:pPr>
              <w:pStyle w:val="8"/>
              <w:bidi w:val="0"/>
              <w:rPr>
                <w:rFonts w:hint="default"/>
                <w:lang w:val="en-US" w:eastAsia="zh-CN"/>
              </w:rPr>
            </w:pPr>
            <w:r>
              <w:rPr>
                <w:rFonts w:hint="eastAsia"/>
                <w:lang w:val="en-US" w:eastAsia="zh-CN"/>
              </w:rPr>
              <w:t>④</w:t>
            </w:r>
            <w:r>
              <w:rPr>
                <w:rFonts w:hint="default"/>
                <w:lang w:val="en-US" w:eastAsia="zh-CN"/>
              </w:rPr>
              <w:t>废布袋</w:t>
            </w:r>
          </w:p>
          <w:p w14:paraId="44CD8711">
            <w:pPr>
              <w:pStyle w:val="8"/>
              <w:bidi w:val="0"/>
              <w:rPr>
                <w:rFonts w:hint="default"/>
                <w:lang w:val="en-US" w:eastAsia="zh-CN"/>
              </w:rPr>
            </w:pPr>
            <w:r>
              <w:rPr>
                <w:rFonts w:hint="default"/>
                <w:lang w:val="en-US" w:eastAsia="zh-CN"/>
              </w:rPr>
              <w:t>本项目使用布袋除尘器为末端治理设施，布袋除尘器中的布袋需定期更换，废布袋产生量约为</w:t>
            </w:r>
            <w:r>
              <w:rPr>
                <w:rFonts w:hint="eastAsia"/>
                <w:lang w:val="en-US" w:eastAsia="zh-CN"/>
              </w:rPr>
              <w:t>0.8</w:t>
            </w:r>
            <w:r>
              <w:rPr>
                <w:rFonts w:hint="default"/>
                <w:lang w:val="en-US" w:eastAsia="zh-CN"/>
              </w:rPr>
              <w:t>t/a，集中收集后定期由设备厂家进行回收</w:t>
            </w:r>
            <w:r>
              <w:rPr>
                <w:rFonts w:hint="eastAsia"/>
                <w:lang w:val="en-US" w:eastAsia="zh-CN"/>
              </w:rPr>
              <w:t>处理</w:t>
            </w:r>
            <w:r>
              <w:rPr>
                <w:rFonts w:hint="default"/>
                <w:lang w:val="en-US" w:eastAsia="zh-CN"/>
              </w:rPr>
              <w:t>。</w:t>
            </w:r>
          </w:p>
          <w:p w14:paraId="0B9DE32A">
            <w:pPr>
              <w:pStyle w:val="8"/>
              <w:bidi w:val="0"/>
              <w:rPr>
                <w:rFonts w:hint="default"/>
                <w:highlight w:val="none"/>
                <w:lang w:val="en-US" w:eastAsia="zh-CN"/>
              </w:rPr>
            </w:pPr>
            <w:r>
              <w:rPr>
                <w:rFonts w:hint="eastAsia"/>
                <w:highlight w:val="none"/>
                <w:lang w:val="en-US" w:eastAsia="zh-CN"/>
              </w:rPr>
              <w:t>⑤</w:t>
            </w:r>
            <w:r>
              <w:rPr>
                <w:rFonts w:hint="default"/>
                <w:highlight w:val="none"/>
                <w:lang w:val="en-US" w:eastAsia="zh-CN"/>
              </w:rPr>
              <w:t>沉淀池沉渣</w:t>
            </w:r>
          </w:p>
          <w:p w14:paraId="5FEA1FAA">
            <w:pPr>
              <w:pStyle w:val="8"/>
              <w:bidi w:val="0"/>
              <w:rPr>
                <w:rFonts w:hint="default"/>
                <w:lang w:val="en-US" w:eastAsia="zh-CN"/>
              </w:rPr>
            </w:pPr>
            <w:r>
              <w:rPr>
                <w:rFonts w:hint="default"/>
                <w:highlight w:val="none"/>
                <w:lang w:val="en-US" w:eastAsia="zh-CN"/>
              </w:rPr>
              <w:t>本项目</w:t>
            </w:r>
            <w:r>
              <w:rPr>
                <w:rFonts w:hint="eastAsia"/>
                <w:highlight w:val="none"/>
                <w:lang w:val="en-US" w:eastAsia="zh-CN"/>
              </w:rPr>
              <w:t>加气块切割废水、设备清洗废水和模具清洗废水</w:t>
            </w:r>
            <w:r>
              <w:rPr>
                <w:rFonts w:hint="default"/>
                <w:highlight w:val="none"/>
                <w:lang w:val="en-US" w:eastAsia="zh-CN"/>
              </w:rPr>
              <w:t>经沉淀池沉淀后会产生沉淀池沉渣，其产生量约为0.</w:t>
            </w:r>
            <w:r>
              <w:rPr>
                <w:rFonts w:hint="eastAsia"/>
                <w:highlight w:val="none"/>
                <w:lang w:val="en-US" w:eastAsia="zh-CN"/>
              </w:rPr>
              <w:t>1</w:t>
            </w:r>
            <w:r>
              <w:rPr>
                <w:rFonts w:hint="default"/>
                <w:highlight w:val="none"/>
                <w:lang w:val="en-US" w:eastAsia="zh-CN"/>
              </w:rPr>
              <w:t>t/a，这些沉淀池沉渣将回用于生产。</w:t>
            </w:r>
          </w:p>
          <w:p w14:paraId="45B1ECD3">
            <w:pPr>
              <w:pStyle w:val="8"/>
              <w:numPr>
                <w:ilvl w:val="0"/>
                <w:numId w:val="0"/>
              </w:numPr>
              <w:bidi w:val="0"/>
              <w:ind w:leftChars="200" w:right="0" w:rightChars="0"/>
              <w:rPr>
                <w:rFonts w:hint="eastAsia"/>
                <w:lang w:val="en-US" w:eastAsia="zh-CN"/>
              </w:rPr>
            </w:pPr>
            <w:r>
              <w:rPr>
                <w:rFonts w:hint="eastAsia"/>
                <w:lang w:val="en-US" w:eastAsia="zh-CN"/>
              </w:rPr>
              <w:t>（2）危险废物</w:t>
            </w:r>
          </w:p>
          <w:p w14:paraId="70B316C6">
            <w:pPr>
              <w:pStyle w:val="8"/>
              <w:bidi w:val="0"/>
              <w:rPr>
                <w:rFonts w:hint="default"/>
                <w:lang w:val="en-US" w:eastAsia="zh-CN"/>
              </w:rPr>
            </w:pPr>
            <w:r>
              <w:rPr>
                <w:rFonts w:hint="eastAsia"/>
                <w:lang w:val="en-US" w:eastAsia="zh-CN"/>
              </w:rPr>
              <w:t>①</w:t>
            </w:r>
            <w:r>
              <w:rPr>
                <w:rFonts w:hint="default"/>
                <w:lang w:val="en-US" w:eastAsia="zh-CN"/>
              </w:rPr>
              <w:t>废润滑油及废润滑油桶</w:t>
            </w:r>
          </w:p>
          <w:p w14:paraId="2FB23F40">
            <w:pPr>
              <w:pStyle w:val="8"/>
              <w:bidi w:val="0"/>
              <w:rPr>
                <w:rFonts w:hint="default"/>
                <w:lang w:val="en-US" w:eastAsia="zh-CN"/>
              </w:rPr>
            </w:pPr>
            <w:r>
              <w:rPr>
                <w:rFonts w:hint="eastAsia"/>
                <w:lang w:val="en-US" w:eastAsia="zh-CN"/>
              </w:rPr>
              <w:t>本</w:t>
            </w:r>
            <w:r>
              <w:rPr>
                <w:rFonts w:hint="default"/>
                <w:lang w:val="en-US" w:eastAsia="zh-CN"/>
              </w:rPr>
              <w:t>项目设备</w:t>
            </w:r>
            <w:r>
              <w:rPr>
                <w:rFonts w:hint="eastAsia"/>
                <w:lang w:val="en-US" w:eastAsia="zh-CN"/>
              </w:rPr>
              <w:t>较多，在设备运行维护过程中</w:t>
            </w:r>
            <w:r>
              <w:rPr>
                <w:rFonts w:hint="default"/>
                <w:lang w:val="en-US" w:eastAsia="zh-CN"/>
              </w:rPr>
              <w:t>会产生少量废润滑油（HW08 900-214-08），</w:t>
            </w:r>
            <w:r>
              <w:rPr>
                <w:rFonts w:hint="eastAsia"/>
                <w:lang w:val="en-US" w:eastAsia="zh-CN"/>
              </w:rPr>
              <w:t>产生量约为0.5t/a，废润滑油桶（HW08 900-249-08）产生量约为0.01t/a。经收集后</w:t>
            </w:r>
            <w:r>
              <w:rPr>
                <w:rFonts w:hint="default"/>
                <w:lang w:val="en-US" w:eastAsia="zh-CN"/>
              </w:rPr>
              <w:t>暂存于危废贮存点内，定期交由有资质单位进行无害化处置。</w:t>
            </w:r>
          </w:p>
          <w:p w14:paraId="5B8DD4C6">
            <w:pPr>
              <w:pStyle w:val="8"/>
              <w:numPr>
                <w:ilvl w:val="0"/>
                <w:numId w:val="0"/>
              </w:numPr>
              <w:bidi w:val="0"/>
              <w:ind w:leftChars="200" w:right="0" w:rightChars="0"/>
              <w:rPr>
                <w:rFonts w:hint="eastAsia"/>
                <w:lang w:val="en-US" w:eastAsia="zh-CN"/>
              </w:rPr>
            </w:pPr>
            <w:r>
              <w:rPr>
                <w:rFonts w:hint="eastAsia"/>
                <w:lang w:val="en-US" w:eastAsia="zh-CN"/>
              </w:rPr>
              <w:t>（3）生活垃圾</w:t>
            </w:r>
          </w:p>
          <w:p w14:paraId="31E4D12E">
            <w:pPr>
              <w:pStyle w:val="8"/>
              <w:bidi w:val="0"/>
              <w:rPr>
                <w:rFonts w:hint="default"/>
                <w:lang w:val="en-US" w:eastAsia="zh-CN"/>
              </w:rPr>
            </w:pPr>
            <w:r>
              <w:rPr>
                <w:rFonts w:hint="default"/>
                <w:lang w:val="en-US" w:eastAsia="zh-CN"/>
              </w:rPr>
              <w:t>本项目职工人数</w:t>
            </w:r>
            <w:r>
              <w:rPr>
                <w:rFonts w:hint="eastAsia"/>
                <w:lang w:val="en-US" w:eastAsia="zh-CN"/>
              </w:rPr>
              <w:t>40</w:t>
            </w:r>
            <w:r>
              <w:rPr>
                <w:rFonts w:hint="default"/>
                <w:lang w:val="en-US" w:eastAsia="zh-CN"/>
              </w:rPr>
              <w:t>人，生活垃圾按每人每天产生0.5kg/d计，则产生量为</w:t>
            </w:r>
            <w:r>
              <w:rPr>
                <w:rFonts w:hint="eastAsia"/>
                <w:lang w:val="en-US" w:eastAsia="zh-CN"/>
              </w:rPr>
              <w:t>6</w:t>
            </w:r>
            <w:r>
              <w:rPr>
                <w:rFonts w:hint="default"/>
                <w:lang w:val="en-US" w:eastAsia="zh-CN"/>
              </w:rPr>
              <w:t>t/a，生活垃圾集中收集后交由环卫部门统一清运至垃圾处理站处理。</w:t>
            </w:r>
          </w:p>
          <w:p w14:paraId="713526B8">
            <w:pPr>
              <w:pStyle w:val="8"/>
              <w:bidi w:val="0"/>
              <w:rPr>
                <w:rFonts w:hint="default"/>
                <w:lang w:val="en-US" w:eastAsia="zh-CN"/>
              </w:rPr>
            </w:pPr>
            <w:r>
              <w:rPr>
                <w:rFonts w:hint="default"/>
                <w:lang w:val="en-US" w:eastAsia="zh-CN"/>
              </w:rPr>
              <w:t>本项目固废产生明细见下表。</w:t>
            </w:r>
          </w:p>
          <w:p w14:paraId="638F705B">
            <w:pPr>
              <w:pStyle w:val="42"/>
              <w:bidi w:val="0"/>
              <w:rPr>
                <w:rFonts w:hint="default"/>
                <w:lang w:val="en-US" w:eastAsia="zh-CN"/>
              </w:rPr>
            </w:pPr>
            <w:r>
              <w:rPr>
                <w:rFonts w:hint="default"/>
                <w:highlight w:val="none"/>
                <w:lang w:val="en-US" w:eastAsia="zh-CN"/>
              </w:rPr>
              <w:t>表4-</w:t>
            </w:r>
            <w:r>
              <w:rPr>
                <w:rFonts w:hint="eastAsia"/>
                <w:highlight w:val="none"/>
                <w:lang w:val="en-US" w:eastAsia="zh-CN"/>
              </w:rPr>
              <w:t>12</w:t>
            </w:r>
            <w:r>
              <w:rPr>
                <w:rFonts w:hint="default"/>
                <w:highlight w:val="none"/>
                <w:lang w:val="en-US" w:eastAsia="zh-CN"/>
              </w:rPr>
              <w:t xml:space="preserve"> </w:t>
            </w:r>
            <w:r>
              <w:rPr>
                <w:rFonts w:hint="default"/>
                <w:lang w:val="en-US" w:eastAsia="zh-CN"/>
              </w:rPr>
              <w:t xml:space="preserve">   项目固体废物产生情况明细</w:t>
            </w:r>
          </w:p>
          <w:tbl>
            <w:tblPr>
              <w:tblStyle w:val="23"/>
              <w:tblW w:w="8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925"/>
              <w:gridCol w:w="812"/>
              <w:gridCol w:w="1338"/>
              <w:gridCol w:w="850"/>
              <w:gridCol w:w="700"/>
              <w:gridCol w:w="2137"/>
            </w:tblGrid>
            <w:tr w14:paraId="7511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9" w:type="pct"/>
                  <w:noWrap w:val="0"/>
                  <w:vAlign w:val="center"/>
                </w:tcPr>
                <w:p w14:paraId="1F24CC38">
                  <w:pPr>
                    <w:pStyle w:val="40"/>
                    <w:bidi w:val="0"/>
                    <w:rPr>
                      <w:rFonts w:hint="default"/>
                      <w:highlight w:val="none"/>
                      <w:lang w:val="en-US" w:eastAsia="zh-CN"/>
                    </w:rPr>
                  </w:pPr>
                  <w:r>
                    <w:rPr>
                      <w:rFonts w:hint="default"/>
                      <w:highlight w:val="none"/>
                      <w:lang w:val="en-US" w:eastAsia="zh-CN"/>
                    </w:rPr>
                    <w:t>废物属性</w:t>
                  </w:r>
                </w:p>
              </w:tc>
              <w:tc>
                <w:tcPr>
                  <w:tcW w:w="1138" w:type="pct"/>
                  <w:noWrap w:val="0"/>
                  <w:vAlign w:val="center"/>
                </w:tcPr>
                <w:p w14:paraId="3E9A67A9">
                  <w:pPr>
                    <w:pStyle w:val="40"/>
                    <w:bidi w:val="0"/>
                    <w:rPr>
                      <w:rFonts w:hint="default"/>
                      <w:highlight w:val="none"/>
                      <w:lang w:val="en-US" w:eastAsia="zh-CN"/>
                    </w:rPr>
                  </w:pPr>
                  <w:r>
                    <w:rPr>
                      <w:rFonts w:hint="default"/>
                      <w:highlight w:val="none"/>
                      <w:lang w:val="en-US" w:eastAsia="zh-CN"/>
                    </w:rPr>
                    <w:t>名称</w:t>
                  </w:r>
                </w:p>
              </w:tc>
              <w:tc>
                <w:tcPr>
                  <w:tcW w:w="480" w:type="pct"/>
                  <w:noWrap w:val="0"/>
                  <w:vAlign w:val="center"/>
                </w:tcPr>
                <w:p w14:paraId="2E998E8B">
                  <w:pPr>
                    <w:pStyle w:val="40"/>
                    <w:bidi w:val="0"/>
                    <w:rPr>
                      <w:rFonts w:hint="default"/>
                      <w:highlight w:val="none"/>
                      <w:lang w:val="en-US" w:eastAsia="zh-CN"/>
                    </w:rPr>
                  </w:pPr>
                  <w:r>
                    <w:rPr>
                      <w:rFonts w:hint="default"/>
                      <w:highlight w:val="none"/>
                      <w:lang w:val="en-US" w:eastAsia="zh-CN"/>
                    </w:rPr>
                    <w:t>废物类别</w:t>
                  </w:r>
                </w:p>
              </w:tc>
              <w:tc>
                <w:tcPr>
                  <w:tcW w:w="791" w:type="pct"/>
                  <w:noWrap w:val="0"/>
                  <w:vAlign w:val="center"/>
                </w:tcPr>
                <w:p w14:paraId="24917115">
                  <w:pPr>
                    <w:pStyle w:val="40"/>
                    <w:bidi w:val="0"/>
                    <w:rPr>
                      <w:rFonts w:hint="default"/>
                      <w:highlight w:val="none"/>
                      <w:lang w:val="en-US" w:eastAsia="zh-CN"/>
                    </w:rPr>
                  </w:pPr>
                  <w:r>
                    <w:rPr>
                      <w:rFonts w:hint="default"/>
                      <w:highlight w:val="none"/>
                      <w:lang w:val="en-US" w:eastAsia="zh-CN"/>
                    </w:rPr>
                    <w:t>废物代码</w:t>
                  </w:r>
                </w:p>
              </w:tc>
              <w:tc>
                <w:tcPr>
                  <w:tcW w:w="502" w:type="pct"/>
                  <w:noWrap w:val="0"/>
                  <w:vAlign w:val="center"/>
                </w:tcPr>
                <w:p w14:paraId="0334F42F">
                  <w:pPr>
                    <w:pStyle w:val="40"/>
                    <w:bidi w:val="0"/>
                    <w:rPr>
                      <w:rFonts w:hint="default"/>
                      <w:highlight w:val="none"/>
                      <w:lang w:val="en-US" w:eastAsia="zh-CN"/>
                    </w:rPr>
                  </w:pPr>
                  <w:r>
                    <w:rPr>
                      <w:rFonts w:hint="default"/>
                      <w:highlight w:val="none"/>
                      <w:lang w:val="en-US" w:eastAsia="zh-CN"/>
                    </w:rPr>
                    <w:t>产生量（t/a）</w:t>
                  </w:r>
                </w:p>
              </w:tc>
              <w:tc>
                <w:tcPr>
                  <w:tcW w:w="413" w:type="pct"/>
                  <w:noWrap w:val="0"/>
                  <w:vAlign w:val="center"/>
                </w:tcPr>
                <w:p w14:paraId="65CC2346">
                  <w:pPr>
                    <w:pStyle w:val="40"/>
                    <w:bidi w:val="0"/>
                    <w:rPr>
                      <w:rFonts w:hint="default"/>
                      <w:highlight w:val="none"/>
                      <w:lang w:val="en-US" w:eastAsia="zh-CN"/>
                    </w:rPr>
                  </w:pPr>
                  <w:r>
                    <w:rPr>
                      <w:rFonts w:hint="default"/>
                      <w:highlight w:val="none"/>
                      <w:lang w:val="en-US" w:eastAsia="zh-CN"/>
                    </w:rPr>
                    <w:t>危险特性</w:t>
                  </w:r>
                </w:p>
              </w:tc>
              <w:tc>
                <w:tcPr>
                  <w:tcW w:w="1263" w:type="pct"/>
                  <w:noWrap w:val="0"/>
                  <w:vAlign w:val="center"/>
                </w:tcPr>
                <w:p w14:paraId="1CC044F4">
                  <w:pPr>
                    <w:pStyle w:val="40"/>
                    <w:bidi w:val="0"/>
                    <w:rPr>
                      <w:rFonts w:hint="default"/>
                      <w:highlight w:val="none"/>
                      <w:lang w:val="en-US" w:eastAsia="zh-CN"/>
                    </w:rPr>
                  </w:pPr>
                  <w:r>
                    <w:rPr>
                      <w:rFonts w:hint="default"/>
                      <w:highlight w:val="none"/>
                      <w:lang w:val="en-US" w:eastAsia="zh-CN"/>
                    </w:rPr>
                    <w:t>去向</w:t>
                  </w:r>
                </w:p>
              </w:tc>
            </w:tr>
            <w:tr w14:paraId="3185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409" w:type="pct"/>
                  <w:vMerge w:val="restart"/>
                  <w:noWrap w:val="0"/>
                  <w:vAlign w:val="center"/>
                </w:tcPr>
                <w:p w14:paraId="46744CEF">
                  <w:pPr>
                    <w:pStyle w:val="40"/>
                    <w:bidi w:val="0"/>
                    <w:rPr>
                      <w:rFonts w:hint="default"/>
                      <w:highlight w:val="none"/>
                      <w:lang w:val="en-US" w:eastAsia="zh-CN"/>
                    </w:rPr>
                  </w:pPr>
                  <w:r>
                    <w:rPr>
                      <w:rFonts w:hint="default"/>
                      <w:highlight w:val="none"/>
                      <w:lang w:val="en-US" w:eastAsia="zh-CN"/>
                    </w:rPr>
                    <w:t>一般固废</w:t>
                  </w:r>
                </w:p>
              </w:tc>
              <w:tc>
                <w:tcPr>
                  <w:tcW w:w="1138" w:type="pct"/>
                  <w:noWrap w:val="0"/>
                  <w:vAlign w:val="center"/>
                </w:tcPr>
                <w:p w14:paraId="712D7FE2">
                  <w:pPr>
                    <w:pStyle w:val="40"/>
                    <w:bidi w:val="0"/>
                    <w:rPr>
                      <w:rFonts w:hint="default"/>
                      <w:highlight w:val="none"/>
                      <w:lang w:val="en-US" w:eastAsia="zh-CN"/>
                    </w:rPr>
                  </w:pPr>
                  <w:r>
                    <w:rPr>
                      <w:rFonts w:hint="default"/>
                      <w:highlight w:val="none"/>
                      <w:lang w:val="en-US" w:eastAsia="zh-CN"/>
                    </w:rPr>
                    <w:t>除尘器收集的粉尘</w:t>
                  </w:r>
                </w:p>
              </w:tc>
              <w:tc>
                <w:tcPr>
                  <w:tcW w:w="480" w:type="pct"/>
                  <w:tcBorders>
                    <w:bottom w:val="single" w:color="000000" w:sz="8" w:space="0"/>
                  </w:tcBorders>
                  <w:noWrap w:val="0"/>
                  <w:vAlign w:val="center"/>
                </w:tcPr>
                <w:p w14:paraId="4A7C67B1">
                  <w:pPr>
                    <w:pStyle w:val="40"/>
                    <w:bidi w:val="0"/>
                    <w:rPr>
                      <w:rFonts w:hint="default"/>
                      <w:highlight w:val="none"/>
                      <w:lang w:val="en-US" w:eastAsia="zh-CN"/>
                    </w:rPr>
                  </w:pPr>
                  <w:r>
                    <w:rPr>
                      <w:rFonts w:hint="default"/>
                      <w:highlight w:val="none"/>
                      <w:lang w:val="en-US" w:eastAsia="zh-CN"/>
                    </w:rPr>
                    <w:t>SW17</w:t>
                  </w:r>
                </w:p>
              </w:tc>
              <w:tc>
                <w:tcPr>
                  <w:tcW w:w="791" w:type="pct"/>
                  <w:tcBorders>
                    <w:bottom w:val="single" w:color="000000" w:sz="8" w:space="0"/>
                  </w:tcBorders>
                  <w:noWrap w:val="0"/>
                  <w:vAlign w:val="center"/>
                </w:tcPr>
                <w:p w14:paraId="6BB2B3F5">
                  <w:pPr>
                    <w:pStyle w:val="40"/>
                    <w:bidi w:val="0"/>
                    <w:rPr>
                      <w:rFonts w:hint="default"/>
                      <w:highlight w:val="none"/>
                      <w:lang w:val="en-US" w:eastAsia="zh-CN"/>
                    </w:rPr>
                  </w:pPr>
                  <w:r>
                    <w:rPr>
                      <w:rFonts w:hint="default"/>
                      <w:highlight w:val="none"/>
                      <w:lang w:val="en-US" w:eastAsia="zh-CN"/>
                    </w:rPr>
                    <w:t>900-099-S17</w:t>
                  </w:r>
                </w:p>
              </w:tc>
              <w:tc>
                <w:tcPr>
                  <w:tcW w:w="502" w:type="pct"/>
                  <w:noWrap w:val="0"/>
                  <w:vAlign w:val="center"/>
                </w:tcPr>
                <w:p w14:paraId="6EA842E9">
                  <w:pPr>
                    <w:pStyle w:val="40"/>
                    <w:bidi w:val="0"/>
                    <w:rPr>
                      <w:rFonts w:hint="default"/>
                      <w:highlight w:val="none"/>
                      <w:lang w:val="en-US" w:eastAsia="zh-CN"/>
                    </w:rPr>
                  </w:pPr>
                  <w:r>
                    <w:rPr>
                      <w:rFonts w:hint="eastAsia"/>
                      <w:highlight w:val="none"/>
                      <w:lang w:val="en-US" w:eastAsia="zh-CN"/>
                    </w:rPr>
                    <w:t>111.415</w:t>
                  </w:r>
                </w:p>
              </w:tc>
              <w:tc>
                <w:tcPr>
                  <w:tcW w:w="413" w:type="pct"/>
                  <w:noWrap w:val="0"/>
                  <w:vAlign w:val="center"/>
                </w:tcPr>
                <w:p w14:paraId="52A3C1FF">
                  <w:pPr>
                    <w:pStyle w:val="40"/>
                    <w:bidi w:val="0"/>
                    <w:rPr>
                      <w:rFonts w:hint="default"/>
                      <w:highlight w:val="none"/>
                      <w:lang w:val="en-US" w:eastAsia="zh-CN"/>
                    </w:rPr>
                  </w:pPr>
                  <w:r>
                    <w:rPr>
                      <w:rFonts w:hint="default"/>
                      <w:highlight w:val="none"/>
                      <w:lang w:val="en-US" w:eastAsia="zh-CN"/>
                    </w:rPr>
                    <w:t>/</w:t>
                  </w:r>
                </w:p>
              </w:tc>
              <w:tc>
                <w:tcPr>
                  <w:tcW w:w="1263" w:type="pct"/>
                  <w:noWrap w:val="0"/>
                  <w:vAlign w:val="center"/>
                </w:tcPr>
                <w:p w14:paraId="20B657A9">
                  <w:pPr>
                    <w:pStyle w:val="40"/>
                    <w:bidi w:val="0"/>
                    <w:rPr>
                      <w:rFonts w:hint="default"/>
                      <w:highlight w:val="none"/>
                      <w:lang w:val="en-US" w:eastAsia="zh-CN"/>
                    </w:rPr>
                  </w:pPr>
                  <w:r>
                    <w:rPr>
                      <w:rFonts w:hint="eastAsia"/>
                      <w:highlight w:val="none"/>
                      <w:lang w:val="en-US" w:eastAsia="zh-CN"/>
                    </w:rPr>
                    <w:t>回用于生产</w:t>
                  </w:r>
                </w:p>
              </w:tc>
            </w:tr>
            <w:tr w14:paraId="77C5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09" w:type="pct"/>
                  <w:vMerge w:val="continue"/>
                  <w:noWrap w:val="0"/>
                  <w:vAlign w:val="center"/>
                </w:tcPr>
                <w:p w14:paraId="31DEAF88">
                  <w:pPr>
                    <w:pStyle w:val="40"/>
                    <w:bidi w:val="0"/>
                    <w:rPr>
                      <w:rFonts w:hint="default"/>
                      <w:highlight w:val="none"/>
                      <w:lang w:val="en-US" w:eastAsia="zh-CN"/>
                    </w:rPr>
                  </w:pPr>
                </w:p>
              </w:tc>
              <w:tc>
                <w:tcPr>
                  <w:tcW w:w="1138" w:type="pct"/>
                  <w:noWrap w:val="0"/>
                  <w:vAlign w:val="center"/>
                </w:tcPr>
                <w:p w14:paraId="53AD7C23">
                  <w:pPr>
                    <w:pStyle w:val="40"/>
                    <w:bidi w:val="0"/>
                    <w:rPr>
                      <w:rFonts w:hint="default"/>
                      <w:highlight w:val="none"/>
                      <w:lang w:val="en-US" w:eastAsia="zh-CN"/>
                    </w:rPr>
                  </w:pPr>
                  <w:r>
                    <w:rPr>
                      <w:rFonts w:hint="eastAsia"/>
                      <w:highlight w:val="none"/>
                      <w:lang w:val="en-US" w:eastAsia="zh-CN"/>
                    </w:rPr>
                    <w:t>废钢筋</w:t>
                  </w:r>
                </w:p>
              </w:tc>
              <w:tc>
                <w:tcPr>
                  <w:tcW w:w="480" w:type="pct"/>
                  <w:tcBorders>
                    <w:top w:val="single" w:color="000000" w:sz="8" w:space="0"/>
                  </w:tcBorders>
                  <w:noWrap w:val="0"/>
                  <w:vAlign w:val="center"/>
                </w:tcPr>
                <w:p w14:paraId="74BEEAFB">
                  <w:pPr>
                    <w:pStyle w:val="40"/>
                    <w:bidi w:val="0"/>
                    <w:rPr>
                      <w:rFonts w:hint="default"/>
                      <w:highlight w:val="none"/>
                      <w:lang w:val="en-US" w:eastAsia="zh-CN"/>
                    </w:rPr>
                  </w:pPr>
                  <w:r>
                    <w:rPr>
                      <w:rFonts w:hint="default"/>
                      <w:highlight w:val="none"/>
                      <w:lang w:val="en-US" w:eastAsia="zh-CN"/>
                    </w:rPr>
                    <w:t>SW17</w:t>
                  </w:r>
                </w:p>
              </w:tc>
              <w:tc>
                <w:tcPr>
                  <w:tcW w:w="791" w:type="pct"/>
                  <w:tcBorders>
                    <w:top w:val="single" w:color="000000" w:sz="8" w:space="0"/>
                    <w:bottom w:val="single" w:color="000000" w:sz="8" w:space="0"/>
                  </w:tcBorders>
                  <w:noWrap w:val="0"/>
                  <w:vAlign w:val="center"/>
                </w:tcPr>
                <w:p w14:paraId="19F3983F">
                  <w:pPr>
                    <w:pStyle w:val="40"/>
                    <w:bidi w:val="0"/>
                    <w:rPr>
                      <w:rFonts w:hint="default"/>
                      <w:highlight w:val="none"/>
                      <w:lang w:val="en-US" w:eastAsia="zh-CN"/>
                    </w:rPr>
                  </w:pPr>
                  <w:r>
                    <w:rPr>
                      <w:rFonts w:hint="default"/>
                      <w:highlight w:val="none"/>
                      <w:lang w:val="en-US" w:eastAsia="zh-CN"/>
                    </w:rPr>
                    <w:t>900-001-S17</w:t>
                  </w:r>
                </w:p>
              </w:tc>
              <w:tc>
                <w:tcPr>
                  <w:tcW w:w="502" w:type="pct"/>
                  <w:noWrap w:val="0"/>
                  <w:vAlign w:val="center"/>
                </w:tcPr>
                <w:p w14:paraId="69FF61C3">
                  <w:pPr>
                    <w:pStyle w:val="40"/>
                    <w:bidi w:val="0"/>
                    <w:rPr>
                      <w:rFonts w:hint="default"/>
                      <w:highlight w:val="none"/>
                      <w:lang w:val="en-US" w:eastAsia="zh-CN"/>
                    </w:rPr>
                  </w:pPr>
                  <w:r>
                    <w:rPr>
                      <w:rFonts w:hint="eastAsia"/>
                      <w:highlight w:val="none"/>
                      <w:lang w:val="en-US" w:eastAsia="zh-CN"/>
                    </w:rPr>
                    <w:t>3</w:t>
                  </w:r>
                </w:p>
              </w:tc>
              <w:tc>
                <w:tcPr>
                  <w:tcW w:w="413" w:type="pct"/>
                  <w:noWrap w:val="0"/>
                  <w:vAlign w:val="center"/>
                </w:tcPr>
                <w:p w14:paraId="33AACE05">
                  <w:pPr>
                    <w:pStyle w:val="40"/>
                    <w:bidi w:val="0"/>
                    <w:rPr>
                      <w:rFonts w:hint="default"/>
                      <w:highlight w:val="none"/>
                      <w:lang w:val="en-US" w:eastAsia="zh-CN"/>
                    </w:rPr>
                  </w:pPr>
                  <w:r>
                    <w:rPr>
                      <w:rFonts w:hint="eastAsia"/>
                      <w:highlight w:val="none"/>
                      <w:lang w:val="en-US" w:eastAsia="zh-CN"/>
                    </w:rPr>
                    <w:t>/</w:t>
                  </w:r>
                </w:p>
              </w:tc>
              <w:tc>
                <w:tcPr>
                  <w:tcW w:w="1263" w:type="pct"/>
                  <w:tcBorders>
                    <w:bottom w:val="single" w:color="000000" w:sz="8" w:space="0"/>
                  </w:tcBorders>
                  <w:noWrap w:val="0"/>
                  <w:vAlign w:val="center"/>
                </w:tcPr>
                <w:p w14:paraId="18202741">
                  <w:pPr>
                    <w:pStyle w:val="40"/>
                    <w:bidi w:val="0"/>
                    <w:rPr>
                      <w:rFonts w:hint="default"/>
                      <w:highlight w:val="none"/>
                      <w:lang w:val="en-US" w:eastAsia="zh-CN"/>
                    </w:rPr>
                  </w:pPr>
                  <w:r>
                    <w:rPr>
                      <w:rFonts w:hint="eastAsia"/>
                      <w:highlight w:val="none"/>
                      <w:lang w:val="en-US" w:eastAsia="zh-CN"/>
                    </w:rPr>
                    <w:t>收集外售</w:t>
                  </w:r>
                </w:p>
              </w:tc>
            </w:tr>
            <w:tr w14:paraId="19B8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409" w:type="pct"/>
                  <w:vMerge w:val="continue"/>
                  <w:noWrap w:val="0"/>
                  <w:vAlign w:val="center"/>
                </w:tcPr>
                <w:p w14:paraId="56542F46">
                  <w:pPr>
                    <w:pStyle w:val="40"/>
                    <w:bidi w:val="0"/>
                    <w:rPr>
                      <w:rFonts w:hint="default"/>
                      <w:highlight w:val="none"/>
                      <w:lang w:val="en-US" w:eastAsia="zh-CN"/>
                    </w:rPr>
                  </w:pPr>
                </w:p>
              </w:tc>
              <w:tc>
                <w:tcPr>
                  <w:tcW w:w="1138" w:type="pct"/>
                  <w:noWrap w:val="0"/>
                  <w:vAlign w:val="center"/>
                </w:tcPr>
                <w:p w14:paraId="2CE4AA0B">
                  <w:pPr>
                    <w:pStyle w:val="40"/>
                    <w:bidi w:val="0"/>
                    <w:rPr>
                      <w:rFonts w:hint="default"/>
                      <w:highlight w:val="none"/>
                      <w:lang w:val="en-US" w:eastAsia="zh-CN"/>
                    </w:rPr>
                  </w:pPr>
                  <w:r>
                    <w:rPr>
                      <w:rFonts w:hint="default"/>
                      <w:highlight w:val="none"/>
                      <w:lang w:val="en-US" w:eastAsia="zh-CN"/>
                    </w:rPr>
                    <w:t>废包装袋</w:t>
                  </w:r>
                  <w:r>
                    <w:rPr>
                      <w:rFonts w:hint="eastAsia"/>
                      <w:highlight w:val="none"/>
                      <w:lang w:val="en-US" w:eastAsia="zh-CN"/>
                    </w:rPr>
                    <w:t>、</w:t>
                  </w:r>
                  <w:r>
                    <w:rPr>
                      <w:rFonts w:hint="default"/>
                      <w:highlight w:val="none"/>
                      <w:lang w:val="en-US" w:eastAsia="zh-CN"/>
                    </w:rPr>
                    <w:t>边角料及不合格产品</w:t>
                  </w:r>
                </w:p>
              </w:tc>
              <w:tc>
                <w:tcPr>
                  <w:tcW w:w="480" w:type="pct"/>
                  <w:tcBorders>
                    <w:top w:val="single" w:color="000000" w:sz="8" w:space="0"/>
                  </w:tcBorders>
                  <w:noWrap w:val="0"/>
                  <w:vAlign w:val="center"/>
                </w:tcPr>
                <w:p w14:paraId="68123D35">
                  <w:pPr>
                    <w:pStyle w:val="40"/>
                    <w:bidi w:val="0"/>
                    <w:rPr>
                      <w:rFonts w:hint="default"/>
                      <w:highlight w:val="none"/>
                      <w:lang w:val="en-US" w:eastAsia="zh-CN"/>
                    </w:rPr>
                  </w:pPr>
                  <w:r>
                    <w:rPr>
                      <w:rFonts w:hint="default"/>
                      <w:highlight w:val="none"/>
                      <w:lang w:val="en-US" w:eastAsia="zh-CN"/>
                    </w:rPr>
                    <w:t>SW59</w:t>
                  </w:r>
                </w:p>
              </w:tc>
              <w:tc>
                <w:tcPr>
                  <w:tcW w:w="791" w:type="pct"/>
                  <w:tcBorders>
                    <w:top w:val="single" w:color="000000" w:sz="8" w:space="0"/>
                  </w:tcBorders>
                  <w:noWrap w:val="0"/>
                  <w:vAlign w:val="center"/>
                </w:tcPr>
                <w:p w14:paraId="6867E434">
                  <w:pPr>
                    <w:pStyle w:val="40"/>
                    <w:bidi w:val="0"/>
                    <w:rPr>
                      <w:rFonts w:hint="default"/>
                      <w:highlight w:val="none"/>
                      <w:lang w:val="en-US" w:eastAsia="zh-CN"/>
                    </w:rPr>
                  </w:pPr>
                  <w:r>
                    <w:rPr>
                      <w:rFonts w:hint="default"/>
                      <w:highlight w:val="none"/>
                      <w:lang w:val="en-US" w:eastAsia="zh-CN"/>
                    </w:rPr>
                    <w:t>900-099-S59</w:t>
                  </w:r>
                </w:p>
              </w:tc>
              <w:tc>
                <w:tcPr>
                  <w:tcW w:w="502" w:type="pct"/>
                  <w:noWrap w:val="0"/>
                  <w:vAlign w:val="center"/>
                </w:tcPr>
                <w:p w14:paraId="66496CA8">
                  <w:pPr>
                    <w:pStyle w:val="40"/>
                    <w:bidi w:val="0"/>
                    <w:rPr>
                      <w:rFonts w:hint="default"/>
                      <w:highlight w:val="none"/>
                      <w:lang w:val="en-US" w:eastAsia="zh-CN"/>
                    </w:rPr>
                  </w:pPr>
                  <w:r>
                    <w:rPr>
                      <w:rFonts w:hint="eastAsia"/>
                      <w:highlight w:val="none"/>
                      <w:lang w:val="en-US" w:eastAsia="zh-CN"/>
                    </w:rPr>
                    <w:t>5.3</w:t>
                  </w:r>
                </w:p>
              </w:tc>
              <w:tc>
                <w:tcPr>
                  <w:tcW w:w="413" w:type="pct"/>
                  <w:noWrap w:val="0"/>
                  <w:vAlign w:val="center"/>
                </w:tcPr>
                <w:p w14:paraId="3FD36973">
                  <w:pPr>
                    <w:pStyle w:val="40"/>
                    <w:bidi w:val="0"/>
                    <w:rPr>
                      <w:rFonts w:hint="default"/>
                      <w:highlight w:val="none"/>
                      <w:lang w:val="en-US" w:eastAsia="zh-CN"/>
                    </w:rPr>
                  </w:pPr>
                  <w:r>
                    <w:rPr>
                      <w:rFonts w:hint="eastAsia"/>
                      <w:highlight w:val="none"/>
                      <w:lang w:val="en-US" w:eastAsia="zh-CN"/>
                    </w:rPr>
                    <w:t>/</w:t>
                  </w:r>
                </w:p>
              </w:tc>
              <w:tc>
                <w:tcPr>
                  <w:tcW w:w="1263" w:type="pct"/>
                  <w:tcBorders>
                    <w:top w:val="single" w:color="000000" w:sz="8" w:space="0"/>
                  </w:tcBorders>
                  <w:noWrap w:val="0"/>
                  <w:vAlign w:val="center"/>
                </w:tcPr>
                <w:p w14:paraId="571FC7EE">
                  <w:pPr>
                    <w:pStyle w:val="40"/>
                    <w:bidi w:val="0"/>
                    <w:rPr>
                      <w:rFonts w:hint="default"/>
                      <w:highlight w:val="none"/>
                      <w:lang w:val="en-US" w:eastAsia="zh-CN"/>
                    </w:rPr>
                  </w:pPr>
                  <w:r>
                    <w:rPr>
                      <w:rFonts w:hint="default"/>
                      <w:highlight w:val="none"/>
                      <w:lang w:val="en-US" w:eastAsia="zh-CN"/>
                    </w:rPr>
                    <w:t>收集后外售综合利用</w:t>
                  </w:r>
                </w:p>
              </w:tc>
            </w:tr>
            <w:tr w14:paraId="6CD5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09" w:type="pct"/>
                  <w:vMerge w:val="continue"/>
                  <w:noWrap w:val="0"/>
                  <w:vAlign w:val="center"/>
                </w:tcPr>
                <w:p w14:paraId="16229FA2">
                  <w:pPr>
                    <w:pStyle w:val="40"/>
                    <w:bidi w:val="0"/>
                    <w:rPr>
                      <w:rFonts w:hint="default"/>
                      <w:highlight w:val="none"/>
                      <w:lang w:val="en-US" w:eastAsia="zh-CN"/>
                    </w:rPr>
                  </w:pPr>
                </w:p>
              </w:tc>
              <w:tc>
                <w:tcPr>
                  <w:tcW w:w="1138" w:type="pct"/>
                  <w:noWrap w:val="0"/>
                  <w:vAlign w:val="center"/>
                </w:tcPr>
                <w:p w14:paraId="5B35DBAF">
                  <w:pPr>
                    <w:pStyle w:val="40"/>
                    <w:bidi w:val="0"/>
                    <w:rPr>
                      <w:rFonts w:hint="default"/>
                      <w:highlight w:val="none"/>
                      <w:lang w:val="en-US" w:eastAsia="zh-CN"/>
                    </w:rPr>
                  </w:pPr>
                  <w:r>
                    <w:rPr>
                      <w:rFonts w:hint="default"/>
                      <w:highlight w:val="none"/>
                      <w:lang w:val="en-US" w:eastAsia="zh-CN"/>
                    </w:rPr>
                    <w:t>废布袋</w:t>
                  </w:r>
                </w:p>
              </w:tc>
              <w:tc>
                <w:tcPr>
                  <w:tcW w:w="480" w:type="pct"/>
                  <w:noWrap w:val="0"/>
                  <w:vAlign w:val="center"/>
                </w:tcPr>
                <w:p w14:paraId="48A0E800">
                  <w:pPr>
                    <w:keepNext w:val="0"/>
                    <w:keepLines w:val="0"/>
                    <w:suppressLineNumbers w:val="0"/>
                    <w:bidi w:val="0"/>
                    <w:spacing w:before="0" w:beforeAutospacing="0" w:after="0" w:afterAutospacing="0"/>
                    <w:ind w:left="0" w:leftChars="0" w:right="0" w:rightChars="0"/>
                    <w:jc w:val="center"/>
                    <w:rPr>
                      <w:rFonts w:hint="default"/>
                      <w:highlight w:val="none"/>
                      <w:lang w:val="en-US" w:eastAsia="zh-CN"/>
                    </w:rPr>
                  </w:pPr>
                  <w:r>
                    <w:rPr>
                      <w:rFonts w:hint="eastAsia" w:cs="Times New Roman"/>
                      <w:highlight w:val="none"/>
                      <w:lang w:val="en-US" w:eastAsia="zh-CN"/>
                    </w:rPr>
                    <w:t>SW59</w:t>
                  </w:r>
                </w:p>
              </w:tc>
              <w:tc>
                <w:tcPr>
                  <w:tcW w:w="791" w:type="pct"/>
                  <w:noWrap w:val="0"/>
                  <w:vAlign w:val="center"/>
                </w:tcPr>
                <w:p w14:paraId="54AE8EA5">
                  <w:pPr>
                    <w:keepNext w:val="0"/>
                    <w:keepLines w:val="0"/>
                    <w:suppressLineNumbers w:val="0"/>
                    <w:bidi w:val="0"/>
                    <w:spacing w:before="0" w:beforeAutospacing="0" w:after="0" w:afterAutospacing="0"/>
                    <w:ind w:left="0" w:leftChars="0" w:right="0" w:rightChars="0"/>
                    <w:jc w:val="center"/>
                    <w:rPr>
                      <w:rFonts w:hint="default"/>
                      <w:highlight w:val="none"/>
                      <w:lang w:val="en-US" w:eastAsia="zh-CN"/>
                    </w:rPr>
                  </w:pPr>
                  <w:r>
                    <w:rPr>
                      <w:rFonts w:hint="eastAsia" w:cs="Times New Roman"/>
                      <w:highlight w:val="none"/>
                      <w:lang w:val="en-US" w:eastAsia="zh-CN"/>
                    </w:rPr>
                    <w:t>900-099-S59</w:t>
                  </w:r>
                </w:p>
              </w:tc>
              <w:tc>
                <w:tcPr>
                  <w:tcW w:w="502" w:type="pct"/>
                  <w:noWrap w:val="0"/>
                  <w:vAlign w:val="center"/>
                </w:tcPr>
                <w:p w14:paraId="472206EC">
                  <w:pPr>
                    <w:pStyle w:val="40"/>
                    <w:bidi w:val="0"/>
                    <w:rPr>
                      <w:rFonts w:hint="default"/>
                      <w:highlight w:val="none"/>
                      <w:lang w:val="en-US" w:eastAsia="zh-CN"/>
                    </w:rPr>
                  </w:pPr>
                  <w:r>
                    <w:rPr>
                      <w:rFonts w:hint="eastAsia"/>
                      <w:highlight w:val="none"/>
                      <w:lang w:val="en-US" w:eastAsia="zh-CN"/>
                    </w:rPr>
                    <w:t>0.8</w:t>
                  </w:r>
                </w:p>
              </w:tc>
              <w:tc>
                <w:tcPr>
                  <w:tcW w:w="413" w:type="pct"/>
                  <w:noWrap w:val="0"/>
                  <w:vAlign w:val="center"/>
                </w:tcPr>
                <w:p w14:paraId="3E3004C7">
                  <w:pPr>
                    <w:pStyle w:val="40"/>
                    <w:bidi w:val="0"/>
                    <w:rPr>
                      <w:rFonts w:hint="default"/>
                      <w:highlight w:val="none"/>
                      <w:lang w:val="en-US" w:eastAsia="zh-CN"/>
                    </w:rPr>
                  </w:pPr>
                  <w:r>
                    <w:rPr>
                      <w:rFonts w:hint="eastAsia"/>
                      <w:highlight w:val="none"/>
                      <w:lang w:val="en-US" w:eastAsia="zh-CN"/>
                    </w:rPr>
                    <w:t>/</w:t>
                  </w:r>
                </w:p>
              </w:tc>
              <w:tc>
                <w:tcPr>
                  <w:tcW w:w="1263" w:type="pct"/>
                  <w:noWrap w:val="0"/>
                  <w:vAlign w:val="center"/>
                </w:tcPr>
                <w:p w14:paraId="33242DD8">
                  <w:pPr>
                    <w:pStyle w:val="40"/>
                    <w:bidi w:val="0"/>
                    <w:rPr>
                      <w:rFonts w:hint="default"/>
                      <w:highlight w:val="none"/>
                      <w:lang w:val="en-US" w:eastAsia="zh-CN"/>
                    </w:rPr>
                  </w:pPr>
                  <w:r>
                    <w:rPr>
                      <w:rFonts w:hint="default"/>
                      <w:highlight w:val="none"/>
                      <w:lang w:val="en-US" w:eastAsia="zh-CN"/>
                    </w:rPr>
                    <w:t>定期由设备厂家进行回收处理</w:t>
                  </w:r>
                </w:p>
              </w:tc>
            </w:tr>
            <w:tr w14:paraId="3EAE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9" w:type="pct"/>
                  <w:vMerge w:val="continue"/>
                  <w:noWrap w:val="0"/>
                  <w:vAlign w:val="center"/>
                </w:tcPr>
                <w:p w14:paraId="610B991E">
                  <w:pPr>
                    <w:pStyle w:val="40"/>
                    <w:bidi w:val="0"/>
                    <w:rPr>
                      <w:rFonts w:hint="default"/>
                      <w:highlight w:val="none"/>
                      <w:lang w:val="en-US" w:eastAsia="zh-CN"/>
                    </w:rPr>
                  </w:pPr>
                </w:p>
              </w:tc>
              <w:tc>
                <w:tcPr>
                  <w:tcW w:w="1138" w:type="pct"/>
                  <w:noWrap w:val="0"/>
                  <w:vAlign w:val="center"/>
                </w:tcPr>
                <w:p w14:paraId="780768C7">
                  <w:pPr>
                    <w:pStyle w:val="40"/>
                    <w:bidi w:val="0"/>
                    <w:rPr>
                      <w:rFonts w:hint="default"/>
                      <w:highlight w:val="none"/>
                      <w:lang w:val="en-US" w:eastAsia="zh-CN"/>
                    </w:rPr>
                  </w:pPr>
                  <w:r>
                    <w:rPr>
                      <w:rFonts w:hint="default"/>
                      <w:highlight w:val="none"/>
                      <w:lang w:val="en-US" w:eastAsia="zh-CN"/>
                    </w:rPr>
                    <w:t>沉淀池沉渣</w:t>
                  </w:r>
                </w:p>
              </w:tc>
              <w:tc>
                <w:tcPr>
                  <w:tcW w:w="480" w:type="pct"/>
                  <w:noWrap w:val="0"/>
                  <w:vAlign w:val="center"/>
                </w:tcPr>
                <w:p w14:paraId="5C99DF02">
                  <w:pPr>
                    <w:pStyle w:val="46"/>
                    <w:keepNext w:val="0"/>
                    <w:keepLines w:val="0"/>
                    <w:suppressLineNumbers w:val="0"/>
                    <w:bidi w:val="0"/>
                    <w:spacing w:before="0" w:beforeAutospacing="0" w:after="0" w:afterAutospacing="0"/>
                    <w:ind w:left="0" w:leftChars="0" w:right="0" w:rightChars="0"/>
                    <w:jc w:val="center"/>
                    <w:rPr>
                      <w:rFonts w:hint="eastAsia" w:cs="Times New Roman"/>
                      <w:highlight w:val="none"/>
                      <w:lang w:val="en-US" w:eastAsia="zh-CN"/>
                    </w:rPr>
                  </w:pPr>
                  <w:r>
                    <w:rPr>
                      <w:rFonts w:hint="eastAsia" w:cs="Times New Roman"/>
                      <w:lang w:val="en-US" w:eastAsia="zh-CN"/>
                    </w:rPr>
                    <w:t>SW07</w:t>
                  </w:r>
                </w:p>
              </w:tc>
              <w:tc>
                <w:tcPr>
                  <w:tcW w:w="791" w:type="pct"/>
                  <w:noWrap w:val="0"/>
                  <w:vAlign w:val="center"/>
                </w:tcPr>
                <w:p w14:paraId="06393F46">
                  <w:pPr>
                    <w:pStyle w:val="46"/>
                    <w:keepNext w:val="0"/>
                    <w:keepLines w:val="0"/>
                    <w:suppressLineNumbers w:val="0"/>
                    <w:bidi w:val="0"/>
                    <w:spacing w:before="0" w:beforeAutospacing="0" w:after="0" w:afterAutospacing="0"/>
                    <w:ind w:left="0" w:leftChars="0" w:right="0" w:rightChars="0"/>
                    <w:jc w:val="center"/>
                    <w:rPr>
                      <w:rFonts w:hint="eastAsia" w:cs="Times New Roman"/>
                      <w:highlight w:val="none"/>
                      <w:lang w:val="en-US" w:eastAsia="zh-CN"/>
                    </w:rPr>
                  </w:pPr>
                  <w:r>
                    <w:rPr>
                      <w:rFonts w:hint="eastAsia" w:cs="Times New Roman"/>
                      <w:lang w:val="en-US" w:eastAsia="zh-CN"/>
                    </w:rPr>
                    <w:t>900-099-S07</w:t>
                  </w:r>
                </w:p>
              </w:tc>
              <w:tc>
                <w:tcPr>
                  <w:tcW w:w="502" w:type="pct"/>
                  <w:noWrap w:val="0"/>
                  <w:vAlign w:val="center"/>
                </w:tcPr>
                <w:p w14:paraId="0B5E2017">
                  <w:pPr>
                    <w:pStyle w:val="40"/>
                    <w:bidi w:val="0"/>
                    <w:rPr>
                      <w:rFonts w:hint="default"/>
                      <w:highlight w:val="none"/>
                      <w:lang w:val="en-US" w:eastAsia="zh-CN"/>
                    </w:rPr>
                  </w:pPr>
                  <w:r>
                    <w:rPr>
                      <w:rFonts w:hint="eastAsia"/>
                      <w:highlight w:val="none"/>
                      <w:lang w:val="en-US" w:eastAsia="zh-CN"/>
                    </w:rPr>
                    <w:t>0.1</w:t>
                  </w:r>
                </w:p>
              </w:tc>
              <w:tc>
                <w:tcPr>
                  <w:tcW w:w="413" w:type="pct"/>
                  <w:noWrap w:val="0"/>
                  <w:vAlign w:val="center"/>
                </w:tcPr>
                <w:p w14:paraId="201FA594">
                  <w:pPr>
                    <w:pStyle w:val="40"/>
                    <w:bidi w:val="0"/>
                    <w:rPr>
                      <w:rFonts w:hint="default"/>
                      <w:highlight w:val="none"/>
                      <w:lang w:val="en-US" w:eastAsia="zh-CN"/>
                    </w:rPr>
                  </w:pPr>
                  <w:r>
                    <w:rPr>
                      <w:rFonts w:hint="eastAsia"/>
                      <w:highlight w:val="none"/>
                      <w:lang w:val="en-US" w:eastAsia="zh-CN"/>
                    </w:rPr>
                    <w:t>/</w:t>
                  </w:r>
                </w:p>
              </w:tc>
              <w:tc>
                <w:tcPr>
                  <w:tcW w:w="1263" w:type="pct"/>
                  <w:noWrap w:val="0"/>
                  <w:vAlign w:val="center"/>
                </w:tcPr>
                <w:p w14:paraId="5498BF86">
                  <w:pPr>
                    <w:pStyle w:val="40"/>
                    <w:bidi w:val="0"/>
                    <w:rPr>
                      <w:rFonts w:hint="default"/>
                      <w:highlight w:val="none"/>
                      <w:lang w:val="en-US" w:eastAsia="zh-CN"/>
                    </w:rPr>
                  </w:pPr>
                  <w:r>
                    <w:rPr>
                      <w:rFonts w:hint="default"/>
                      <w:highlight w:val="none"/>
                      <w:lang w:val="en-US" w:eastAsia="zh-CN"/>
                    </w:rPr>
                    <w:t>回用于生产</w:t>
                  </w:r>
                </w:p>
              </w:tc>
            </w:tr>
            <w:tr w14:paraId="5BFD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09" w:type="pct"/>
                  <w:vMerge w:val="restart"/>
                  <w:noWrap w:val="0"/>
                  <w:vAlign w:val="center"/>
                </w:tcPr>
                <w:p w14:paraId="5DAAB5D9">
                  <w:pPr>
                    <w:keepNext w:val="0"/>
                    <w:keepLines w:val="0"/>
                    <w:suppressLineNumbers w:val="0"/>
                    <w:bidi w:val="0"/>
                    <w:spacing w:before="0" w:beforeAutospacing="0" w:after="0" w:afterAutospacing="0"/>
                    <w:ind w:left="0" w:leftChars="0" w:right="0" w:rightChars="0"/>
                    <w:jc w:val="center"/>
                    <w:rPr>
                      <w:rFonts w:hint="default"/>
                      <w:highlight w:val="none"/>
                      <w:lang w:val="en-US" w:eastAsia="zh-CN"/>
                    </w:rPr>
                  </w:pPr>
                  <w:r>
                    <w:rPr>
                      <w:rFonts w:hint="eastAsia" w:cs="Times New Roman"/>
                      <w:highlight w:val="none"/>
                      <w:lang w:val="en-US" w:eastAsia="zh-CN"/>
                    </w:rPr>
                    <w:t>危险废物</w:t>
                  </w:r>
                </w:p>
              </w:tc>
              <w:tc>
                <w:tcPr>
                  <w:tcW w:w="1138" w:type="pct"/>
                  <w:noWrap w:val="0"/>
                  <w:vAlign w:val="center"/>
                </w:tcPr>
                <w:p w14:paraId="7957DE84">
                  <w:pPr>
                    <w:keepNext w:val="0"/>
                    <w:keepLines w:val="0"/>
                    <w:suppressLineNumbers w:val="0"/>
                    <w:bidi w:val="0"/>
                    <w:spacing w:before="0" w:beforeAutospacing="0" w:after="0" w:afterAutospacing="0"/>
                    <w:ind w:left="0" w:leftChars="0" w:right="0" w:rightChars="0"/>
                    <w:jc w:val="center"/>
                    <w:rPr>
                      <w:rFonts w:hint="default"/>
                      <w:highlight w:val="none"/>
                      <w:lang w:val="en-US" w:eastAsia="zh-CN"/>
                    </w:rPr>
                  </w:pPr>
                  <w:r>
                    <w:rPr>
                      <w:rFonts w:hint="eastAsia" w:cs="Times New Roman"/>
                      <w:highlight w:val="none"/>
                      <w:lang w:val="en-US" w:eastAsia="zh-CN"/>
                    </w:rPr>
                    <w:t>废润滑油</w:t>
                  </w:r>
                </w:p>
              </w:tc>
              <w:tc>
                <w:tcPr>
                  <w:tcW w:w="480" w:type="pct"/>
                  <w:noWrap w:val="0"/>
                  <w:vAlign w:val="center"/>
                </w:tcPr>
                <w:p w14:paraId="1EF9CDE5">
                  <w:pPr>
                    <w:keepNext w:val="0"/>
                    <w:keepLines w:val="0"/>
                    <w:suppressLineNumbers w:val="0"/>
                    <w:bidi w:val="0"/>
                    <w:spacing w:before="0" w:beforeAutospacing="0" w:after="0" w:afterAutospacing="0"/>
                    <w:ind w:left="0" w:leftChars="0" w:right="0" w:rightChars="0"/>
                    <w:jc w:val="center"/>
                    <w:rPr>
                      <w:rFonts w:hint="default"/>
                      <w:highlight w:val="none"/>
                      <w:lang w:val="en-US" w:eastAsia="zh-CN"/>
                    </w:rPr>
                  </w:pPr>
                  <w:r>
                    <w:rPr>
                      <w:rFonts w:hint="default" w:cs="Times New Roman"/>
                      <w:highlight w:val="none"/>
                      <w:lang w:val="en-US" w:eastAsia="zh-CN"/>
                    </w:rPr>
                    <w:t>HW08</w:t>
                  </w:r>
                </w:p>
              </w:tc>
              <w:tc>
                <w:tcPr>
                  <w:tcW w:w="791" w:type="pct"/>
                  <w:noWrap w:val="0"/>
                  <w:vAlign w:val="center"/>
                </w:tcPr>
                <w:p w14:paraId="50C8658A">
                  <w:pPr>
                    <w:keepNext w:val="0"/>
                    <w:keepLines w:val="0"/>
                    <w:suppressLineNumbers w:val="0"/>
                    <w:bidi w:val="0"/>
                    <w:spacing w:before="0" w:beforeAutospacing="0" w:after="0" w:afterAutospacing="0"/>
                    <w:ind w:left="0" w:leftChars="0" w:right="0" w:rightChars="0"/>
                    <w:jc w:val="center"/>
                    <w:rPr>
                      <w:rFonts w:hint="default"/>
                      <w:highlight w:val="none"/>
                      <w:lang w:val="en-US" w:eastAsia="zh-CN"/>
                    </w:rPr>
                  </w:pPr>
                  <w:r>
                    <w:rPr>
                      <w:rFonts w:hint="default" w:cs="Times New Roman"/>
                      <w:highlight w:val="none"/>
                      <w:lang w:val="en-US" w:eastAsia="zh-CN"/>
                    </w:rPr>
                    <w:t>900-214-08</w:t>
                  </w:r>
                </w:p>
              </w:tc>
              <w:tc>
                <w:tcPr>
                  <w:tcW w:w="502" w:type="pct"/>
                  <w:noWrap w:val="0"/>
                  <w:vAlign w:val="center"/>
                </w:tcPr>
                <w:p w14:paraId="4A8FF4B4">
                  <w:pPr>
                    <w:keepNext w:val="0"/>
                    <w:keepLines w:val="0"/>
                    <w:suppressLineNumbers w:val="0"/>
                    <w:bidi w:val="0"/>
                    <w:spacing w:before="0" w:beforeAutospacing="0" w:after="0" w:afterAutospacing="0"/>
                    <w:ind w:left="0" w:leftChars="0" w:right="0" w:rightChars="0"/>
                    <w:jc w:val="center"/>
                    <w:rPr>
                      <w:rFonts w:hint="default"/>
                      <w:highlight w:val="none"/>
                      <w:lang w:val="en-US" w:eastAsia="zh-CN"/>
                    </w:rPr>
                  </w:pPr>
                  <w:r>
                    <w:rPr>
                      <w:rFonts w:hint="eastAsia" w:cs="Times New Roman"/>
                      <w:highlight w:val="none"/>
                      <w:lang w:val="en-US" w:eastAsia="zh-CN"/>
                    </w:rPr>
                    <w:t>0.5</w:t>
                  </w:r>
                </w:p>
              </w:tc>
              <w:tc>
                <w:tcPr>
                  <w:tcW w:w="413" w:type="pct"/>
                  <w:noWrap w:val="0"/>
                  <w:vAlign w:val="center"/>
                </w:tcPr>
                <w:p w14:paraId="6CE0C706">
                  <w:pPr>
                    <w:keepNext w:val="0"/>
                    <w:keepLines w:val="0"/>
                    <w:widowControl/>
                    <w:suppressLineNumbers w:val="0"/>
                    <w:spacing w:before="0" w:beforeAutospacing="0" w:after="0" w:afterAutospacing="0"/>
                    <w:ind w:left="0" w:leftChars="0" w:right="0" w:rightChars="0"/>
                    <w:jc w:val="center"/>
                    <w:rPr>
                      <w:rFonts w:hint="default"/>
                      <w:highlight w:val="none"/>
                      <w:lang w:val="en-US" w:eastAsia="zh-CN"/>
                    </w:rPr>
                  </w:pPr>
                  <w:r>
                    <w:rPr>
                      <w:rFonts w:hint="default" w:ascii="Times New Roman" w:hAnsi="Times New Roman" w:eastAsia="宋体" w:cs="Times New Roman"/>
                      <w:color w:val="000000"/>
                      <w:kern w:val="0"/>
                      <w:sz w:val="21"/>
                      <w:szCs w:val="21"/>
                      <w:highlight w:val="none"/>
                      <w:lang w:val="en-US" w:eastAsia="zh-CN" w:bidi="ar"/>
                    </w:rPr>
                    <w:t>T</w:t>
                  </w:r>
                  <w:r>
                    <w:rPr>
                      <w:rFonts w:hint="eastAsia" w:cs="Times New Roman"/>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I</w:t>
                  </w:r>
                </w:p>
              </w:tc>
              <w:tc>
                <w:tcPr>
                  <w:tcW w:w="1263" w:type="pct"/>
                  <w:vMerge w:val="restart"/>
                  <w:noWrap w:val="0"/>
                  <w:vAlign w:val="center"/>
                </w:tcPr>
                <w:p w14:paraId="4C51C636">
                  <w:pPr>
                    <w:keepNext w:val="0"/>
                    <w:keepLines w:val="0"/>
                    <w:suppressLineNumbers w:val="0"/>
                    <w:bidi w:val="0"/>
                    <w:spacing w:before="0" w:beforeAutospacing="0" w:after="0" w:afterAutospacing="0"/>
                    <w:ind w:left="0" w:leftChars="0" w:right="0" w:rightChars="0"/>
                    <w:jc w:val="center"/>
                    <w:rPr>
                      <w:rFonts w:hint="default"/>
                      <w:highlight w:val="none"/>
                      <w:lang w:val="en-US" w:eastAsia="zh-CN"/>
                    </w:rPr>
                  </w:pPr>
                  <w:r>
                    <w:rPr>
                      <w:rFonts w:hint="eastAsia" w:cs="Times New Roman"/>
                      <w:highlight w:val="none"/>
                      <w:lang w:val="en-US" w:eastAsia="zh-CN"/>
                    </w:rPr>
                    <w:t>暂存于危废贮存点，定期交由有资质单位进行无害化处置</w:t>
                  </w:r>
                </w:p>
              </w:tc>
            </w:tr>
            <w:tr w14:paraId="0C32D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9" w:type="pct"/>
                  <w:vMerge w:val="continue"/>
                  <w:noWrap w:val="0"/>
                  <w:vAlign w:val="center"/>
                </w:tcPr>
                <w:p w14:paraId="4E30FF59">
                  <w:pPr>
                    <w:keepNext w:val="0"/>
                    <w:keepLines w:val="0"/>
                    <w:suppressLineNumbers w:val="0"/>
                    <w:bidi w:val="0"/>
                    <w:spacing w:before="0" w:beforeAutospacing="0" w:after="0" w:afterAutospacing="0"/>
                    <w:ind w:left="0" w:leftChars="0" w:right="0" w:rightChars="0"/>
                    <w:jc w:val="center"/>
                    <w:rPr>
                      <w:rFonts w:hint="eastAsia" w:cs="Times New Roman"/>
                      <w:highlight w:val="none"/>
                      <w:lang w:val="en-US" w:eastAsia="zh-CN"/>
                    </w:rPr>
                  </w:pPr>
                </w:p>
              </w:tc>
              <w:tc>
                <w:tcPr>
                  <w:tcW w:w="1138" w:type="pct"/>
                  <w:noWrap w:val="0"/>
                  <w:vAlign w:val="center"/>
                </w:tcPr>
                <w:p w14:paraId="25856336">
                  <w:pPr>
                    <w:keepNext w:val="0"/>
                    <w:keepLines w:val="0"/>
                    <w:suppressLineNumbers w:val="0"/>
                    <w:bidi w:val="0"/>
                    <w:spacing w:before="0" w:beforeAutospacing="0" w:after="0" w:afterAutospacing="0"/>
                    <w:ind w:left="0" w:leftChars="0" w:right="0" w:rightChars="0"/>
                    <w:jc w:val="center"/>
                    <w:rPr>
                      <w:rFonts w:hint="eastAsia" w:cs="Times New Roman"/>
                      <w:highlight w:val="none"/>
                      <w:lang w:val="en-US" w:eastAsia="zh-CN"/>
                    </w:rPr>
                  </w:pPr>
                  <w:r>
                    <w:rPr>
                      <w:rFonts w:hint="eastAsia" w:cs="Times New Roman"/>
                      <w:highlight w:val="none"/>
                      <w:lang w:val="en-US" w:eastAsia="zh-CN"/>
                    </w:rPr>
                    <w:t>废润滑油桶</w:t>
                  </w:r>
                </w:p>
              </w:tc>
              <w:tc>
                <w:tcPr>
                  <w:tcW w:w="480" w:type="pct"/>
                  <w:noWrap w:val="0"/>
                  <w:vAlign w:val="center"/>
                </w:tcPr>
                <w:p w14:paraId="59272420">
                  <w:pPr>
                    <w:keepNext w:val="0"/>
                    <w:keepLines w:val="0"/>
                    <w:suppressLineNumbers w:val="0"/>
                    <w:bidi w:val="0"/>
                    <w:spacing w:before="0" w:beforeAutospacing="0" w:after="0" w:afterAutospacing="0"/>
                    <w:ind w:left="0" w:leftChars="0" w:right="0" w:rightChars="0"/>
                    <w:jc w:val="center"/>
                    <w:rPr>
                      <w:rFonts w:hint="default" w:cs="Times New Roman"/>
                      <w:highlight w:val="none"/>
                      <w:lang w:val="en-US" w:eastAsia="zh-CN"/>
                    </w:rPr>
                  </w:pPr>
                  <w:r>
                    <w:rPr>
                      <w:rFonts w:hint="default" w:cs="Times New Roman"/>
                      <w:highlight w:val="none"/>
                      <w:lang w:val="en-US" w:eastAsia="zh-CN"/>
                    </w:rPr>
                    <w:t>HW08</w:t>
                  </w:r>
                </w:p>
              </w:tc>
              <w:tc>
                <w:tcPr>
                  <w:tcW w:w="791" w:type="pct"/>
                  <w:noWrap w:val="0"/>
                  <w:vAlign w:val="center"/>
                </w:tcPr>
                <w:p w14:paraId="3C9C642A">
                  <w:pPr>
                    <w:keepNext w:val="0"/>
                    <w:keepLines w:val="0"/>
                    <w:suppressLineNumbers w:val="0"/>
                    <w:bidi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900-249-08</w:t>
                  </w:r>
                </w:p>
              </w:tc>
              <w:tc>
                <w:tcPr>
                  <w:tcW w:w="502" w:type="pct"/>
                  <w:noWrap w:val="0"/>
                  <w:vAlign w:val="center"/>
                </w:tcPr>
                <w:p w14:paraId="513877EA">
                  <w:pPr>
                    <w:keepNext w:val="0"/>
                    <w:keepLines w:val="0"/>
                    <w:suppressLineNumbers w:val="0"/>
                    <w:bidi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0.01</w:t>
                  </w:r>
                </w:p>
              </w:tc>
              <w:tc>
                <w:tcPr>
                  <w:tcW w:w="413" w:type="pct"/>
                  <w:noWrap w:val="0"/>
                  <w:vAlign w:val="center"/>
                </w:tcPr>
                <w:p w14:paraId="0A024BA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T</w:t>
                  </w:r>
                  <w:r>
                    <w:rPr>
                      <w:rFonts w:hint="eastAsia" w:cs="Times New Roman"/>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I</w:t>
                  </w:r>
                </w:p>
              </w:tc>
              <w:tc>
                <w:tcPr>
                  <w:tcW w:w="1263" w:type="pct"/>
                  <w:vMerge w:val="continue"/>
                  <w:noWrap w:val="0"/>
                  <w:vAlign w:val="center"/>
                </w:tcPr>
                <w:p w14:paraId="4E00C71F">
                  <w:pPr>
                    <w:keepNext w:val="0"/>
                    <w:keepLines w:val="0"/>
                    <w:suppressLineNumbers w:val="0"/>
                    <w:bidi w:val="0"/>
                    <w:spacing w:before="0" w:beforeAutospacing="0" w:after="0" w:afterAutospacing="0"/>
                    <w:ind w:left="0" w:leftChars="0" w:right="0" w:rightChars="0"/>
                    <w:jc w:val="center"/>
                    <w:rPr>
                      <w:rFonts w:hint="eastAsia" w:cs="Times New Roman"/>
                      <w:highlight w:val="none"/>
                      <w:lang w:val="en-US" w:eastAsia="zh-CN"/>
                    </w:rPr>
                  </w:pPr>
                </w:p>
              </w:tc>
            </w:tr>
            <w:tr w14:paraId="36609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09" w:type="pct"/>
                  <w:noWrap w:val="0"/>
                  <w:vAlign w:val="center"/>
                </w:tcPr>
                <w:p w14:paraId="2E355FDE">
                  <w:pPr>
                    <w:pStyle w:val="40"/>
                    <w:bidi w:val="0"/>
                    <w:rPr>
                      <w:rFonts w:hint="default"/>
                      <w:highlight w:val="none"/>
                      <w:lang w:val="en-US" w:eastAsia="zh-CN"/>
                    </w:rPr>
                  </w:pPr>
                  <w:r>
                    <w:rPr>
                      <w:rFonts w:hint="default"/>
                      <w:highlight w:val="none"/>
                      <w:lang w:val="en-US" w:eastAsia="zh-CN"/>
                    </w:rPr>
                    <w:t>生活垃圾</w:t>
                  </w:r>
                </w:p>
              </w:tc>
              <w:tc>
                <w:tcPr>
                  <w:tcW w:w="1138" w:type="pct"/>
                  <w:noWrap w:val="0"/>
                  <w:vAlign w:val="center"/>
                </w:tcPr>
                <w:p w14:paraId="4237F00E">
                  <w:pPr>
                    <w:pStyle w:val="40"/>
                    <w:bidi w:val="0"/>
                    <w:rPr>
                      <w:rFonts w:hint="default"/>
                      <w:highlight w:val="none"/>
                      <w:lang w:val="en-US" w:eastAsia="zh-CN"/>
                    </w:rPr>
                  </w:pPr>
                  <w:r>
                    <w:rPr>
                      <w:rFonts w:hint="default"/>
                      <w:highlight w:val="none"/>
                      <w:lang w:val="en-US" w:eastAsia="zh-CN"/>
                    </w:rPr>
                    <w:t>生活垃圾</w:t>
                  </w:r>
                </w:p>
              </w:tc>
              <w:tc>
                <w:tcPr>
                  <w:tcW w:w="480" w:type="pct"/>
                  <w:noWrap w:val="0"/>
                  <w:vAlign w:val="center"/>
                </w:tcPr>
                <w:p w14:paraId="3D9DAFC6">
                  <w:pPr>
                    <w:pStyle w:val="40"/>
                    <w:bidi w:val="0"/>
                    <w:rPr>
                      <w:rFonts w:hint="default"/>
                      <w:highlight w:val="none"/>
                      <w:lang w:val="en-US" w:eastAsia="zh-CN"/>
                    </w:rPr>
                  </w:pPr>
                  <w:r>
                    <w:rPr>
                      <w:rFonts w:hint="default"/>
                      <w:highlight w:val="none"/>
                      <w:lang w:val="en-US" w:eastAsia="zh-CN"/>
                    </w:rPr>
                    <w:t>SW61</w:t>
                  </w:r>
                </w:p>
                <w:p w14:paraId="4A141DEC">
                  <w:pPr>
                    <w:pStyle w:val="40"/>
                    <w:bidi w:val="0"/>
                    <w:rPr>
                      <w:rFonts w:hint="default"/>
                      <w:highlight w:val="none"/>
                      <w:lang w:val="en-US" w:eastAsia="zh-CN"/>
                    </w:rPr>
                  </w:pPr>
                  <w:r>
                    <w:rPr>
                      <w:rFonts w:hint="default"/>
                      <w:highlight w:val="none"/>
                      <w:lang w:val="en-US" w:eastAsia="zh-CN"/>
                    </w:rPr>
                    <w:t>SW62</w:t>
                  </w:r>
                </w:p>
              </w:tc>
              <w:tc>
                <w:tcPr>
                  <w:tcW w:w="791" w:type="pct"/>
                  <w:noWrap w:val="0"/>
                  <w:vAlign w:val="center"/>
                </w:tcPr>
                <w:p w14:paraId="643A8F8A">
                  <w:pPr>
                    <w:pStyle w:val="40"/>
                    <w:bidi w:val="0"/>
                    <w:rPr>
                      <w:rFonts w:hint="default"/>
                      <w:highlight w:val="none"/>
                      <w:lang w:val="en-US" w:eastAsia="zh-CN"/>
                    </w:rPr>
                  </w:pPr>
                  <w:r>
                    <w:rPr>
                      <w:rFonts w:hint="default"/>
                      <w:highlight w:val="none"/>
                      <w:lang w:val="en-US" w:eastAsia="zh-CN"/>
                    </w:rPr>
                    <w:t>900-001-S61</w:t>
                  </w:r>
                </w:p>
                <w:p w14:paraId="209258E3">
                  <w:pPr>
                    <w:pStyle w:val="40"/>
                    <w:bidi w:val="0"/>
                    <w:rPr>
                      <w:rFonts w:hint="default"/>
                      <w:highlight w:val="none"/>
                      <w:lang w:val="en-US" w:eastAsia="zh-CN"/>
                    </w:rPr>
                  </w:pPr>
                  <w:r>
                    <w:rPr>
                      <w:rFonts w:hint="default"/>
                      <w:highlight w:val="none"/>
                      <w:lang w:val="en-US" w:eastAsia="zh-CN"/>
                    </w:rPr>
                    <w:t>900-001-S62</w:t>
                  </w:r>
                </w:p>
                <w:p w14:paraId="25E03BE4">
                  <w:pPr>
                    <w:pStyle w:val="40"/>
                    <w:bidi w:val="0"/>
                    <w:rPr>
                      <w:rFonts w:hint="default"/>
                      <w:highlight w:val="none"/>
                      <w:lang w:val="en-US" w:eastAsia="zh-CN"/>
                    </w:rPr>
                  </w:pPr>
                  <w:r>
                    <w:rPr>
                      <w:rFonts w:hint="default"/>
                      <w:highlight w:val="none"/>
                      <w:lang w:val="en-US" w:eastAsia="zh-CN"/>
                    </w:rPr>
                    <w:t>900-002-S62</w:t>
                  </w:r>
                </w:p>
              </w:tc>
              <w:tc>
                <w:tcPr>
                  <w:tcW w:w="502" w:type="pct"/>
                  <w:noWrap w:val="0"/>
                  <w:vAlign w:val="center"/>
                </w:tcPr>
                <w:p w14:paraId="65F299CC">
                  <w:pPr>
                    <w:pStyle w:val="40"/>
                    <w:bidi w:val="0"/>
                    <w:rPr>
                      <w:rFonts w:hint="default"/>
                      <w:highlight w:val="none"/>
                      <w:lang w:val="en-US" w:eastAsia="zh-CN"/>
                    </w:rPr>
                  </w:pPr>
                  <w:r>
                    <w:rPr>
                      <w:rFonts w:hint="eastAsia"/>
                      <w:highlight w:val="none"/>
                      <w:lang w:val="en-US" w:eastAsia="zh-CN"/>
                    </w:rPr>
                    <w:t>6</w:t>
                  </w:r>
                </w:p>
              </w:tc>
              <w:tc>
                <w:tcPr>
                  <w:tcW w:w="413" w:type="pct"/>
                  <w:noWrap w:val="0"/>
                  <w:vAlign w:val="center"/>
                </w:tcPr>
                <w:p w14:paraId="1EBB45AE">
                  <w:pPr>
                    <w:pStyle w:val="40"/>
                    <w:bidi w:val="0"/>
                    <w:rPr>
                      <w:rFonts w:hint="default"/>
                      <w:highlight w:val="none"/>
                      <w:lang w:val="en-US" w:eastAsia="zh-CN"/>
                    </w:rPr>
                  </w:pPr>
                  <w:r>
                    <w:rPr>
                      <w:rFonts w:hint="default"/>
                      <w:highlight w:val="none"/>
                      <w:lang w:val="en-US" w:eastAsia="zh-CN"/>
                    </w:rPr>
                    <w:t>/</w:t>
                  </w:r>
                </w:p>
              </w:tc>
              <w:tc>
                <w:tcPr>
                  <w:tcW w:w="1263" w:type="pct"/>
                  <w:noWrap w:val="0"/>
                  <w:vAlign w:val="center"/>
                </w:tcPr>
                <w:p w14:paraId="2E85A6AA">
                  <w:pPr>
                    <w:pStyle w:val="40"/>
                    <w:bidi w:val="0"/>
                    <w:rPr>
                      <w:rFonts w:hint="default"/>
                      <w:highlight w:val="none"/>
                      <w:lang w:val="en-US" w:eastAsia="zh-CN"/>
                    </w:rPr>
                  </w:pPr>
                  <w:r>
                    <w:rPr>
                      <w:rFonts w:hint="default"/>
                      <w:highlight w:val="none"/>
                      <w:lang w:val="en-US" w:eastAsia="zh-CN"/>
                    </w:rPr>
                    <w:t>交环卫部门定时清运处理</w:t>
                  </w:r>
                </w:p>
              </w:tc>
            </w:tr>
          </w:tbl>
          <w:p w14:paraId="0162A67D">
            <w:pPr>
              <w:pStyle w:val="49"/>
              <w:bidi w:val="0"/>
              <w:rPr>
                <w:rFonts w:hint="default"/>
                <w:lang w:val="en-US" w:eastAsia="zh-CN"/>
              </w:rPr>
            </w:pPr>
            <w:r>
              <w:rPr>
                <w:rFonts w:hint="default"/>
                <w:lang w:val="en-US" w:eastAsia="zh-CN"/>
              </w:rPr>
              <w:t>4.2固体废物环境管理要求及措施</w:t>
            </w:r>
          </w:p>
          <w:p w14:paraId="587D015B">
            <w:pPr>
              <w:pStyle w:val="2"/>
              <w:bidi w:val="0"/>
              <w:rPr>
                <w:rFonts w:hint="default"/>
                <w:lang w:val="en-US" w:eastAsia="zh-CN"/>
              </w:rPr>
            </w:pPr>
            <w:r>
              <w:rPr>
                <w:rFonts w:hint="default"/>
                <w:lang w:val="en-US" w:eastAsia="zh-CN"/>
              </w:rPr>
              <w:t>4.2.1危险废物的环境管理要求及措施</w:t>
            </w:r>
          </w:p>
          <w:p w14:paraId="52E4A951">
            <w:pPr>
              <w:pStyle w:val="8"/>
              <w:bidi w:val="0"/>
              <w:rPr>
                <w:rFonts w:hint="default"/>
                <w:lang w:val="en-US" w:eastAsia="zh-CN"/>
              </w:rPr>
            </w:pPr>
            <w:r>
              <w:rPr>
                <w:rFonts w:hint="eastAsia" w:ascii="Times New Roman" w:eastAsia="宋体"/>
                <w:lang w:val="en-US" w:eastAsia="zh-CN"/>
              </w:rPr>
              <w:t>本项目</w:t>
            </w:r>
            <w:r>
              <w:rPr>
                <w:rFonts w:hint="eastAsia"/>
                <w:lang w:val="en-US" w:eastAsia="zh-CN"/>
              </w:rPr>
              <w:t>设置</w:t>
            </w:r>
            <w:r>
              <w:rPr>
                <w:rFonts w:hint="eastAsia" w:ascii="Times New Roman" w:eastAsia="宋体"/>
                <w:lang w:val="en-US" w:eastAsia="zh-CN"/>
              </w:rPr>
              <w:t>10m</w:t>
            </w:r>
            <w:r>
              <w:rPr>
                <w:rFonts w:hint="eastAsia" w:ascii="Times New Roman" w:eastAsia="宋体"/>
                <w:vertAlign w:val="superscript"/>
                <w:lang w:val="en-US" w:eastAsia="zh-CN"/>
              </w:rPr>
              <w:t>2</w:t>
            </w:r>
            <w:r>
              <w:rPr>
                <w:rFonts w:hint="eastAsia" w:ascii="Times New Roman" w:eastAsia="宋体"/>
                <w:lang w:val="en-US" w:eastAsia="zh-CN"/>
              </w:rPr>
              <w:t>危废</w:t>
            </w:r>
            <w:r>
              <w:rPr>
                <w:rFonts w:hint="eastAsia"/>
                <w:lang w:val="en-US" w:eastAsia="zh-CN"/>
              </w:rPr>
              <w:t>贮存点，</w:t>
            </w:r>
            <w:r>
              <w:rPr>
                <w:rFonts w:hint="eastAsia" w:ascii="Times New Roman" w:eastAsia="宋体"/>
                <w:lang w:val="en-US" w:eastAsia="zh-CN"/>
              </w:rPr>
              <w:t>危废</w:t>
            </w:r>
            <w:r>
              <w:rPr>
                <w:rFonts w:hint="eastAsia"/>
                <w:lang w:val="en-US" w:eastAsia="zh-CN"/>
              </w:rPr>
              <w:t>贮存点需</w:t>
            </w:r>
            <w:r>
              <w:rPr>
                <w:rFonts w:hint="default"/>
                <w:lang w:val="en-US" w:eastAsia="zh-CN"/>
              </w:rPr>
              <w:t>满足《危险废物贮存污染控制标准》（GB18597-2023）、《危险废物收集</w:t>
            </w:r>
            <w:r>
              <w:rPr>
                <w:rFonts w:hint="eastAsia" w:ascii="Times New Roman" w:eastAsia="宋体"/>
                <w:lang w:val="en-US" w:eastAsia="zh-CN"/>
              </w:rPr>
              <w:t xml:space="preserve"> </w:t>
            </w:r>
            <w:r>
              <w:rPr>
                <w:rFonts w:hint="default"/>
                <w:lang w:val="en-US" w:eastAsia="zh-CN"/>
              </w:rPr>
              <w:t>贮存 运输技术规范》（HJ2025-2012）中相关要求。</w:t>
            </w:r>
          </w:p>
          <w:p w14:paraId="4CB34444">
            <w:pPr>
              <w:pStyle w:val="8"/>
              <w:bidi w:val="0"/>
              <w:rPr>
                <w:rFonts w:hint="default"/>
                <w:lang w:val="en-US" w:eastAsia="zh-CN"/>
              </w:rPr>
            </w:pPr>
            <w:r>
              <w:rPr>
                <w:rFonts w:hint="default"/>
                <w:lang w:val="en-US" w:eastAsia="zh-CN"/>
              </w:rPr>
              <w:t>（1）危险废物运行环境管理要求</w:t>
            </w:r>
          </w:p>
          <w:p w14:paraId="4B6483AE">
            <w:pPr>
              <w:pStyle w:val="8"/>
              <w:bidi w:val="0"/>
              <w:rPr>
                <w:rFonts w:hint="default"/>
                <w:lang w:val="en-US" w:eastAsia="zh-CN"/>
              </w:rPr>
            </w:pPr>
            <w:r>
              <w:rPr>
                <w:rFonts w:hint="default"/>
                <w:lang w:val="en-US" w:eastAsia="zh-CN"/>
              </w:rPr>
              <w:t>危险废物临时存放于指定的危废</w:t>
            </w:r>
            <w:r>
              <w:rPr>
                <w:rFonts w:hint="eastAsia"/>
                <w:lang w:val="en-US" w:eastAsia="zh-CN"/>
              </w:rPr>
              <w:t>贮存点</w:t>
            </w:r>
            <w:r>
              <w:rPr>
                <w:rFonts w:hint="default"/>
                <w:lang w:val="en-US" w:eastAsia="zh-CN"/>
              </w:rPr>
              <w:t>，不得露天堆放，危险废物的地坪要符合防腐防渗要求，避免产生渗透、雨水淋溶</w:t>
            </w:r>
            <w:r>
              <w:rPr>
                <w:rFonts w:hint="eastAsia"/>
                <w:lang w:val="en-US" w:eastAsia="zh-CN"/>
              </w:rPr>
              <w:t>、</w:t>
            </w:r>
            <w:r>
              <w:rPr>
                <w:rFonts w:hint="default"/>
                <w:lang w:val="en-US" w:eastAsia="zh-CN"/>
              </w:rPr>
              <w:t>大风吹扬等二次污染；危废</w:t>
            </w:r>
            <w:r>
              <w:rPr>
                <w:rFonts w:hint="eastAsia"/>
                <w:lang w:val="en-US" w:eastAsia="zh-CN"/>
              </w:rPr>
              <w:t>贮存点</w:t>
            </w:r>
            <w:r>
              <w:rPr>
                <w:rFonts w:hint="default"/>
                <w:lang w:val="en-US" w:eastAsia="zh-CN"/>
              </w:rPr>
              <w:t>的设置须满足《危险废物贮存污染控制标准》（GB18597-2023）、《危险废物收集贮存 运输技术规范》（HJ2025-2012）中相关要求。</w:t>
            </w:r>
          </w:p>
          <w:p w14:paraId="2D6F6A6D">
            <w:pPr>
              <w:pStyle w:val="8"/>
              <w:keepNext w:val="0"/>
              <w:keepLines w:val="0"/>
              <w:pageBreakBefore w:val="0"/>
              <w:widowControl/>
              <w:kinsoku/>
              <w:wordWrap w:val="0"/>
              <w:overflowPunct/>
              <w:topLinePunct w:val="0"/>
              <w:autoSpaceDE/>
              <w:autoSpaceDN/>
              <w:bidi w:val="0"/>
              <w:adjustRightInd/>
              <w:snapToGrid w:val="0"/>
              <w:textAlignment w:val="auto"/>
              <w:rPr>
                <w:rFonts w:hint="default"/>
                <w:lang w:val="en-US" w:eastAsia="zh-CN"/>
              </w:rPr>
            </w:pPr>
            <w:r>
              <w:rPr>
                <w:rFonts w:hint="default"/>
                <w:lang w:val="en-US" w:eastAsia="zh-CN"/>
              </w:rPr>
              <w:t>①危险废物</w:t>
            </w:r>
            <w:r>
              <w:rPr>
                <w:rFonts w:hint="eastAsia"/>
                <w:lang w:val="en-US" w:eastAsia="zh-CN"/>
              </w:rPr>
              <w:t>贮存点</w:t>
            </w:r>
            <w:r>
              <w:rPr>
                <w:rFonts w:hint="default"/>
                <w:lang w:val="en-US" w:eastAsia="zh-CN"/>
              </w:rPr>
              <w:t>应按照《危险废物贮存污染控制标准》（GB18597-2023）的要求进行建设，贮存的危险废物直接接触地面的，还应进行基础防渗，防渗层为至少1m厚黏土层（渗透系数不大于10</w:t>
            </w:r>
            <w:r>
              <w:rPr>
                <w:rFonts w:hint="default"/>
                <w:vertAlign w:val="superscript"/>
                <w:lang w:val="en-US" w:eastAsia="zh-CN"/>
              </w:rPr>
              <w:t>-7</w:t>
            </w:r>
            <w:r>
              <w:rPr>
                <w:rFonts w:hint="default"/>
                <w:lang w:val="en-US" w:eastAsia="zh-CN"/>
              </w:rPr>
              <w:t>cm/s），或至少2mm厚高密度聚乙烯膜等人工防渗材料（渗透系数不大于10</w:t>
            </w:r>
            <w:r>
              <w:rPr>
                <w:rFonts w:hint="default"/>
                <w:vertAlign w:val="superscript"/>
                <w:lang w:val="en-US" w:eastAsia="zh-CN"/>
              </w:rPr>
              <w:t>-10</w:t>
            </w:r>
            <w:r>
              <w:rPr>
                <w:rFonts w:hint="default"/>
                <w:lang w:val="en-US" w:eastAsia="zh-CN"/>
              </w:rPr>
              <w:t>cm/s），或其他防渗性能等效的材料。</w:t>
            </w:r>
          </w:p>
          <w:p w14:paraId="1DB10A09">
            <w:pPr>
              <w:pStyle w:val="8"/>
              <w:bidi w:val="0"/>
              <w:rPr>
                <w:rFonts w:hint="default"/>
                <w:lang w:val="en-US" w:eastAsia="zh-CN"/>
              </w:rPr>
            </w:pPr>
            <w:r>
              <w:rPr>
                <w:rFonts w:hint="default"/>
                <w:lang w:val="en-US" w:eastAsia="zh-CN"/>
              </w:rPr>
              <w:t>②应定期检查危险废物的贮存状况，及时清理贮存设施地面，更换破损泄漏的危险废物贮存容器和包装物，保证堆存危险废物的防雨、防风、防扬尘等设施功能完好。</w:t>
            </w:r>
          </w:p>
          <w:p w14:paraId="5FF04045">
            <w:pPr>
              <w:pStyle w:val="8"/>
              <w:bidi w:val="0"/>
              <w:rPr>
                <w:rFonts w:hint="default"/>
                <w:lang w:val="en-US" w:eastAsia="zh-CN"/>
              </w:rPr>
            </w:pPr>
            <w:r>
              <w:rPr>
                <w:rFonts w:hint="default"/>
                <w:lang w:val="en-US" w:eastAsia="zh-CN"/>
              </w:rPr>
              <w:t>③作业设备及车辆等结束作业离开贮存设施时，应对其残留的危险废物进行清理，清理的废物或清洗废水应收集处理。</w:t>
            </w:r>
          </w:p>
          <w:p w14:paraId="1E53E2DE">
            <w:pPr>
              <w:pStyle w:val="8"/>
              <w:bidi w:val="0"/>
              <w:rPr>
                <w:rFonts w:hint="default"/>
                <w:lang w:val="en-US" w:eastAsia="zh-CN"/>
              </w:rPr>
            </w:pPr>
            <w:r>
              <w:rPr>
                <w:rFonts w:hint="default"/>
                <w:lang w:val="en-US" w:eastAsia="zh-CN"/>
              </w:rPr>
              <w:t>④贮存设施运行期间，应按国家有关标准和规定建立危险废物管理台账并保存。</w:t>
            </w:r>
          </w:p>
          <w:p w14:paraId="0CCAC31D">
            <w:pPr>
              <w:pStyle w:val="8"/>
              <w:bidi w:val="0"/>
              <w:rPr>
                <w:rFonts w:hint="default"/>
                <w:lang w:val="en-US" w:eastAsia="zh-CN"/>
              </w:rPr>
            </w:pPr>
            <w:r>
              <w:rPr>
                <w:rFonts w:hint="default"/>
                <w:lang w:val="en-US" w:eastAsia="zh-CN"/>
              </w:rPr>
              <w:t>⑤贮存设施所有者或运营者应建立贮存设施环境管理制度、管理人员岗位职责制度、设施运行操作制度、人员岗位培训制度等。</w:t>
            </w:r>
          </w:p>
          <w:p w14:paraId="5A033A8E">
            <w:pPr>
              <w:pStyle w:val="8"/>
              <w:bidi w:val="0"/>
              <w:rPr>
                <w:rFonts w:hint="default"/>
                <w:lang w:val="en-US" w:eastAsia="zh-CN"/>
              </w:rPr>
            </w:pPr>
            <w:r>
              <w:rPr>
                <w:rFonts w:hint="default"/>
                <w:lang w:val="en-US" w:eastAsia="zh-CN"/>
              </w:rPr>
              <w:t>（2）危险废物转运要求</w:t>
            </w:r>
          </w:p>
          <w:p w14:paraId="3596C454">
            <w:pPr>
              <w:pStyle w:val="8"/>
              <w:bidi w:val="0"/>
              <w:rPr>
                <w:rFonts w:hint="default"/>
                <w:lang w:val="en-US" w:eastAsia="zh-CN"/>
              </w:rPr>
            </w:pPr>
            <w:r>
              <w:rPr>
                <w:rFonts w:hint="default"/>
                <w:lang w:val="en-US" w:eastAsia="zh-CN"/>
              </w:rPr>
              <w:t>根据《危险废物转移管理办法》（2021年11月30日生态环境部、公安部、交通运输部令第23号公布 自2022年1月1日起施行）可知，危险废物转移应当遵循就近原则，转移危险废物的，应当执行危险废物转移联单制度，并依照国家有关规定公开危险废物转移相关污染环境防治信息。运输危险废物的，应当遵守国家有关危险货物运输管理的规定。未经公安机关批准，危险废物运输车辆不得进入危险货物运输车辆限制通行的区域。</w:t>
            </w:r>
          </w:p>
          <w:p w14:paraId="70235BB1">
            <w:pPr>
              <w:pStyle w:val="8"/>
              <w:bidi w:val="0"/>
              <w:rPr>
                <w:rFonts w:hint="default"/>
                <w:lang w:val="en-US" w:eastAsia="zh-CN"/>
              </w:rPr>
            </w:pPr>
            <w:r>
              <w:rPr>
                <w:rFonts w:hint="default"/>
                <w:lang w:val="en-US" w:eastAsia="zh-CN"/>
              </w:rPr>
              <w:t>危险废物移出人、危险废物承运人、危险废物接受人（以下分别简称移出人、承运人和接受人）在危险废物转移过程中应当采取防扬散、防流失、防渗漏或者其他防止污染环境的措施，不得擅自倾倒、堆放、丢弃、遗撒危险废物，并对所造成的环境污染及生态破坏依法承担责任。</w:t>
            </w:r>
          </w:p>
          <w:p w14:paraId="5A4F4DAF">
            <w:pPr>
              <w:pStyle w:val="8"/>
              <w:bidi w:val="0"/>
              <w:rPr>
                <w:rFonts w:hint="default"/>
                <w:lang w:val="en-US" w:eastAsia="zh-CN"/>
              </w:rPr>
            </w:pPr>
            <w:r>
              <w:rPr>
                <w:rFonts w:hint="default"/>
                <w:lang w:val="en-US" w:eastAsia="zh-CN"/>
              </w:rPr>
              <w:t>移出人、承运人、接受人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p w14:paraId="54CD0E1C">
            <w:pPr>
              <w:pStyle w:val="2"/>
              <w:bidi w:val="0"/>
              <w:rPr>
                <w:rFonts w:hint="default"/>
                <w:lang w:val="en-US" w:eastAsia="zh-CN"/>
              </w:rPr>
            </w:pPr>
            <w:r>
              <w:rPr>
                <w:rFonts w:hint="default"/>
                <w:lang w:val="en-US" w:eastAsia="zh-CN"/>
              </w:rPr>
              <w:t>4.2.2一般固废的环境管理要求及措施</w:t>
            </w:r>
          </w:p>
          <w:p w14:paraId="7D718C87">
            <w:pPr>
              <w:pStyle w:val="53"/>
              <w:bidi w:val="0"/>
              <w:rPr>
                <w:rFonts w:hint="default"/>
                <w:lang w:val="en-US" w:eastAsia="zh-CN"/>
              </w:rPr>
            </w:pPr>
            <w:r>
              <w:rPr>
                <w:rFonts w:hint="default"/>
                <w:lang w:val="en-US" w:eastAsia="zh-CN"/>
              </w:rPr>
              <w:t>本项目一般固废处理要求、建设要求应按照《一般工业固体废物贮存和填埋污染控制标准》（GB18599-2020）进行建设。</w:t>
            </w:r>
          </w:p>
          <w:p w14:paraId="695E9BD4">
            <w:pPr>
              <w:pStyle w:val="53"/>
              <w:bidi w:val="0"/>
              <w:rPr>
                <w:rFonts w:hint="default"/>
                <w:lang w:val="en-US" w:eastAsia="zh-CN"/>
              </w:rPr>
            </w:pPr>
            <w:r>
              <w:rPr>
                <w:rFonts w:hint="default"/>
                <w:lang w:val="en-US" w:eastAsia="zh-CN"/>
              </w:rPr>
              <w:t>（1）加强监督管理，贮存、处置场应按GB15562.2设置环境保护图形标志，并单独分区存放，</w:t>
            </w:r>
            <w:r>
              <w:rPr>
                <w:rFonts w:hint="default"/>
                <w:highlight w:val="none"/>
                <w:lang w:val="en-US" w:eastAsia="zh-CN"/>
              </w:rPr>
              <w:t>拟</w:t>
            </w:r>
            <w:r>
              <w:rPr>
                <w:rFonts w:hint="eastAsia"/>
                <w:highlight w:val="none"/>
                <w:lang w:val="en-US" w:eastAsia="zh-CN"/>
              </w:rPr>
              <w:t>建10</w:t>
            </w:r>
            <w:r>
              <w:rPr>
                <w:rFonts w:hint="default"/>
                <w:highlight w:val="none"/>
                <w:lang w:val="en-US" w:eastAsia="zh-CN"/>
              </w:rPr>
              <w:t>m</w:t>
            </w:r>
            <w:r>
              <w:rPr>
                <w:rFonts w:hint="default"/>
                <w:highlight w:val="none"/>
                <w:vertAlign w:val="superscript"/>
                <w:lang w:val="en-US" w:eastAsia="zh-CN"/>
              </w:rPr>
              <w:t>2</w:t>
            </w:r>
            <w:r>
              <w:rPr>
                <w:rFonts w:hint="default"/>
                <w:highlight w:val="none"/>
                <w:lang w:val="en-US" w:eastAsia="zh-CN"/>
              </w:rPr>
              <w:t>一般固废暂存点</w:t>
            </w:r>
            <w:r>
              <w:rPr>
                <w:rFonts w:hint="eastAsia"/>
                <w:highlight w:val="none"/>
                <w:lang w:val="en-US" w:eastAsia="zh-CN"/>
              </w:rPr>
              <w:t>一间</w:t>
            </w:r>
            <w:r>
              <w:rPr>
                <w:rFonts w:hint="default"/>
                <w:lang w:val="en-US" w:eastAsia="zh-CN"/>
              </w:rPr>
              <w:t>，进行一般防渗；</w:t>
            </w:r>
          </w:p>
          <w:p w14:paraId="41B5500A">
            <w:pPr>
              <w:pStyle w:val="53"/>
              <w:bidi w:val="0"/>
              <w:rPr>
                <w:rFonts w:hint="default"/>
                <w:lang w:val="en-US" w:eastAsia="zh-CN"/>
              </w:rPr>
            </w:pPr>
            <w:r>
              <w:rPr>
                <w:rFonts w:hint="default"/>
                <w:lang w:val="en-US" w:eastAsia="zh-CN"/>
              </w:rPr>
              <w:t>（2）贮存、处置场地使用单位应建立档案制度，将入场的一般工业固体废物的种类和数量等资料详细记录在案，长期保存，供随时查阅；</w:t>
            </w:r>
          </w:p>
          <w:p w14:paraId="23912501">
            <w:pPr>
              <w:pStyle w:val="53"/>
              <w:bidi w:val="0"/>
              <w:rPr>
                <w:rFonts w:hint="default"/>
                <w:lang w:val="en-US" w:eastAsia="zh-CN"/>
              </w:rPr>
            </w:pPr>
            <w:r>
              <w:rPr>
                <w:rFonts w:hint="default"/>
                <w:lang w:val="en-US" w:eastAsia="zh-CN"/>
              </w:rPr>
              <w:t>（3）企业固废的贮存场所地面采用防渗地面，发生渗漏等事故可能性较小或甚微，对土壤、地下水产生的影响较小。</w:t>
            </w:r>
          </w:p>
          <w:p w14:paraId="77A973AE">
            <w:pPr>
              <w:pStyle w:val="2"/>
              <w:bidi w:val="0"/>
              <w:rPr>
                <w:rFonts w:hint="default"/>
                <w:lang w:val="en-US" w:eastAsia="zh-CN"/>
              </w:rPr>
            </w:pPr>
            <w:r>
              <w:rPr>
                <w:rFonts w:hint="default"/>
                <w:lang w:val="en-US" w:eastAsia="zh-CN"/>
              </w:rPr>
              <w:t>5.地下水、土壤环境影响和保护措施</w:t>
            </w:r>
          </w:p>
          <w:p w14:paraId="482D4C32">
            <w:pPr>
              <w:pStyle w:val="8"/>
              <w:bidi w:val="0"/>
              <w:rPr>
                <w:rFonts w:hint="eastAsia"/>
              </w:rPr>
            </w:pPr>
            <w:r>
              <w:rPr>
                <w:rFonts w:hint="eastAsia"/>
              </w:rPr>
              <w:t>（1）污染途径</w:t>
            </w:r>
          </w:p>
          <w:p w14:paraId="6420B158">
            <w:pPr>
              <w:pStyle w:val="8"/>
              <w:bidi w:val="0"/>
              <w:rPr>
                <w:rFonts w:hint="eastAsia"/>
                <w:lang w:eastAsia="zh-CN"/>
              </w:rPr>
            </w:pPr>
            <w:r>
              <w:t>本项目</w:t>
            </w:r>
            <w:r>
              <w:rPr>
                <w:rFonts w:hint="eastAsia"/>
              </w:rPr>
              <w:t>正常工况下不存在污染途径，</w:t>
            </w:r>
            <w:r>
              <w:rPr>
                <w:rFonts w:hint="eastAsia"/>
                <w:lang w:eastAsia="zh-CN"/>
              </w:rPr>
              <w:t>非正常</w:t>
            </w:r>
            <w:r>
              <w:rPr>
                <w:rFonts w:hint="eastAsia"/>
              </w:rPr>
              <w:t>工况下</w:t>
            </w:r>
            <w:r>
              <w:t>可能对地下水</w:t>
            </w:r>
            <w:r>
              <w:rPr>
                <w:rFonts w:hint="eastAsia"/>
                <w:lang w:eastAsia="zh-CN"/>
              </w:rPr>
              <w:t>、</w:t>
            </w:r>
            <w:r>
              <w:rPr>
                <w:rFonts w:hint="eastAsia"/>
                <w:lang w:val="en-US" w:eastAsia="zh-CN"/>
              </w:rPr>
              <w:t>土壤</w:t>
            </w:r>
            <w:r>
              <w:t>环境产生的影响</w:t>
            </w:r>
            <w:r>
              <w:rPr>
                <w:rFonts w:hint="eastAsia"/>
                <w:lang w:val="en-US" w:eastAsia="zh-CN"/>
              </w:rPr>
              <w:t>主要</w:t>
            </w:r>
            <w:r>
              <w:t>为</w:t>
            </w:r>
            <w:r>
              <w:rPr>
                <w:rFonts w:hint="eastAsia"/>
                <w:lang w:val="en-US" w:eastAsia="zh-CN"/>
              </w:rPr>
              <w:t>危险废物</w:t>
            </w:r>
            <w:r>
              <w:rPr>
                <w:rFonts w:hint="eastAsia"/>
              </w:rPr>
              <w:t>收集</w:t>
            </w:r>
            <w:r>
              <w:rPr>
                <w:rFonts w:hint="eastAsia"/>
                <w:lang w:val="en-US" w:eastAsia="zh-CN"/>
              </w:rPr>
              <w:t>暂存</w:t>
            </w:r>
            <w:r>
              <w:t>过程中</w:t>
            </w:r>
            <w:r>
              <w:rPr>
                <w:rFonts w:hint="eastAsia"/>
                <w:lang w:val="en-US" w:eastAsia="zh-CN"/>
              </w:rPr>
              <w:t>非正常</w:t>
            </w:r>
            <w:r>
              <w:rPr>
                <w:rFonts w:hint="eastAsia"/>
              </w:rPr>
              <w:t>泄漏</w:t>
            </w:r>
            <w:r>
              <w:rPr>
                <w:rFonts w:hint="eastAsia"/>
                <w:lang w:eastAsia="zh-CN"/>
              </w:rPr>
              <w:t>。</w:t>
            </w:r>
          </w:p>
          <w:p w14:paraId="24C46ECF">
            <w:pPr>
              <w:pStyle w:val="8"/>
              <w:bidi w:val="0"/>
              <w:rPr>
                <w:rFonts w:hint="eastAsia"/>
              </w:rPr>
            </w:pPr>
            <w:r>
              <w:rPr>
                <w:rFonts w:hint="eastAsia"/>
              </w:rPr>
              <w:t>（2）分区防控措施</w:t>
            </w:r>
          </w:p>
          <w:p w14:paraId="161B562B">
            <w:pPr>
              <w:pStyle w:val="8"/>
              <w:bidi w:val="0"/>
            </w:pPr>
            <w:r>
              <w:rPr>
                <w:rFonts w:hint="eastAsia"/>
                <w:lang w:val="en-US" w:eastAsia="zh-CN"/>
              </w:rPr>
              <w:t>项目采用分区防控措施，确保非正常工况下不会对地下水、土壤造成污染。具体分区防渗要求见下表。</w:t>
            </w:r>
          </w:p>
          <w:p w14:paraId="54F1ED84">
            <w:pPr>
              <w:pStyle w:val="42"/>
              <w:bidi w:val="0"/>
            </w:pPr>
            <w:r>
              <w:t>表</w:t>
            </w:r>
            <w:r>
              <w:rPr>
                <w:rFonts w:hint="eastAsia"/>
                <w:lang w:val="en-US" w:eastAsia="zh-CN"/>
              </w:rPr>
              <w:t>4-13</w:t>
            </w:r>
            <w:r>
              <w:t xml:space="preserve">    分区防渗情况一览表</w:t>
            </w:r>
          </w:p>
          <w:tbl>
            <w:tblPr>
              <w:tblStyle w:val="22"/>
              <w:tblW w:w="4998"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935"/>
              <w:gridCol w:w="1551"/>
              <w:gridCol w:w="4206"/>
            </w:tblGrid>
            <w:tr w14:paraId="36990A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406" w:type="pct"/>
                  <w:tcBorders>
                    <w:tl2br w:val="nil"/>
                    <w:tr2bl w:val="nil"/>
                  </w:tcBorders>
                  <w:noWrap w:val="0"/>
                  <w:vAlign w:val="center"/>
                </w:tcPr>
                <w:p w14:paraId="108F5224">
                  <w:pPr>
                    <w:pStyle w:val="40"/>
                    <w:bidi w:val="0"/>
                  </w:pPr>
                  <w:r>
                    <w:t>序号</w:t>
                  </w:r>
                </w:p>
              </w:tc>
              <w:tc>
                <w:tcPr>
                  <w:tcW w:w="1155" w:type="pct"/>
                  <w:tcBorders>
                    <w:tl2br w:val="nil"/>
                    <w:tr2bl w:val="nil"/>
                  </w:tcBorders>
                  <w:noWrap w:val="0"/>
                  <w:vAlign w:val="center"/>
                </w:tcPr>
                <w:p w14:paraId="0150978C">
                  <w:pPr>
                    <w:pStyle w:val="40"/>
                    <w:bidi w:val="0"/>
                  </w:pPr>
                  <w:r>
                    <w:t>区域名称</w:t>
                  </w:r>
                </w:p>
              </w:tc>
              <w:tc>
                <w:tcPr>
                  <w:tcW w:w="926" w:type="pct"/>
                  <w:tcBorders>
                    <w:tl2br w:val="nil"/>
                    <w:tr2bl w:val="nil"/>
                  </w:tcBorders>
                  <w:noWrap w:val="0"/>
                  <w:vAlign w:val="center"/>
                </w:tcPr>
                <w:p w14:paraId="100DFE9A">
                  <w:pPr>
                    <w:pStyle w:val="40"/>
                    <w:bidi w:val="0"/>
                  </w:pPr>
                  <w:r>
                    <w:t>分区类别</w:t>
                  </w:r>
                </w:p>
              </w:tc>
              <w:tc>
                <w:tcPr>
                  <w:tcW w:w="2511" w:type="pct"/>
                  <w:tcBorders>
                    <w:tl2br w:val="nil"/>
                    <w:tr2bl w:val="nil"/>
                  </w:tcBorders>
                  <w:noWrap w:val="0"/>
                  <w:vAlign w:val="center"/>
                </w:tcPr>
                <w:p w14:paraId="7655C7A4">
                  <w:pPr>
                    <w:pStyle w:val="40"/>
                    <w:bidi w:val="0"/>
                  </w:pPr>
                  <w:r>
                    <w:t>防渗措施</w:t>
                  </w:r>
                </w:p>
              </w:tc>
            </w:tr>
            <w:tr w14:paraId="7D45A0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2D0FB74A">
                  <w:pPr>
                    <w:pStyle w:val="40"/>
                    <w:bidi w:val="0"/>
                    <w:rPr>
                      <w:rFonts w:hint="default"/>
                      <w:lang w:val="en-US" w:eastAsia="zh-CN"/>
                    </w:rPr>
                  </w:pPr>
                  <w:r>
                    <w:rPr>
                      <w:rFonts w:hint="eastAsia"/>
                      <w:lang w:val="en-US" w:eastAsia="zh-CN"/>
                    </w:rPr>
                    <w:t>1</w:t>
                  </w:r>
                </w:p>
              </w:tc>
              <w:tc>
                <w:tcPr>
                  <w:tcW w:w="1155" w:type="pct"/>
                  <w:tcBorders>
                    <w:tl2br w:val="nil"/>
                    <w:tr2bl w:val="nil"/>
                  </w:tcBorders>
                  <w:noWrap w:val="0"/>
                  <w:vAlign w:val="center"/>
                </w:tcPr>
                <w:p w14:paraId="13911CA6">
                  <w:pPr>
                    <w:pStyle w:val="40"/>
                    <w:bidi w:val="0"/>
                    <w:rPr>
                      <w:rFonts w:hint="default" w:eastAsia="宋体"/>
                      <w:lang w:val="en-US" w:eastAsia="zh-CN"/>
                    </w:rPr>
                  </w:pPr>
                  <w:r>
                    <w:rPr>
                      <w:rFonts w:hint="eastAsia"/>
                      <w:lang w:val="en-US" w:eastAsia="zh-CN"/>
                    </w:rPr>
                    <w:t>危废贮存点</w:t>
                  </w:r>
                </w:p>
              </w:tc>
              <w:tc>
                <w:tcPr>
                  <w:tcW w:w="926" w:type="pct"/>
                  <w:tcBorders>
                    <w:tl2br w:val="nil"/>
                    <w:tr2bl w:val="nil"/>
                  </w:tcBorders>
                  <w:noWrap w:val="0"/>
                  <w:vAlign w:val="center"/>
                </w:tcPr>
                <w:p w14:paraId="40E87CF3">
                  <w:pPr>
                    <w:pStyle w:val="40"/>
                    <w:bidi w:val="0"/>
                    <w:rPr>
                      <w:rFonts w:hint="default" w:eastAsia="宋体"/>
                      <w:lang w:val="en-US" w:eastAsia="zh-CN"/>
                    </w:rPr>
                  </w:pPr>
                  <w:r>
                    <w:rPr>
                      <w:rFonts w:hint="eastAsia"/>
                      <w:lang w:val="en-US" w:eastAsia="zh-CN"/>
                    </w:rPr>
                    <w:t>重点防渗区</w:t>
                  </w:r>
                </w:p>
              </w:tc>
              <w:tc>
                <w:tcPr>
                  <w:tcW w:w="2511" w:type="pct"/>
                  <w:tcBorders>
                    <w:tl2br w:val="nil"/>
                    <w:tr2bl w:val="nil"/>
                  </w:tcBorders>
                  <w:noWrap w:val="0"/>
                  <w:vAlign w:val="center"/>
                </w:tcPr>
                <w:p w14:paraId="516C5084">
                  <w:pPr>
                    <w:pStyle w:val="40"/>
                    <w:bidi w:val="0"/>
                  </w:pPr>
                  <w:r>
                    <w:rPr>
                      <w:rFonts w:hint="eastAsia"/>
                    </w:rPr>
                    <w:t>防渗层为至少1m厚黏土层(渗透系数不大于10</w:t>
                  </w:r>
                  <w:r>
                    <w:rPr>
                      <w:rFonts w:hint="eastAsia"/>
                      <w:vertAlign w:val="superscript"/>
                    </w:rPr>
                    <w:t>-7</w:t>
                  </w:r>
                  <w:r>
                    <w:rPr>
                      <w:rFonts w:hint="eastAsia"/>
                    </w:rPr>
                    <w:t>cm/s)，或至少2mm厚高密度聚乙烯膜等人工防渗材料(渗透系数不大于10</w:t>
                  </w:r>
                  <w:r>
                    <w:rPr>
                      <w:rFonts w:hint="eastAsia"/>
                      <w:vertAlign w:val="superscript"/>
                    </w:rPr>
                    <w:t>-10</w:t>
                  </w:r>
                  <w:r>
                    <w:rPr>
                      <w:rFonts w:hint="eastAsia"/>
                    </w:rPr>
                    <w:t>cm/s)</w:t>
                  </w:r>
                </w:p>
              </w:tc>
            </w:tr>
            <w:tr w14:paraId="6925A0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5EF32D3D">
                  <w:pPr>
                    <w:pStyle w:val="40"/>
                    <w:bidi w:val="0"/>
                    <w:rPr>
                      <w:rFonts w:hint="eastAsia" w:eastAsia="宋体"/>
                      <w:lang w:eastAsia="zh-CN"/>
                    </w:rPr>
                  </w:pPr>
                  <w:r>
                    <w:rPr>
                      <w:rFonts w:hint="eastAsia"/>
                      <w:lang w:val="en-US" w:eastAsia="zh-CN"/>
                    </w:rPr>
                    <w:t>2</w:t>
                  </w:r>
                </w:p>
              </w:tc>
              <w:tc>
                <w:tcPr>
                  <w:tcW w:w="1155" w:type="pct"/>
                  <w:tcBorders>
                    <w:tl2br w:val="nil"/>
                    <w:tr2bl w:val="nil"/>
                  </w:tcBorders>
                  <w:noWrap w:val="0"/>
                  <w:vAlign w:val="center"/>
                </w:tcPr>
                <w:p w14:paraId="56C07781">
                  <w:pPr>
                    <w:pStyle w:val="40"/>
                    <w:bidi w:val="0"/>
                    <w:rPr>
                      <w:rFonts w:hint="eastAsia"/>
                    </w:rPr>
                  </w:pPr>
                  <w:r>
                    <w:rPr>
                      <w:rFonts w:hint="eastAsia"/>
                    </w:rPr>
                    <w:t>生产车间</w:t>
                  </w:r>
                </w:p>
              </w:tc>
              <w:tc>
                <w:tcPr>
                  <w:tcW w:w="926" w:type="pct"/>
                  <w:tcBorders>
                    <w:tl2br w:val="nil"/>
                    <w:tr2bl w:val="nil"/>
                  </w:tcBorders>
                  <w:noWrap w:val="0"/>
                  <w:vAlign w:val="center"/>
                </w:tcPr>
                <w:p w14:paraId="174B67EA">
                  <w:pPr>
                    <w:pStyle w:val="40"/>
                    <w:bidi w:val="0"/>
                  </w:pPr>
                  <w:r>
                    <w:t>一般防渗区</w:t>
                  </w:r>
                </w:p>
              </w:tc>
              <w:tc>
                <w:tcPr>
                  <w:tcW w:w="2511" w:type="pct"/>
                  <w:tcBorders>
                    <w:tl2br w:val="nil"/>
                    <w:tr2bl w:val="nil"/>
                  </w:tcBorders>
                  <w:noWrap w:val="0"/>
                  <w:vAlign w:val="center"/>
                </w:tcPr>
                <w:p w14:paraId="68400C50">
                  <w:pPr>
                    <w:pStyle w:val="40"/>
                    <w:bidi w:val="0"/>
                    <w:rPr>
                      <w:rFonts w:hint="eastAsia"/>
                    </w:rPr>
                  </w:pPr>
                  <w:r>
                    <w:t>防渗</w:t>
                  </w:r>
                  <w:r>
                    <w:rPr>
                      <w:rFonts w:hint="eastAsia"/>
                      <w:lang w:eastAsia="zh-CN"/>
                    </w:rPr>
                    <w:t>混凝土</w:t>
                  </w:r>
                  <w:r>
                    <w:t>表层防渗</w:t>
                  </w:r>
                  <w:r>
                    <w:rPr>
                      <w:rFonts w:hint="eastAsia"/>
                    </w:rPr>
                    <w:t>，一般防渗区域的等效黏土防渗层Mb≥1.5m，渗透系数K≤1×10</w:t>
                  </w:r>
                  <w:r>
                    <w:rPr>
                      <w:rFonts w:hint="eastAsia"/>
                      <w:vertAlign w:val="superscript"/>
                    </w:rPr>
                    <w:t>-7</w:t>
                  </w:r>
                  <w:r>
                    <w:rPr>
                      <w:rFonts w:hint="eastAsia"/>
                    </w:rPr>
                    <w:t>cm/s</w:t>
                  </w:r>
                </w:p>
              </w:tc>
            </w:tr>
            <w:tr w14:paraId="37F532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406" w:type="pct"/>
                  <w:tcBorders>
                    <w:tl2br w:val="nil"/>
                    <w:tr2bl w:val="nil"/>
                  </w:tcBorders>
                  <w:noWrap w:val="0"/>
                  <w:vAlign w:val="center"/>
                </w:tcPr>
                <w:p w14:paraId="78886F64">
                  <w:pPr>
                    <w:pStyle w:val="40"/>
                    <w:bidi w:val="0"/>
                    <w:rPr>
                      <w:rFonts w:hint="eastAsia" w:eastAsia="宋体"/>
                      <w:lang w:eastAsia="zh-CN"/>
                    </w:rPr>
                  </w:pPr>
                  <w:r>
                    <w:rPr>
                      <w:rFonts w:hint="eastAsia"/>
                      <w:lang w:val="en-US" w:eastAsia="zh-CN"/>
                    </w:rPr>
                    <w:t>3</w:t>
                  </w:r>
                </w:p>
              </w:tc>
              <w:tc>
                <w:tcPr>
                  <w:tcW w:w="1155" w:type="pct"/>
                  <w:tcBorders>
                    <w:tl2br w:val="nil"/>
                    <w:tr2bl w:val="nil"/>
                  </w:tcBorders>
                  <w:noWrap w:val="0"/>
                  <w:vAlign w:val="center"/>
                </w:tcPr>
                <w:p w14:paraId="47902F2F">
                  <w:pPr>
                    <w:pStyle w:val="40"/>
                    <w:bidi w:val="0"/>
                  </w:pPr>
                  <w:r>
                    <w:t>其他区域</w:t>
                  </w:r>
                </w:p>
              </w:tc>
              <w:tc>
                <w:tcPr>
                  <w:tcW w:w="926" w:type="pct"/>
                  <w:tcBorders>
                    <w:tl2br w:val="nil"/>
                    <w:tr2bl w:val="nil"/>
                  </w:tcBorders>
                  <w:noWrap w:val="0"/>
                  <w:vAlign w:val="center"/>
                </w:tcPr>
                <w:p w14:paraId="1DCF1740">
                  <w:pPr>
                    <w:pStyle w:val="40"/>
                    <w:bidi w:val="0"/>
                  </w:pPr>
                  <w:r>
                    <w:t>简单防渗区</w:t>
                  </w:r>
                </w:p>
              </w:tc>
              <w:tc>
                <w:tcPr>
                  <w:tcW w:w="2511" w:type="pct"/>
                  <w:tcBorders>
                    <w:tl2br w:val="nil"/>
                    <w:tr2bl w:val="nil"/>
                  </w:tcBorders>
                  <w:noWrap w:val="0"/>
                  <w:vAlign w:val="center"/>
                </w:tcPr>
                <w:p w14:paraId="2C3EF7F5">
                  <w:pPr>
                    <w:pStyle w:val="40"/>
                    <w:bidi w:val="0"/>
                  </w:pPr>
                  <w:r>
                    <w:t>一般地面水泥硬化</w:t>
                  </w:r>
                </w:p>
              </w:tc>
            </w:tr>
          </w:tbl>
          <w:p w14:paraId="43E3E813">
            <w:pPr>
              <w:pStyle w:val="8"/>
              <w:bidi w:val="0"/>
              <w:rPr>
                <w:rFonts w:hint="default"/>
                <w:lang w:val="en-US" w:eastAsia="zh-CN"/>
              </w:rPr>
            </w:pPr>
            <w:r>
              <w:rPr>
                <w:rFonts w:hint="eastAsia"/>
                <w:lang w:val="en-US" w:eastAsia="zh-CN"/>
              </w:rPr>
              <w:t>（3）</w:t>
            </w:r>
            <w:r>
              <w:rPr>
                <w:rFonts w:hint="default"/>
                <w:lang w:val="en-US" w:eastAsia="zh-CN"/>
              </w:rPr>
              <w:t>跟踪监测要求</w:t>
            </w:r>
          </w:p>
          <w:p w14:paraId="6B237040">
            <w:pPr>
              <w:pStyle w:val="8"/>
              <w:bidi w:val="0"/>
              <w:rPr>
                <w:rFonts w:hint="default"/>
                <w:lang w:val="en-US" w:eastAsia="zh-CN"/>
              </w:rPr>
            </w:pPr>
            <w:r>
              <w:rPr>
                <w:rFonts w:hint="default"/>
                <w:lang w:val="en-US" w:eastAsia="zh-CN"/>
              </w:rPr>
              <w:t>本项目在采取落实上述防控措施后，基本不会通过渗透的途径进入地下水、土壤环境。因此，本</w:t>
            </w:r>
            <w:r>
              <w:rPr>
                <w:rFonts w:hint="eastAsia"/>
                <w:lang w:val="en-US" w:eastAsia="zh-CN"/>
              </w:rPr>
              <w:t>次</w:t>
            </w:r>
            <w:r>
              <w:rPr>
                <w:rFonts w:hint="default"/>
                <w:lang w:val="en-US" w:eastAsia="zh-CN"/>
              </w:rPr>
              <w:t>评价不提出地下水、土壤跟踪监测要求。</w:t>
            </w:r>
          </w:p>
          <w:p w14:paraId="4FF88311">
            <w:pPr>
              <w:pStyle w:val="2"/>
              <w:bidi w:val="0"/>
              <w:rPr>
                <w:rFonts w:hint="default"/>
                <w:lang w:val="en-US" w:eastAsia="zh-CN"/>
              </w:rPr>
            </w:pPr>
            <w:r>
              <w:rPr>
                <w:rFonts w:hint="default"/>
                <w:lang w:val="en-US" w:eastAsia="zh-CN"/>
              </w:rPr>
              <w:t>6.生态环境影响和保护措施</w:t>
            </w:r>
          </w:p>
          <w:p w14:paraId="4933D92C">
            <w:pPr>
              <w:pStyle w:val="8"/>
              <w:bidi w:val="0"/>
              <w:rPr>
                <w:rFonts w:hint="default"/>
                <w:lang w:val="en-US" w:eastAsia="zh-CN"/>
              </w:rPr>
            </w:pPr>
            <w:r>
              <w:rPr>
                <w:rFonts w:hint="default"/>
                <w:lang w:val="en-US" w:eastAsia="zh-CN"/>
              </w:rPr>
              <w:t>根据《建设项目环境影响报告表编制技术指南（污染影响类）（试行）》，本项目</w:t>
            </w:r>
            <w:r>
              <w:rPr>
                <w:rFonts w:hint="eastAsia"/>
                <w:lang w:val="en-US" w:eastAsia="zh-CN"/>
              </w:rPr>
              <w:t>属于工业用地，</w:t>
            </w:r>
            <w:r>
              <w:rPr>
                <w:rFonts w:hint="default"/>
                <w:lang w:val="en-US" w:eastAsia="zh-CN"/>
              </w:rPr>
              <w:t>且用地范围内不含有生态环境保护目标，因此不开展生态调查和评价。</w:t>
            </w:r>
          </w:p>
          <w:p w14:paraId="6BBC76B9">
            <w:pPr>
              <w:pStyle w:val="2"/>
              <w:bidi w:val="0"/>
              <w:rPr>
                <w:rFonts w:hint="default"/>
                <w:lang w:val="en-US" w:eastAsia="zh-CN"/>
              </w:rPr>
            </w:pPr>
            <w:r>
              <w:rPr>
                <w:rFonts w:hint="default"/>
                <w:lang w:val="en-US" w:eastAsia="zh-CN"/>
              </w:rPr>
              <w:t>7.环境风险</w:t>
            </w:r>
          </w:p>
          <w:p w14:paraId="1B579745">
            <w:pPr>
              <w:pStyle w:val="2"/>
              <w:bidi w:val="0"/>
              <w:rPr>
                <w:rFonts w:hint="default"/>
                <w:lang w:val="en-US" w:eastAsia="zh-CN"/>
              </w:rPr>
            </w:pPr>
            <w:r>
              <w:rPr>
                <w:rFonts w:hint="default"/>
                <w:lang w:val="en-US" w:eastAsia="zh-CN"/>
              </w:rPr>
              <w:t>7.1物质风险识别范围</w:t>
            </w:r>
          </w:p>
          <w:p w14:paraId="375773A4">
            <w:pPr>
              <w:pStyle w:val="8"/>
              <w:bidi w:val="0"/>
              <w:rPr>
                <w:rFonts w:hint="default"/>
                <w:lang w:val="en-US" w:eastAsia="zh-CN"/>
              </w:rPr>
            </w:pPr>
            <w:r>
              <w:rPr>
                <w:rFonts w:hint="default"/>
                <w:lang w:val="en-US" w:eastAsia="zh-CN"/>
              </w:rPr>
              <w:t>物质风险调查包括主要原材料及辅助材料、最终产品、</w:t>
            </w:r>
            <w:r>
              <w:rPr>
                <w:rFonts w:hint="eastAsia"/>
                <w:lang w:val="en-US" w:eastAsia="zh-CN"/>
              </w:rPr>
              <w:t>“</w:t>
            </w:r>
            <w:r>
              <w:rPr>
                <w:rFonts w:hint="default"/>
                <w:lang w:val="en-US" w:eastAsia="zh-CN"/>
              </w:rPr>
              <w:t>三废</w:t>
            </w:r>
            <w:r>
              <w:rPr>
                <w:rFonts w:hint="eastAsia"/>
                <w:lang w:val="en-US" w:eastAsia="zh-CN"/>
              </w:rPr>
              <w:t>”</w:t>
            </w:r>
            <w:r>
              <w:rPr>
                <w:rFonts w:hint="default"/>
                <w:lang w:val="en-US" w:eastAsia="zh-CN"/>
              </w:rPr>
              <w:t>污染物、火灾和爆炸等伴生/次生的危险物质。本项目涉及的风险物质主要为废润滑油，属于《建设项目环境风险评价技术导则》（HJ169-2018）中</w:t>
            </w:r>
            <w:r>
              <w:rPr>
                <w:rFonts w:hint="eastAsia"/>
                <w:lang w:val="en-US" w:eastAsia="zh-CN"/>
              </w:rPr>
              <w:t>风险物质</w:t>
            </w:r>
            <w:r>
              <w:rPr>
                <w:rFonts w:hint="default"/>
                <w:lang w:val="en-US" w:eastAsia="zh-CN"/>
              </w:rPr>
              <w:t>。危险化学品中重大危险源辨识调查结果见下表。</w:t>
            </w:r>
          </w:p>
          <w:p w14:paraId="3F2DE9BA">
            <w:pPr>
              <w:pStyle w:val="42"/>
              <w:bidi w:val="0"/>
              <w:rPr>
                <w:rFonts w:hint="default"/>
                <w:lang w:val="en-US" w:eastAsia="zh-CN"/>
              </w:rPr>
            </w:pPr>
            <w:r>
              <w:rPr>
                <w:rFonts w:hint="default"/>
                <w:lang w:val="en-US" w:eastAsia="zh-CN"/>
              </w:rPr>
              <w:t>表4-1</w:t>
            </w:r>
            <w:r>
              <w:rPr>
                <w:rFonts w:hint="eastAsia"/>
                <w:lang w:val="en-US" w:eastAsia="zh-CN"/>
              </w:rPr>
              <w:t>4</w:t>
            </w:r>
            <w:r>
              <w:rPr>
                <w:rFonts w:hint="default"/>
                <w:lang w:val="en-US" w:eastAsia="zh-CN"/>
              </w:rPr>
              <w:t xml:space="preserve">    风险源调查结果一览表</w:t>
            </w:r>
          </w:p>
          <w:tbl>
            <w:tblPr>
              <w:tblStyle w:val="22"/>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176"/>
              <w:gridCol w:w="1189"/>
              <w:gridCol w:w="1512"/>
              <w:gridCol w:w="1304"/>
              <w:gridCol w:w="1119"/>
              <w:gridCol w:w="1204"/>
            </w:tblGrid>
            <w:tr w14:paraId="482C4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noWrap w:val="0"/>
                  <w:vAlign w:val="center"/>
                </w:tcPr>
                <w:p w14:paraId="2748E0C5">
                  <w:pPr>
                    <w:pStyle w:val="40"/>
                    <w:bidi w:val="0"/>
                    <w:rPr>
                      <w:rFonts w:hint="default"/>
                      <w:lang w:val="en-US" w:eastAsia="zh-CN"/>
                    </w:rPr>
                  </w:pPr>
                  <w:r>
                    <w:rPr>
                      <w:rFonts w:hint="eastAsia"/>
                      <w:lang w:val="en-US" w:eastAsia="zh-CN"/>
                    </w:rPr>
                    <w:t>序号</w:t>
                  </w:r>
                </w:p>
              </w:tc>
              <w:tc>
                <w:tcPr>
                  <w:tcW w:w="1176" w:type="dxa"/>
                  <w:noWrap w:val="0"/>
                  <w:vAlign w:val="center"/>
                </w:tcPr>
                <w:p w14:paraId="1E268D46">
                  <w:pPr>
                    <w:pStyle w:val="40"/>
                    <w:bidi w:val="0"/>
                    <w:rPr>
                      <w:rFonts w:hint="default"/>
                      <w:lang w:val="en-US" w:eastAsia="zh-CN"/>
                    </w:rPr>
                  </w:pPr>
                  <w:r>
                    <w:rPr>
                      <w:rFonts w:hint="eastAsia"/>
                      <w:lang w:val="en-US" w:eastAsia="zh-CN"/>
                    </w:rPr>
                    <w:t>名称</w:t>
                  </w:r>
                </w:p>
              </w:tc>
              <w:tc>
                <w:tcPr>
                  <w:tcW w:w="1189" w:type="dxa"/>
                  <w:noWrap w:val="0"/>
                  <w:vAlign w:val="center"/>
                </w:tcPr>
                <w:p w14:paraId="0D05D165">
                  <w:pPr>
                    <w:pStyle w:val="40"/>
                    <w:bidi w:val="0"/>
                    <w:rPr>
                      <w:rFonts w:hint="default"/>
                      <w:lang w:val="en-US" w:eastAsia="zh-CN"/>
                    </w:rPr>
                  </w:pPr>
                  <w:r>
                    <w:rPr>
                      <w:rFonts w:hint="eastAsia"/>
                      <w:lang w:val="en-US" w:eastAsia="zh-CN"/>
                    </w:rPr>
                    <w:t>危险特性</w:t>
                  </w:r>
                </w:p>
              </w:tc>
              <w:tc>
                <w:tcPr>
                  <w:tcW w:w="1512" w:type="dxa"/>
                  <w:noWrap w:val="0"/>
                  <w:vAlign w:val="center"/>
                </w:tcPr>
                <w:p w14:paraId="1FDC68D0">
                  <w:pPr>
                    <w:pStyle w:val="40"/>
                    <w:bidi w:val="0"/>
                    <w:rPr>
                      <w:rFonts w:hint="default"/>
                      <w:lang w:val="en-US" w:eastAsia="zh-CN"/>
                    </w:rPr>
                  </w:pPr>
                  <w:r>
                    <w:rPr>
                      <w:rFonts w:hint="eastAsia"/>
                      <w:lang w:val="en-US" w:eastAsia="zh-CN"/>
                    </w:rPr>
                    <w:t>储存能力（t/a）</w:t>
                  </w:r>
                </w:p>
              </w:tc>
              <w:tc>
                <w:tcPr>
                  <w:tcW w:w="1304" w:type="dxa"/>
                  <w:noWrap w:val="0"/>
                  <w:vAlign w:val="center"/>
                </w:tcPr>
                <w:p w14:paraId="459A9349">
                  <w:pPr>
                    <w:pStyle w:val="40"/>
                    <w:bidi w:val="0"/>
                    <w:rPr>
                      <w:rFonts w:hint="default"/>
                      <w:lang w:val="en-US" w:eastAsia="zh-CN"/>
                    </w:rPr>
                  </w:pPr>
                  <w:r>
                    <w:rPr>
                      <w:rFonts w:hint="eastAsia"/>
                      <w:lang w:val="en-US" w:eastAsia="zh-CN"/>
                    </w:rPr>
                    <w:t>临界量（t/a）</w:t>
                  </w:r>
                </w:p>
              </w:tc>
              <w:tc>
                <w:tcPr>
                  <w:tcW w:w="1119" w:type="dxa"/>
                  <w:noWrap w:val="0"/>
                  <w:vAlign w:val="center"/>
                </w:tcPr>
                <w:p w14:paraId="6118EB1F">
                  <w:pPr>
                    <w:pStyle w:val="40"/>
                    <w:bidi w:val="0"/>
                    <w:rPr>
                      <w:rFonts w:hint="default"/>
                      <w:lang w:val="en-US" w:eastAsia="zh-CN"/>
                    </w:rPr>
                  </w:pPr>
                  <w:r>
                    <w:rPr>
                      <w:rFonts w:hint="eastAsia"/>
                      <w:lang w:val="en-US" w:eastAsia="zh-CN"/>
                    </w:rPr>
                    <w:t>Q值</w:t>
                  </w:r>
                </w:p>
              </w:tc>
              <w:tc>
                <w:tcPr>
                  <w:tcW w:w="1204" w:type="dxa"/>
                  <w:noWrap w:val="0"/>
                  <w:vAlign w:val="center"/>
                </w:tcPr>
                <w:p w14:paraId="5E802856">
                  <w:pPr>
                    <w:pStyle w:val="40"/>
                    <w:bidi w:val="0"/>
                    <w:rPr>
                      <w:rFonts w:hint="default"/>
                      <w:lang w:val="en-US" w:eastAsia="zh-CN"/>
                    </w:rPr>
                  </w:pPr>
                  <w:r>
                    <w:rPr>
                      <w:rFonts w:hint="eastAsia"/>
                      <w:lang w:val="en-US" w:eastAsia="zh-CN"/>
                    </w:rPr>
                    <w:t>分布</w:t>
                  </w:r>
                </w:p>
              </w:tc>
            </w:tr>
            <w:tr w14:paraId="3DE8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noWrap w:val="0"/>
                  <w:vAlign w:val="center"/>
                </w:tcPr>
                <w:p w14:paraId="3B4A1391">
                  <w:pPr>
                    <w:pStyle w:val="40"/>
                    <w:bidi w:val="0"/>
                    <w:rPr>
                      <w:rFonts w:hint="default"/>
                      <w:lang w:val="en-US" w:eastAsia="zh-CN"/>
                    </w:rPr>
                  </w:pPr>
                  <w:r>
                    <w:rPr>
                      <w:rFonts w:hint="eastAsia"/>
                      <w:lang w:val="en-US" w:eastAsia="zh-CN"/>
                    </w:rPr>
                    <w:t>1</w:t>
                  </w:r>
                </w:p>
              </w:tc>
              <w:tc>
                <w:tcPr>
                  <w:tcW w:w="1176" w:type="dxa"/>
                  <w:noWrap w:val="0"/>
                  <w:vAlign w:val="center"/>
                </w:tcPr>
                <w:p w14:paraId="0CCFB70E">
                  <w:pPr>
                    <w:pStyle w:val="40"/>
                    <w:bidi w:val="0"/>
                    <w:rPr>
                      <w:rFonts w:hint="default"/>
                      <w:lang w:val="en-US" w:eastAsia="zh-CN"/>
                    </w:rPr>
                  </w:pPr>
                  <w:r>
                    <w:rPr>
                      <w:rFonts w:hint="eastAsia"/>
                      <w:lang w:val="en-US" w:eastAsia="zh-CN"/>
                    </w:rPr>
                    <w:t>废润滑油</w:t>
                  </w:r>
                </w:p>
              </w:tc>
              <w:tc>
                <w:tcPr>
                  <w:tcW w:w="1189" w:type="dxa"/>
                  <w:noWrap w:val="0"/>
                  <w:vAlign w:val="center"/>
                </w:tcPr>
                <w:p w14:paraId="448F618A">
                  <w:pPr>
                    <w:pStyle w:val="40"/>
                    <w:bidi w:val="0"/>
                    <w:rPr>
                      <w:rFonts w:hint="default"/>
                      <w:lang w:val="en-US" w:eastAsia="zh-CN"/>
                    </w:rPr>
                  </w:pPr>
                  <w:r>
                    <w:rPr>
                      <w:rFonts w:hint="eastAsia"/>
                      <w:lang w:val="en-US" w:eastAsia="zh-CN"/>
                    </w:rPr>
                    <w:t>易燃</w:t>
                  </w:r>
                </w:p>
              </w:tc>
              <w:tc>
                <w:tcPr>
                  <w:tcW w:w="1512" w:type="dxa"/>
                  <w:noWrap w:val="0"/>
                  <w:vAlign w:val="center"/>
                </w:tcPr>
                <w:p w14:paraId="50CE92A2">
                  <w:pPr>
                    <w:pStyle w:val="40"/>
                    <w:bidi w:val="0"/>
                    <w:rPr>
                      <w:rFonts w:hint="default"/>
                      <w:lang w:val="en-US" w:eastAsia="zh-CN"/>
                    </w:rPr>
                  </w:pPr>
                  <w:r>
                    <w:rPr>
                      <w:rFonts w:hint="eastAsia"/>
                      <w:lang w:val="en-US" w:eastAsia="zh-CN"/>
                    </w:rPr>
                    <w:t>0.5</w:t>
                  </w:r>
                </w:p>
              </w:tc>
              <w:tc>
                <w:tcPr>
                  <w:tcW w:w="1304" w:type="dxa"/>
                  <w:noWrap w:val="0"/>
                  <w:vAlign w:val="center"/>
                </w:tcPr>
                <w:p w14:paraId="5AA1D1D4">
                  <w:pPr>
                    <w:pStyle w:val="40"/>
                    <w:bidi w:val="0"/>
                    <w:rPr>
                      <w:rFonts w:hint="default"/>
                      <w:lang w:val="en-US" w:eastAsia="zh-CN"/>
                    </w:rPr>
                  </w:pPr>
                  <w:r>
                    <w:rPr>
                      <w:rFonts w:hint="eastAsia"/>
                      <w:lang w:val="en-US" w:eastAsia="zh-CN"/>
                    </w:rPr>
                    <w:t>2500</w:t>
                  </w:r>
                </w:p>
              </w:tc>
              <w:tc>
                <w:tcPr>
                  <w:tcW w:w="1119" w:type="dxa"/>
                  <w:noWrap w:val="0"/>
                  <w:vAlign w:val="center"/>
                </w:tcPr>
                <w:p w14:paraId="21E20822">
                  <w:pPr>
                    <w:pStyle w:val="40"/>
                    <w:bidi w:val="0"/>
                    <w:rPr>
                      <w:rFonts w:hint="default" w:ascii="Times New Roman" w:hAnsi="Times New Roman" w:cs="Times New Roman"/>
                      <w:lang w:val="en-US" w:eastAsia="zh-CN"/>
                    </w:rPr>
                  </w:pPr>
                  <w:r>
                    <w:rPr>
                      <w:rFonts w:hint="eastAsia" w:cs="Times New Roman"/>
                      <w:lang w:val="en-US" w:eastAsia="zh-CN"/>
                    </w:rPr>
                    <w:t>0.0002</w:t>
                  </w:r>
                </w:p>
              </w:tc>
              <w:tc>
                <w:tcPr>
                  <w:tcW w:w="1204" w:type="dxa"/>
                  <w:noWrap w:val="0"/>
                  <w:vAlign w:val="center"/>
                </w:tcPr>
                <w:p w14:paraId="01E41EAE">
                  <w:pPr>
                    <w:pStyle w:val="40"/>
                    <w:bidi w:val="0"/>
                    <w:rPr>
                      <w:rFonts w:hint="default"/>
                      <w:lang w:val="en-US" w:eastAsia="zh-CN"/>
                    </w:rPr>
                  </w:pPr>
                  <w:r>
                    <w:rPr>
                      <w:rFonts w:hint="eastAsia"/>
                      <w:lang w:val="en-US" w:eastAsia="zh-CN"/>
                    </w:rPr>
                    <w:t>危险废物贮存点</w:t>
                  </w:r>
                </w:p>
              </w:tc>
            </w:tr>
            <w:tr w14:paraId="5EEB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66" w:type="dxa"/>
                  <w:gridSpan w:val="5"/>
                  <w:noWrap w:val="0"/>
                  <w:vAlign w:val="center"/>
                </w:tcPr>
                <w:p w14:paraId="703690B3">
                  <w:pPr>
                    <w:pStyle w:val="40"/>
                    <w:bidi w:val="0"/>
                    <w:rPr>
                      <w:rFonts w:hint="default"/>
                      <w:lang w:val="en-US" w:eastAsia="zh-CN"/>
                    </w:rPr>
                  </w:pPr>
                  <w:r>
                    <w:rPr>
                      <w:rFonts w:hint="eastAsia"/>
                      <w:lang w:val="en-US" w:eastAsia="zh-CN"/>
                    </w:rPr>
                    <w:t>Q值合计</w:t>
                  </w:r>
                </w:p>
              </w:tc>
              <w:tc>
                <w:tcPr>
                  <w:tcW w:w="2323" w:type="dxa"/>
                  <w:gridSpan w:val="2"/>
                  <w:noWrap w:val="0"/>
                  <w:vAlign w:val="center"/>
                </w:tcPr>
                <w:p w14:paraId="6FC9A963">
                  <w:pPr>
                    <w:pStyle w:val="40"/>
                    <w:bidi w:val="0"/>
                    <w:rPr>
                      <w:rFonts w:hint="default"/>
                      <w:lang w:val="en-US" w:eastAsia="zh-CN"/>
                    </w:rPr>
                  </w:pPr>
                  <w:r>
                    <w:rPr>
                      <w:rFonts w:hint="eastAsia"/>
                      <w:lang w:val="en-US" w:eastAsia="zh-CN"/>
                    </w:rPr>
                    <w:t>0.0002</w:t>
                  </w:r>
                </w:p>
              </w:tc>
            </w:tr>
          </w:tbl>
          <w:p w14:paraId="1C04B6FE">
            <w:pPr>
              <w:pStyle w:val="8"/>
              <w:bidi w:val="0"/>
              <w:rPr>
                <w:rFonts w:hint="default"/>
                <w:lang w:val="en-US" w:eastAsia="zh-CN"/>
              </w:rPr>
            </w:pPr>
            <w:r>
              <w:rPr>
                <w:rFonts w:hint="default"/>
                <w:lang w:val="en-US" w:eastAsia="zh-CN"/>
              </w:rPr>
              <w:t>由上表可知，危险物质的数量与临界量比值Q＜1，环境风险潜势为I。</w:t>
            </w:r>
          </w:p>
          <w:p w14:paraId="55768B46">
            <w:pPr>
              <w:pStyle w:val="2"/>
              <w:bidi w:val="0"/>
              <w:rPr>
                <w:rFonts w:hint="default"/>
                <w:lang w:val="en-US" w:eastAsia="zh-CN"/>
              </w:rPr>
            </w:pPr>
            <w:r>
              <w:rPr>
                <w:rFonts w:hint="default"/>
                <w:lang w:val="en-US" w:eastAsia="zh-CN"/>
              </w:rPr>
              <w:t>7.2环境风险源影响途径</w:t>
            </w:r>
          </w:p>
          <w:p w14:paraId="1321396F">
            <w:pPr>
              <w:pStyle w:val="8"/>
              <w:bidi w:val="0"/>
              <w:rPr>
                <w:rFonts w:hint="default"/>
                <w:lang w:val="en-US" w:eastAsia="zh-CN"/>
              </w:rPr>
            </w:pPr>
            <w:r>
              <w:rPr>
                <w:rFonts w:hint="default"/>
                <w:lang w:val="en-US" w:eastAsia="zh-CN"/>
              </w:rPr>
              <w:t>油品泄漏事故：项目生产过程中涉及的危险物质有废润滑油。当储存设施发生破损造成泄漏，可能会污染周围土壤和地下水，污染的土壤不仅会造成植物的死亡，而且土壤层吸附的油品还会随着下渗补充到地下水。</w:t>
            </w:r>
          </w:p>
          <w:p w14:paraId="6E958165">
            <w:pPr>
              <w:pStyle w:val="8"/>
              <w:bidi w:val="0"/>
              <w:rPr>
                <w:rFonts w:hint="default"/>
                <w:lang w:val="en-US" w:eastAsia="zh-CN"/>
              </w:rPr>
            </w:pPr>
            <w:r>
              <w:rPr>
                <w:rFonts w:hint="default"/>
                <w:lang w:val="en-US" w:eastAsia="zh-CN"/>
              </w:rPr>
              <w:t>环保设施危险性：本项目配套废气系统出现故障而导致不能正常运作，导致</w:t>
            </w:r>
            <w:r>
              <w:rPr>
                <w:rFonts w:hint="eastAsia"/>
                <w:lang w:val="en-US" w:eastAsia="zh-CN"/>
              </w:rPr>
              <w:t>颗粒物</w:t>
            </w:r>
            <w:r>
              <w:rPr>
                <w:rFonts w:hint="default"/>
                <w:lang w:val="en-US" w:eastAsia="zh-CN"/>
              </w:rPr>
              <w:t>未经处理而直接向大气排放。</w:t>
            </w:r>
          </w:p>
          <w:p w14:paraId="67A30B8E">
            <w:pPr>
              <w:pStyle w:val="8"/>
              <w:bidi w:val="0"/>
              <w:rPr>
                <w:rFonts w:hint="default"/>
                <w:lang w:val="en-US" w:eastAsia="zh-CN"/>
              </w:rPr>
            </w:pPr>
            <w:r>
              <w:rPr>
                <w:rFonts w:hint="default"/>
                <w:lang w:val="en-US" w:eastAsia="zh-CN"/>
              </w:rPr>
              <w:t>危废贮存点管理风险：危险废物贮存点防渗层破损或破裂，且在收集和转运过程中若管理不当，容易导致危险废物渗漏和洒落至地面，并可能进入地表及地下水体，对土壤和水环境造成污染。</w:t>
            </w:r>
          </w:p>
          <w:p w14:paraId="0908F650">
            <w:pPr>
              <w:pStyle w:val="8"/>
              <w:bidi w:val="0"/>
              <w:rPr>
                <w:rFonts w:hint="default"/>
                <w:lang w:val="en-US" w:eastAsia="zh-CN"/>
              </w:rPr>
            </w:pPr>
            <w:r>
              <w:rPr>
                <w:rFonts w:hint="default"/>
                <w:lang w:val="en-US" w:eastAsia="zh-CN"/>
              </w:rPr>
              <w:t>火灾爆炸事故引发的伴生/次生污染：废润滑油具有易燃易爆的危险特性，发生火灾爆炸事故后随着燃烧氧化，会产生伴生/次生产物，主要为不完全燃烧产生的CO和烟尘等污染物会对大气造成较大影响，从而造成二次污染。</w:t>
            </w:r>
          </w:p>
          <w:p w14:paraId="3F3D86EF">
            <w:pPr>
              <w:pStyle w:val="2"/>
              <w:bidi w:val="0"/>
              <w:rPr>
                <w:rFonts w:hint="default"/>
                <w:lang w:val="en-US" w:eastAsia="zh-CN"/>
              </w:rPr>
            </w:pPr>
            <w:r>
              <w:rPr>
                <w:rFonts w:hint="default"/>
                <w:lang w:val="en-US" w:eastAsia="zh-CN"/>
              </w:rPr>
              <w:t>7.3环境风险防范措施</w:t>
            </w:r>
          </w:p>
          <w:p w14:paraId="63D3121B">
            <w:pPr>
              <w:pStyle w:val="8"/>
              <w:bidi w:val="0"/>
              <w:rPr>
                <w:rFonts w:hint="default"/>
                <w:lang w:val="en-US" w:eastAsia="zh-CN"/>
              </w:rPr>
            </w:pPr>
            <w:r>
              <w:rPr>
                <w:rFonts w:hint="eastAsia"/>
                <w:lang w:val="en-US" w:eastAsia="zh-CN"/>
              </w:rPr>
              <w:t>（1）</w:t>
            </w:r>
            <w:r>
              <w:rPr>
                <w:rFonts w:hint="default"/>
                <w:lang w:val="en-US" w:eastAsia="zh-CN"/>
              </w:rPr>
              <w:t>为减少油类物质泄漏等引起的火灾事故，提出以下环境风险防范措施及应急要求：</w:t>
            </w:r>
          </w:p>
          <w:p w14:paraId="4282BC15">
            <w:pPr>
              <w:pStyle w:val="8"/>
              <w:bidi w:val="0"/>
              <w:rPr>
                <w:rFonts w:hint="default"/>
                <w:lang w:val="en-US" w:eastAsia="zh-CN"/>
              </w:rPr>
            </w:pPr>
            <w:r>
              <w:rPr>
                <w:rFonts w:hint="default"/>
                <w:lang w:val="en-US" w:eastAsia="zh-CN"/>
              </w:rPr>
              <w:t>①成立专门的责任机构，保证事故发生时组织相关力量及时控制事故的危害，在第一时间，有序有效地控制事故污染，把事故危害</w:t>
            </w:r>
            <w:r>
              <w:rPr>
                <w:rFonts w:hint="eastAsia"/>
                <w:lang w:val="en-US" w:eastAsia="zh-CN"/>
              </w:rPr>
              <w:t>减少</w:t>
            </w:r>
            <w:r>
              <w:rPr>
                <w:rFonts w:hint="default"/>
                <w:lang w:val="en-US" w:eastAsia="zh-CN"/>
              </w:rPr>
              <w:t>到最小。</w:t>
            </w:r>
          </w:p>
          <w:p w14:paraId="0981C2CF">
            <w:pPr>
              <w:pStyle w:val="8"/>
              <w:bidi w:val="0"/>
              <w:rPr>
                <w:rFonts w:hint="default"/>
                <w:lang w:val="en-US" w:eastAsia="zh-CN"/>
              </w:rPr>
            </w:pPr>
            <w:r>
              <w:rPr>
                <w:rFonts w:hint="default"/>
                <w:lang w:val="en-US" w:eastAsia="zh-CN"/>
              </w:rPr>
              <w:t>②健全各项制度，强化安全管理意识，加强用电设备及线路的检修和管理。</w:t>
            </w:r>
          </w:p>
          <w:p w14:paraId="42DFE2C7">
            <w:pPr>
              <w:pStyle w:val="8"/>
              <w:bidi w:val="0"/>
              <w:rPr>
                <w:rFonts w:hint="default"/>
                <w:lang w:val="en-US" w:eastAsia="zh-CN"/>
              </w:rPr>
            </w:pPr>
            <w:r>
              <w:rPr>
                <w:rFonts w:hint="default"/>
                <w:lang w:val="en-US" w:eastAsia="zh-CN"/>
              </w:rPr>
              <w:t>③严格按照消防安全部门要求，配置消防设施。</w:t>
            </w:r>
          </w:p>
          <w:p w14:paraId="3782D1F2">
            <w:pPr>
              <w:pStyle w:val="8"/>
              <w:bidi w:val="0"/>
              <w:rPr>
                <w:rFonts w:hint="default"/>
                <w:lang w:val="en-US" w:eastAsia="zh-CN"/>
              </w:rPr>
            </w:pPr>
            <w:r>
              <w:rPr>
                <w:rFonts w:hint="default"/>
                <w:lang w:val="en-US" w:eastAsia="zh-CN"/>
              </w:rPr>
              <w:t>④油类物质等易燃易爆物品存储远离火源。在采取以上措施后，可有效降低风险发生的概率。</w:t>
            </w:r>
          </w:p>
          <w:p w14:paraId="3D45F357">
            <w:pPr>
              <w:pStyle w:val="8"/>
              <w:bidi w:val="0"/>
              <w:rPr>
                <w:rFonts w:hint="default"/>
                <w:lang w:val="en-US" w:eastAsia="zh-CN"/>
              </w:rPr>
            </w:pPr>
            <w:r>
              <w:rPr>
                <w:rFonts w:hint="eastAsia"/>
                <w:lang w:val="en-US" w:eastAsia="zh-CN"/>
              </w:rPr>
              <w:t>（2）</w:t>
            </w:r>
            <w:r>
              <w:rPr>
                <w:rFonts w:hint="default"/>
                <w:lang w:val="en-US" w:eastAsia="zh-CN"/>
              </w:rPr>
              <w:t>为减少项目废气处理设施非正常工况导致颗粒物超标排放对周边环境的影响，提出以下环境风险防范措施及应急要求：</w:t>
            </w:r>
          </w:p>
          <w:p w14:paraId="2BD2B21C">
            <w:pPr>
              <w:pStyle w:val="8"/>
              <w:bidi w:val="0"/>
              <w:rPr>
                <w:rFonts w:hint="default"/>
                <w:lang w:val="en-US" w:eastAsia="zh-CN"/>
              </w:rPr>
            </w:pPr>
            <w:r>
              <w:rPr>
                <w:rFonts w:hint="eastAsia"/>
                <w:lang w:val="en-US" w:eastAsia="zh-CN"/>
              </w:rPr>
              <w:t>①</w:t>
            </w:r>
            <w:r>
              <w:rPr>
                <w:rFonts w:hint="default"/>
                <w:lang w:val="en-US" w:eastAsia="zh-CN"/>
              </w:rPr>
              <w:t>制定环保设备运行维护制度，并派专人进行管理，定期对环保设备进行点检维护。</w:t>
            </w:r>
          </w:p>
          <w:p w14:paraId="715153F4">
            <w:pPr>
              <w:pStyle w:val="8"/>
              <w:bidi w:val="0"/>
              <w:rPr>
                <w:rFonts w:hint="default"/>
                <w:lang w:val="en-US" w:eastAsia="zh-CN"/>
              </w:rPr>
            </w:pPr>
            <w:r>
              <w:rPr>
                <w:rFonts w:hint="eastAsia"/>
                <w:lang w:val="en-US" w:eastAsia="zh-CN"/>
              </w:rPr>
              <w:t>②</w:t>
            </w:r>
            <w:r>
              <w:rPr>
                <w:rFonts w:hint="default"/>
                <w:lang w:val="en-US" w:eastAsia="zh-CN"/>
              </w:rPr>
              <w:t>定期对风机的运行情况进行检查记录，一旦发现运行异常，立即对相应的生产设备进行停产，并对风机设备进行维修。</w:t>
            </w:r>
          </w:p>
          <w:p w14:paraId="18185CDA">
            <w:pPr>
              <w:pStyle w:val="8"/>
              <w:bidi w:val="0"/>
              <w:rPr>
                <w:rFonts w:hint="default"/>
                <w:lang w:val="en-US" w:eastAsia="zh-CN"/>
              </w:rPr>
            </w:pPr>
            <w:r>
              <w:rPr>
                <w:rFonts w:hint="eastAsia"/>
                <w:lang w:val="en-US" w:eastAsia="zh-CN"/>
              </w:rPr>
              <w:t>③</w:t>
            </w:r>
            <w:r>
              <w:rPr>
                <w:rFonts w:hint="default" w:ascii="Times New Roman" w:hAnsi="Times New Roman" w:eastAsia="宋体" w:cs="Times New Roman"/>
                <w:highlight w:val="none"/>
                <w:lang w:val="en-US" w:eastAsia="zh-CN"/>
              </w:rPr>
              <w:t>对</w:t>
            </w:r>
            <w:r>
              <w:rPr>
                <w:rFonts w:hint="eastAsia" w:cs="Times New Roman"/>
                <w:highlight w:val="none"/>
                <w:lang w:val="en-US" w:eastAsia="zh-CN"/>
              </w:rPr>
              <w:t>布袋除尘器</w:t>
            </w:r>
            <w:r>
              <w:rPr>
                <w:rFonts w:hint="default" w:ascii="Times New Roman" w:hAnsi="Times New Roman" w:eastAsia="宋体" w:cs="Times New Roman"/>
                <w:lang w:val="en-US" w:eastAsia="zh-CN"/>
              </w:rPr>
              <w:t>定期检查，</w:t>
            </w:r>
            <w:r>
              <w:rPr>
                <w:rFonts w:hint="eastAsia" w:cs="Times New Roman"/>
                <w:lang w:val="en-US" w:eastAsia="zh-CN"/>
              </w:rPr>
              <w:t>若</w:t>
            </w:r>
            <w:r>
              <w:rPr>
                <w:rFonts w:hint="default" w:ascii="Times New Roman" w:hAnsi="Times New Roman" w:eastAsia="宋体" w:cs="Times New Roman"/>
                <w:lang w:val="en-US" w:eastAsia="zh-CN"/>
              </w:rPr>
              <w:t>发现异常，如破损、损坏或堵塞严重等，应立即更换，确保其处理效率。</w:t>
            </w:r>
          </w:p>
          <w:p w14:paraId="37C87A5F">
            <w:pPr>
              <w:pStyle w:val="8"/>
              <w:rPr>
                <w:rFonts w:hint="eastAsia" w:cs="Times New Roman"/>
                <w:lang w:val="en-US" w:eastAsia="zh-CN"/>
              </w:rPr>
            </w:pPr>
            <w:r>
              <w:rPr>
                <w:rFonts w:hint="eastAsia" w:cs="Times New Roman"/>
                <w:lang w:val="en-US" w:eastAsia="zh-CN"/>
              </w:rPr>
              <w:t>（3）粉尘爆炸风险防范措施</w:t>
            </w:r>
          </w:p>
          <w:p w14:paraId="4C411A2F">
            <w:pPr>
              <w:pStyle w:val="8"/>
              <w:rPr>
                <w:rFonts w:hint="eastAsia" w:cs="Times New Roman"/>
                <w:lang w:val="en-US" w:eastAsia="zh-CN"/>
              </w:rPr>
            </w:pPr>
            <w:r>
              <w:rPr>
                <w:rFonts w:hint="eastAsia" w:cs="Times New Roman"/>
                <w:lang w:val="en-US" w:eastAsia="zh-CN"/>
              </w:rPr>
              <w:t>本项目涉及水泥、粉煤灰等可燃性粉尘，为防范粉尘爆炸风险，结合生产工艺，采取以下核心措施：</w:t>
            </w:r>
          </w:p>
          <w:p w14:paraId="51E4F705">
            <w:pPr>
              <w:pStyle w:val="8"/>
              <w:rPr>
                <w:rFonts w:hint="eastAsia" w:cs="Times New Roman"/>
                <w:lang w:val="en-US" w:eastAsia="zh-CN"/>
              </w:rPr>
            </w:pPr>
            <w:r>
              <w:rPr>
                <w:rFonts w:hint="eastAsia" w:cs="Times New Roman"/>
                <w:lang w:val="en-US" w:eastAsia="zh-CN"/>
              </w:rPr>
              <w:t>①设备与工艺防控，粉料筒仓、布袋除尘器均配置防爆泄爆装置、阻火器，搅拌、投料设备密闭化设计，所有设备及金属构件做防静电接地，避免静电积聚。</w:t>
            </w:r>
          </w:p>
          <w:p w14:paraId="6F0E5B09">
            <w:pPr>
              <w:pStyle w:val="8"/>
              <w:rPr>
                <w:rFonts w:hint="eastAsia" w:cs="Times New Roman"/>
                <w:lang w:val="en-US" w:eastAsia="zh-CN"/>
              </w:rPr>
            </w:pPr>
            <w:r>
              <w:rPr>
                <w:rFonts w:hint="eastAsia" w:cs="Times New Roman"/>
                <w:lang w:val="en-US" w:eastAsia="zh-CN"/>
              </w:rPr>
              <w:t>②粉尘管控，及时清理车间及设备积尘，采用湿式清扫或真空吸尘，严禁压缩空气吹扫，保持车间通风，确保粉尘浓度低于爆炸下限，除尘灰密闭暂存并及时回用。</w:t>
            </w:r>
          </w:p>
          <w:p w14:paraId="7E9848A7">
            <w:pPr>
              <w:pStyle w:val="8"/>
              <w:rPr>
                <w:rFonts w:hint="eastAsia" w:cs="Times New Roman"/>
                <w:lang w:val="en-US" w:eastAsia="zh-CN"/>
              </w:rPr>
            </w:pPr>
            <w:r>
              <w:rPr>
                <w:rFonts w:hint="eastAsia" w:cs="Times New Roman"/>
                <w:lang w:val="en-US" w:eastAsia="zh-CN"/>
              </w:rPr>
              <w:t>③火源管控，车间及相关区域严禁明火、吸烟，电气设备选用防爆型，设置除铁装置避免金属撞击产生火花。四是安全管理与应急，建立专项管理制度，定期检测维护设备，开展员工防爆培训，配置干粉灭火器等器材，制定应急预案并定期演练，确保风险可控。</w:t>
            </w:r>
          </w:p>
          <w:p w14:paraId="58F068DE">
            <w:pPr>
              <w:pStyle w:val="49"/>
              <w:bidi w:val="0"/>
              <w:rPr>
                <w:rFonts w:hint="eastAsia"/>
                <w:lang w:val="en-US" w:eastAsia="zh-CN"/>
              </w:rPr>
            </w:pPr>
            <w:r>
              <w:rPr>
                <w:rFonts w:hint="eastAsia"/>
                <w:lang w:val="en-US" w:eastAsia="zh-CN"/>
              </w:rPr>
              <w:t>7.4突发环境事件应急预案编制与备案要求</w:t>
            </w:r>
          </w:p>
          <w:p w14:paraId="6FD24258">
            <w:pPr>
              <w:pStyle w:val="53"/>
              <w:bidi w:val="0"/>
              <w:rPr>
                <w:rFonts w:hint="default"/>
                <w:lang w:val="en-US" w:eastAsia="zh-CN"/>
              </w:rPr>
            </w:pPr>
            <w:r>
              <w:rPr>
                <w:rFonts w:hint="eastAsia"/>
                <w:lang w:val="en-US" w:eastAsia="zh-CN"/>
              </w:rPr>
              <w:t>（1）</w:t>
            </w:r>
            <w:r>
              <w:rPr>
                <w:rFonts w:hint="default"/>
                <w:lang w:val="en-US" w:eastAsia="zh-CN"/>
              </w:rPr>
              <w:t>突发环境事件应急预案编制与备案要求</w:t>
            </w:r>
          </w:p>
          <w:p w14:paraId="38FFA309">
            <w:pPr>
              <w:pStyle w:val="53"/>
              <w:bidi w:val="0"/>
              <w:rPr>
                <w:rFonts w:hint="default"/>
                <w:lang w:val="en-US" w:eastAsia="zh-CN"/>
              </w:rPr>
            </w:pPr>
            <w:r>
              <w:rPr>
                <w:rFonts w:hint="default"/>
                <w:lang w:val="en-US" w:eastAsia="zh-CN"/>
              </w:rPr>
              <w:t>企业严格按照相关规范，结合本项目粉尘、废水等环境风险，开展风险评估和应急资源调查，编制应急预案，明确组织指挥、处置流程等核心内容，经专家评审、主要负责人签署发布后，20个工作日内向县级生态环境主管部门备案并公开相关信息。每三年开展预案回顾性评估，若风险或应急资源发生重大变化，及时修订并重新备案。</w:t>
            </w:r>
          </w:p>
          <w:p w14:paraId="71EB76F1">
            <w:pPr>
              <w:pStyle w:val="53"/>
              <w:bidi w:val="0"/>
              <w:rPr>
                <w:rFonts w:hint="default"/>
                <w:lang w:val="en-US" w:eastAsia="zh-CN"/>
              </w:rPr>
            </w:pPr>
            <w:r>
              <w:rPr>
                <w:rFonts w:hint="eastAsia"/>
                <w:lang w:val="en-US" w:eastAsia="zh-CN"/>
              </w:rPr>
              <w:t>（2）</w:t>
            </w:r>
            <w:r>
              <w:rPr>
                <w:rFonts w:hint="default"/>
                <w:lang w:val="en-US" w:eastAsia="zh-CN"/>
              </w:rPr>
              <w:t>应急装备措施要求</w:t>
            </w:r>
          </w:p>
          <w:p w14:paraId="0FA124C5">
            <w:pPr>
              <w:pStyle w:val="53"/>
              <w:bidi w:val="0"/>
              <w:rPr>
                <w:rFonts w:hint="default"/>
                <w:lang w:val="en-US" w:eastAsia="zh-CN"/>
              </w:rPr>
            </w:pPr>
            <w:r>
              <w:rPr>
                <w:rFonts w:hint="default"/>
                <w:lang w:val="en-US" w:eastAsia="zh-CN"/>
              </w:rPr>
              <w:t>按规范配齐应急装备，包括粉尘防控类、应急监测类、应急处置类及废水处置类装备，所有装备定点存放、专人管理，定期维护检测、建立台账，确保完好可用，同时储备充足应急物资，全面保障突发环境事件应急处置需求。</w:t>
            </w:r>
          </w:p>
          <w:p w14:paraId="7325F4E1">
            <w:pPr>
              <w:pStyle w:val="53"/>
              <w:bidi w:val="0"/>
              <w:rPr>
                <w:rFonts w:hint="default"/>
                <w:lang w:val="en-US" w:eastAsia="zh-CN"/>
              </w:rPr>
            </w:pPr>
          </w:p>
          <w:p w14:paraId="3708C34A">
            <w:pPr>
              <w:pStyle w:val="8"/>
              <w:rPr>
                <w:rFonts w:hint="eastAsia" w:ascii="Times New Roman" w:hAnsi="Times New Roman" w:eastAsia="宋体" w:cs="Times New Roman"/>
                <w:lang w:val="en-US" w:eastAsia="zh-CN"/>
              </w:rPr>
            </w:pPr>
          </w:p>
          <w:p w14:paraId="681DACAF">
            <w:pPr>
              <w:pStyle w:val="8"/>
              <w:rPr>
                <w:rFonts w:hint="eastAsia" w:ascii="Times New Roman" w:hAnsi="Times New Roman" w:eastAsia="宋体" w:cs="Times New Roman"/>
                <w:lang w:val="en-US" w:eastAsia="zh-CN"/>
              </w:rPr>
            </w:pPr>
          </w:p>
          <w:p w14:paraId="6FA4EDB6">
            <w:pPr>
              <w:pStyle w:val="8"/>
              <w:rPr>
                <w:rFonts w:hint="eastAsia" w:ascii="Times New Roman" w:hAnsi="Times New Roman" w:eastAsia="宋体" w:cs="Times New Roman"/>
                <w:lang w:val="en-US" w:eastAsia="zh-CN"/>
              </w:rPr>
            </w:pPr>
          </w:p>
          <w:p w14:paraId="171BD728">
            <w:pPr>
              <w:pStyle w:val="8"/>
              <w:rPr>
                <w:rFonts w:hint="eastAsia" w:ascii="Times New Roman" w:hAnsi="Times New Roman" w:eastAsia="宋体" w:cs="Times New Roman"/>
                <w:lang w:val="en-US" w:eastAsia="zh-CN"/>
              </w:rPr>
            </w:pPr>
          </w:p>
          <w:p w14:paraId="083DDAC4">
            <w:pPr>
              <w:pStyle w:val="8"/>
              <w:rPr>
                <w:rFonts w:hint="eastAsia" w:ascii="Times New Roman" w:hAnsi="Times New Roman" w:eastAsia="宋体" w:cs="Times New Roman"/>
                <w:lang w:val="en-US" w:eastAsia="zh-CN"/>
              </w:rPr>
            </w:pPr>
          </w:p>
          <w:p w14:paraId="0ACCCD1C">
            <w:pPr>
              <w:pStyle w:val="8"/>
              <w:rPr>
                <w:rFonts w:hint="eastAsia" w:ascii="Times New Roman" w:hAnsi="Times New Roman" w:eastAsia="宋体" w:cs="Times New Roman"/>
                <w:lang w:val="en-US" w:eastAsia="zh-CN"/>
              </w:rPr>
            </w:pPr>
          </w:p>
          <w:p w14:paraId="3807236D">
            <w:pPr>
              <w:pStyle w:val="8"/>
              <w:rPr>
                <w:rFonts w:hint="eastAsia" w:ascii="Times New Roman" w:hAnsi="Times New Roman" w:eastAsia="宋体" w:cs="Times New Roman"/>
                <w:lang w:val="en-US" w:eastAsia="zh-CN"/>
              </w:rPr>
            </w:pPr>
          </w:p>
        </w:tc>
      </w:tr>
    </w:tbl>
    <w:p w14:paraId="11E2A8E4">
      <w:pPr>
        <w:pStyle w:val="11"/>
        <w:ind w:left="0" w:leftChars="0" w:firstLine="0" w:firstLineChars="0"/>
        <w:rPr>
          <w:rFonts w:hint="eastAsia"/>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612DB8F">
      <w:pPr>
        <w:pStyle w:val="18"/>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28" w:name="_Hlk54167917"/>
      <w:r>
        <w:rPr>
          <w:rFonts w:hint="eastAsia" w:ascii="黑体" w:hAnsi="黑体" w:eastAsia="黑体"/>
          <w:snapToGrid w:val="0"/>
          <w:sz w:val="30"/>
          <w:szCs w:val="30"/>
        </w:rPr>
        <w:t>环境保护措施监督检查清单</w:t>
      </w:r>
      <w:bookmarkEnd w:id="28"/>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62"/>
        <w:gridCol w:w="1270"/>
        <w:gridCol w:w="1442"/>
        <w:gridCol w:w="2521"/>
        <w:gridCol w:w="2605"/>
      </w:tblGrid>
      <w:tr w14:paraId="489EF5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9" w:hRule="atLeast"/>
          <w:jc w:val="center"/>
        </w:trPr>
        <w:tc>
          <w:tcPr>
            <w:tcW w:w="962" w:type="dxa"/>
            <w:tcBorders>
              <w:tl2br w:val="nil"/>
              <w:tr2bl w:val="nil"/>
            </w:tcBorders>
            <w:noWrap w:val="0"/>
            <w:vAlign w:val="top"/>
            <mc:AlternateContent>
              <mc:Choice Requires="wpsCustomData">
                <wpsCustomData:diagonals>
                  <wpsCustomData:diagonal from="30000" to="10000">
                    <wpsCustomData:border w:val="single" w:color="auto" w:sz="8" w:space="0"/>
                  </wpsCustomData:diagonal>
                </wpsCustomData:diagonals>
              </mc:Choice>
            </mc:AlternateContent>
          </w:tcPr>
          <w:p w14:paraId="2F5477F8">
            <w:pPr>
              <w:pStyle w:val="40"/>
              <w:bidi w:val="0"/>
              <w:rPr>
                <w:rFonts w:hint="eastAsia"/>
              </w:rPr>
            </w:pPr>
          </w:p>
          <w:p w14:paraId="25E18177">
            <w:pPr>
              <w:pStyle w:val="40"/>
              <w:bidi w:val="0"/>
              <mc:AlternateContent>
                <mc:Choice Requires="wpsCustomData">
                  <wpsCustomData:diagonalParaType/>
                </mc:Choice>
              </mc:AlternateContent>
              <w:rPr>
                <w:rFonts w:hint="eastAsia" w:eastAsia="宋体"/>
                <w:lang w:val="en-US" w:eastAsia="zh-CN"/>
              </w:rPr>
            </w:pPr>
            <w:r>
              <w:rPr>
                <w:rFonts w:hint="eastAsia"/>
                <w:lang w:val="en-US" w:eastAsia="zh-CN"/>
              </w:rPr>
              <w:t>要素</w:t>
            </w:r>
          </w:p>
          <w:p w14:paraId="01033EE6">
            <w:pPr>
              <w:pStyle w:val="40"/>
              <w:bidi w:val="0"/>
              <w:rPr>
                <w:rFonts w:hint="eastAsia"/>
              </w:rPr>
            </w:pPr>
            <w:r>
              <w:rPr>
                <w:rFonts w:hint="eastAsia"/>
              </w:rPr>
              <w:t>内容</w:t>
            </w:r>
          </w:p>
        </w:tc>
        <w:tc>
          <w:tcPr>
            <w:tcW w:w="1270" w:type="dxa"/>
            <w:tcBorders>
              <w:tl2br w:val="nil"/>
              <w:tr2bl w:val="nil"/>
            </w:tcBorders>
            <w:noWrap w:val="0"/>
            <w:vAlign w:val="center"/>
          </w:tcPr>
          <w:p w14:paraId="2CD31198">
            <w:pPr>
              <w:adjustRightInd w:val="0"/>
              <w:snapToGrid w:val="0"/>
              <w:jc w:val="center"/>
              <w:rPr>
                <w:rFonts w:hint="eastAsia" w:ascii="宋体" w:hAnsi="宋体" w:cs="宋体"/>
                <w:szCs w:val="21"/>
              </w:rPr>
            </w:pPr>
            <w:r>
              <w:rPr>
                <w:rFonts w:hint="eastAsia" w:ascii="宋体" w:hAnsi="宋体" w:cs="宋体"/>
                <w:szCs w:val="21"/>
              </w:rPr>
              <w:t>排放口(编号、名称)/污染源</w:t>
            </w:r>
          </w:p>
        </w:tc>
        <w:tc>
          <w:tcPr>
            <w:tcW w:w="1442" w:type="dxa"/>
            <w:tcBorders>
              <w:tl2br w:val="nil"/>
              <w:tr2bl w:val="nil"/>
            </w:tcBorders>
            <w:noWrap w:val="0"/>
            <w:vAlign w:val="center"/>
          </w:tcPr>
          <w:p w14:paraId="0BABA8D1">
            <w:pPr>
              <w:pStyle w:val="40"/>
              <w:bidi w:val="0"/>
              <w:rPr>
                <w:rFonts w:hint="eastAsia"/>
              </w:rPr>
            </w:pPr>
            <w:r>
              <w:rPr>
                <w:rFonts w:hint="eastAsia"/>
              </w:rPr>
              <w:t>污染物项目</w:t>
            </w:r>
          </w:p>
        </w:tc>
        <w:tc>
          <w:tcPr>
            <w:tcW w:w="2521" w:type="dxa"/>
            <w:tcBorders>
              <w:tl2br w:val="nil"/>
              <w:tr2bl w:val="nil"/>
            </w:tcBorders>
            <w:noWrap w:val="0"/>
            <w:vAlign w:val="center"/>
          </w:tcPr>
          <w:p w14:paraId="0E3D3EB6">
            <w:pPr>
              <w:adjustRightInd w:val="0"/>
              <w:snapToGrid w:val="0"/>
              <w:jc w:val="center"/>
              <w:rPr>
                <w:rFonts w:hint="eastAsia" w:ascii="宋体" w:hAnsi="宋体" w:cs="宋体"/>
                <w:szCs w:val="21"/>
              </w:rPr>
            </w:pPr>
            <w:r>
              <w:rPr>
                <w:rStyle w:val="41"/>
                <w:rFonts w:hint="eastAsia"/>
              </w:rPr>
              <w:t>环境保护措</w:t>
            </w:r>
            <w:r>
              <w:rPr>
                <w:rFonts w:hint="eastAsia" w:ascii="宋体" w:hAnsi="宋体" w:cs="宋体"/>
                <w:szCs w:val="21"/>
              </w:rPr>
              <w:t>施</w:t>
            </w:r>
          </w:p>
        </w:tc>
        <w:tc>
          <w:tcPr>
            <w:tcW w:w="2605" w:type="dxa"/>
            <w:tcBorders>
              <w:tl2br w:val="nil"/>
              <w:tr2bl w:val="nil"/>
            </w:tcBorders>
            <w:noWrap w:val="0"/>
            <w:vAlign w:val="center"/>
          </w:tcPr>
          <w:p w14:paraId="1966BD50">
            <w:pPr>
              <w:adjustRightInd w:val="0"/>
              <w:snapToGrid w:val="0"/>
              <w:jc w:val="center"/>
              <w:rPr>
                <w:rFonts w:hint="eastAsia" w:ascii="宋体" w:hAnsi="宋体" w:cs="宋体"/>
                <w:szCs w:val="21"/>
              </w:rPr>
            </w:pPr>
            <w:r>
              <w:rPr>
                <w:rFonts w:hint="eastAsia" w:ascii="宋体" w:hAnsi="宋体" w:cs="宋体"/>
                <w:szCs w:val="21"/>
              </w:rPr>
              <w:t>执行标准</w:t>
            </w:r>
          </w:p>
        </w:tc>
      </w:tr>
      <w:tr w14:paraId="16A5E9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62" w:type="dxa"/>
            <w:vMerge w:val="restart"/>
            <w:tcBorders>
              <w:tl2br w:val="nil"/>
              <w:tr2bl w:val="nil"/>
            </w:tcBorders>
            <w:noWrap w:val="0"/>
            <w:vAlign w:val="center"/>
          </w:tcPr>
          <w:p w14:paraId="71DB9789">
            <w:pPr>
              <w:adjustRightInd w:val="0"/>
              <w:snapToGrid w:val="0"/>
              <w:jc w:val="center"/>
              <w:rPr>
                <w:rFonts w:hint="eastAsia" w:ascii="宋体" w:hAnsi="宋体" w:cs="宋体"/>
                <w:szCs w:val="21"/>
              </w:rPr>
            </w:pPr>
            <w:r>
              <w:rPr>
                <w:rFonts w:hint="eastAsia" w:ascii="宋体" w:hAnsi="宋体" w:cs="宋体"/>
                <w:szCs w:val="21"/>
              </w:rPr>
              <w:t>大气环境</w:t>
            </w:r>
          </w:p>
        </w:tc>
        <w:tc>
          <w:tcPr>
            <w:tcW w:w="1270" w:type="dxa"/>
            <w:tcBorders>
              <w:tl2br w:val="nil"/>
              <w:tr2bl w:val="nil"/>
            </w:tcBorders>
            <w:noWrap w:val="0"/>
            <w:vAlign w:val="center"/>
          </w:tcPr>
          <w:p w14:paraId="713922E5">
            <w:pPr>
              <w:pStyle w:val="40"/>
              <w:bidi w:val="0"/>
              <w:ind w:left="0" w:leftChars="0" w:right="0" w:rightChars="0" w:firstLine="0" w:firstLineChars="0"/>
              <w:jc w:val="center"/>
              <w:rPr>
                <w:rFonts w:hint="default"/>
                <w:lang w:val="en-US" w:eastAsia="zh-CN"/>
              </w:rPr>
            </w:pPr>
            <w:r>
              <w:rPr>
                <w:rFonts w:hint="eastAsia"/>
                <w:lang w:val="en-US" w:eastAsia="zh-CN"/>
              </w:rPr>
              <w:t>DA001</w:t>
            </w:r>
          </w:p>
        </w:tc>
        <w:tc>
          <w:tcPr>
            <w:tcW w:w="1442" w:type="dxa"/>
            <w:tcBorders>
              <w:tl2br w:val="nil"/>
              <w:tr2bl w:val="nil"/>
            </w:tcBorders>
            <w:noWrap w:val="0"/>
            <w:vAlign w:val="center"/>
          </w:tcPr>
          <w:p w14:paraId="6230101F">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r>
              <w:rPr>
                <w:rFonts w:hint="eastAsia"/>
                <w:lang w:val="en-US" w:eastAsia="zh-CN"/>
              </w:rPr>
              <w:t>颗粒物</w:t>
            </w:r>
          </w:p>
        </w:tc>
        <w:tc>
          <w:tcPr>
            <w:tcW w:w="2521" w:type="dxa"/>
            <w:tcBorders>
              <w:tl2br w:val="nil"/>
              <w:tr2bl w:val="nil"/>
            </w:tcBorders>
            <w:noWrap w:val="0"/>
            <w:vAlign w:val="center"/>
          </w:tcPr>
          <w:p w14:paraId="154F5846">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rPr>
            </w:pPr>
            <w:r>
              <w:rPr>
                <w:rFonts w:hint="eastAsia"/>
                <w:lang w:val="en-US" w:eastAsia="zh-CN"/>
              </w:rPr>
              <w:t>布袋除尘器+15m排气筒</w:t>
            </w:r>
          </w:p>
        </w:tc>
        <w:tc>
          <w:tcPr>
            <w:tcW w:w="2605" w:type="dxa"/>
            <w:vMerge w:val="restart"/>
            <w:tcBorders>
              <w:tl2br w:val="nil"/>
              <w:tr2bl w:val="nil"/>
            </w:tcBorders>
            <w:noWrap w:val="0"/>
            <w:vAlign w:val="center"/>
          </w:tcPr>
          <w:p w14:paraId="63486EBA">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rPr>
            </w:pPr>
            <w:r>
              <w:rPr>
                <w:rFonts w:hint="eastAsia"/>
                <w:lang w:val="en-US" w:eastAsia="zh-CN"/>
              </w:rPr>
              <w:t>《水泥工业大气污染物排放标准》（含2025年修改单）（GB4915-2013）表1大气污染物排放限值要求</w:t>
            </w:r>
          </w:p>
        </w:tc>
      </w:tr>
      <w:tr w14:paraId="7C7C8C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62" w:type="dxa"/>
            <w:vMerge w:val="continue"/>
            <w:tcBorders>
              <w:tl2br w:val="nil"/>
              <w:tr2bl w:val="nil"/>
            </w:tcBorders>
            <w:noWrap w:val="0"/>
            <w:vAlign w:val="center"/>
          </w:tcPr>
          <w:p w14:paraId="33ED66D0">
            <w:pPr>
              <w:adjustRightInd w:val="0"/>
              <w:snapToGrid w:val="0"/>
              <w:jc w:val="center"/>
              <w:rPr>
                <w:rFonts w:hint="eastAsia" w:ascii="宋体" w:hAnsi="宋体" w:cs="宋体"/>
                <w:szCs w:val="21"/>
              </w:rPr>
            </w:pPr>
          </w:p>
        </w:tc>
        <w:tc>
          <w:tcPr>
            <w:tcW w:w="1270" w:type="dxa"/>
            <w:tcBorders>
              <w:tl2br w:val="nil"/>
              <w:tr2bl w:val="nil"/>
            </w:tcBorders>
            <w:noWrap w:val="0"/>
            <w:vAlign w:val="center"/>
          </w:tcPr>
          <w:p w14:paraId="339D1271">
            <w:pPr>
              <w:bidi w:val="0"/>
              <w:ind w:left="0" w:leftChars="0" w:right="0" w:rightChars="0" w:firstLine="0" w:firstLineChars="0"/>
              <w:jc w:val="center"/>
              <w:rPr>
                <w:rFonts w:hint="eastAsia"/>
                <w:lang w:val="en-US" w:eastAsia="zh-CN"/>
              </w:rPr>
            </w:pPr>
            <w:r>
              <w:rPr>
                <w:rFonts w:hint="eastAsia"/>
                <w:lang w:val="en-US" w:eastAsia="zh-CN"/>
              </w:rPr>
              <w:t>DA002</w:t>
            </w:r>
          </w:p>
        </w:tc>
        <w:tc>
          <w:tcPr>
            <w:tcW w:w="1442" w:type="dxa"/>
            <w:tcBorders>
              <w:tl2br w:val="nil"/>
              <w:tr2bl w:val="nil"/>
            </w:tcBorders>
            <w:noWrap w:val="0"/>
            <w:vAlign w:val="center"/>
          </w:tcPr>
          <w:p w14:paraId="34ACAEBB">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r>
              <w:rPr>
                <w:rFonts w:hint="eastAsia"/>
                <w:lang w:val="en-US" w:eastAsia="zh-CN"/>
              </w:rPr>
              <w:t>颗粒物</w:t>
            </w:r>
          </w:p>
        </w:tc>
        <w:tc>
          <w:tcPr>
            <w:tcW w:w="2521" w:type="dxa"/>
            <w:tcBorders>
              <w:tl2br w:val="nil"/>
              <w:tr2bl w:val="nil"/>
            </w:tcBorders>
            <w:noWrap w:val="0"/>
            <w:vAlign w:val="center"/>
          </w:tcPr>
          <w:p w14:paraId="35D14324">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r>
              <w:rPr>
                <w:rFonts w:hint="eastAsia"/>
                <w:lang w:val="en-US" w:eastAsia="zh-CN"/>
              </w:rPr>
              <w:t>布袋除尘器+15m排气筒</w:t>
            </w:r>
          </w:p>
        </w:tc>
        <w:tc>
          <w:tcPr>
            <w:tcW w:w="2605" w:type="dxa"/>
            <w:vMerge w:val="continue"/>
            <w:tcBorders>
              <w:tl2br w:val="nil"/>
              <w:tr2bl w:val="nil"/>
            </w:tcBorders>
            <w:noWrap w:val="0"/>
            <w:vAlign w:val="center"/>
          </w:tcPr>
          <w:p w14:paraId="686BB9CB">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p>
        </w:tc>
      </w:tr>
      <w:tr w14:paraId="025A27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62" w:type="dxa"/>
            <w:vMerge w:val="continue"/>
            <w:tcBorders>
              <w:tl2br w:val="nil"/>
              <w:tr2bl w:val="nil"/>
            </w:tcBorders>
            <w:noWrap w:val="0"/>
            <w:vAlign w:val="center"/>
          </w:tcPr>
          <w:p w14:paraId="37018ECC">
            <w:pPr>
              <w:adjustRightInd w:val="0"/>
              <w:snapToGrid w:val="0"/>
              <w:jc w:val="center"/>
              <w:rPr>
                <w:rFonts w:hint="eastAsia" w:ascii="宋体" w:hAnsi="宋体" w:cs="宋体"/>
                <w:szCs w:val="21"/>
              </w:rPr>
            </w:pPr>
          </w:p>
        </w:tc>
        <w:tc>
          <w:tcPr>
            <w:tcW w:w="1270" w:type="dxa"/>
            <w:tcBorders>
              <w:tl2br w:val="nil"/>
              <w:tr2bl w:val="nil"/>
            </w:tcBorders>
            <w:noWrap w:val="0"/>
            <w:vAlign w:val="center"/>
          </w:tcPr>
          <w:p w14:paraId="3CA4CD60">
            <w:pPr>
              <w:bidi w:val="0"/>
              <w:ind w:left="0" w:leftChars="0" w:right="0" w:rightChars="0" w:firstLine="0" w:firstLineChars="0"/>
              <w:jc w:val="center"/>
              <w:rPr>
                <w:rFonts w:hint="eastAsia"/>
                <w:lang w:val="en-US" w:eastAsia="zh-CN"/>
              </w:rPr>
            </w:pPr>
            <w:r>
              <w:rPr>
                <w:rFonts w:hint="eastAsia"/>
                <w:lang w:val="en-US" w:eastAsia="zh-CN"/>
              </w:rPr>
              <w:t>DA003</w:t>
            </w:r>
          </w:p>
        </w:tc>
        <w:tc>
          <w:tcPr>
            <w:tcW w:w="1442" w:type="dxa"/>
            <w:tcBorders>
              <w:tl2br w:val="nil"/>
              <w:tr2bl w:val="nil"/>
            </w:tcBorders>
            <w:noWrap w:val="0"/>
            <w:vAlign w:val="center"/>
          </w:tcPr>
          <w:p w14:paraId="46321851">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r>
              <w:rPr>
                <w:rFonts w:hint="eastAsia"/>
                <w:lang w:val="en-US" w:eastAsia="zh-CN"/>
              </w:rPr>
              <w:t>颗粒物</w:t>
            </w:r>
          </w:p>
        </w:tc>
        <w:tc>
          <w:tcPr>
            <w:tcW w:w="2521" w:type="dxa"/>
            <w:tcBorders>
              <w:tl2br w:val="nil"/>
              <w:tr2bl w:val="nil"/>
            </w:tcBorders>
            <w:noWrap w:val="0"/>
            <w:vAlign w:val="center"/>
          </w:tcPr>
          <w:p w14:paraId="0E2BA14B">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r>
              <w:rPr>
                <w:rFonts w:hint="eastAsia"/>
                <w:lang w:val="en-US" w:eastAsia="zh-CN"/>
              </w:rPr>
              <w:t>布袋除尘器+15m排气筒</w:t>
            </w:r>
          </w:p>
        </w:tc>
        <w:tc>
          <w:tcPr>
            <w:tcW w:w="2605" w:type="dxa"/>
            <w:vMerge w:val="continue"/>
            <w:tcBorders>
              <w:tl2br w:val="nil"/>
              <w:tr2bl w:val="nil"/>
            </w:tcBorders>
            <w:noWrap w:val="0"/>
            <w:vAlign w:val="center"/>
          </w:tcPr>
          <w:p w14:paraId="5AC38E10">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p>
        </w:tc>
      </w:tr>
      <w:tr w14:paraId="623B14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62" w:type="dxa"/>
            <w:vMerge w:val="continue"/>
            <w:tcBorders>
              <w:tl2br w:val="nil"/>
              <w:tr2bl w:val="nil"/>
            </w:tcBorders>
            <w:noWrap w:val="0"/>
            <w:vAlign w:val="center"/>
          </w:tcPr>
          <w:p w14:paraId="225174E0">
            <w:pPr>
              <w:adjustRightInd w:val="0"/>
              <w:snapToGrid w:val="0"/>
              <w:jc w:val="center"/>
              <w:rPr>
                <w:rFonts w:hint="eastAsia" w:ascii="宋体" w:hAnsi="宋体" w:cs="宋体"/>
                <w:szCs w:val="21"/>
              </w:rPr>
            </w:pPr>
          </w:p>
        </w:tc>
        <w:tc>
          <w:tcPr>
            <w:tcW w:w="1270" w:type="dxa"/>
            <w:tcBorders>
              <w:tl2br w:val="nil"/>
              <w:tr2bl w:val="nil"/>
            </w:tcBorders>
            <w:noWrap w:val="0"/>
            <w:vAlign w:val="center"/>
          </w:tcPr>
          <w:p w14:paraId="606B974D">
            <w:pPr>
              <w:bidi w:val="0"/>
              <w:ind w:left="0" w:leftChars="0" w:right="0" w:rightChars="0" w:firstLine="0" w:firstLineChars="0"/>
              <w:jc w:val="center"/>
              <w:rPr>
                <w:rFonts w:hint="eastAsia"/>
                <w:lang w:val="en-US" w:eastAsia="zh-CN"/>
              </w:rPr>
            </w:pPr>
            <w:r>
              <w:rPr>
                <w:rFonts w:hint="eastAsia"/>
                <w:lang w:val="en-US" w:eastAsia="zh-CN"/>
              </w:rPr>
              <w:t>DA004</w:t>
            </w:r>
          </w:p>
        </w:tc>
        <w:tc>
          <w:tcPr>
            <w:tcW w:w="1442" w:type="dxa"/>
            <w:tcBorders>
              <w:tl2br w:val="nil"/>
              <w:tr2bl w:val="nil"/>
            </w:tcBorders>
            <w:noWrap w:val="0"/>
            <w:vAlign w:val="center"/>
          </w:tcPr>
          <w:p w14:paraId="3DCFEE65">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r>
              <w:rPr>
                <w:rFonts w:hint="eastAsia"/>
                <w:lang w:val="en-US" w:eastAsia="zh-CN"/>
              </w:rPr>
              <w:t>颗粒物</w:t>
            </w:r>
          </w:p>
        </w:tc>
        <w:tc>
          <w:tcPr>
            <w:tcW w:w="2521" w:type="dxa"/>
            <w:tcBorders>
              <w:tl2br w:val="nil"/>
              <w:tr2bl w:val="nil"/>
            </w:tcBorders>
            <w:noWrap w:val="0"/>
            <w:vAlign w:val="center"/>
          </w:tcPr>
          <w:p w14:paraId="62DF2262">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r>
              <w:rPr>
                <w:rFonts w:hint="eastAsia"/>
                <w:lang w:val="en-US" w:eastAsia="zh-CN"/>
              </w:rPr>
              <w:t>布袋除尘器+15m排气筒</w:t>
            </w:r>
          </w:p>
        </w:tc>
        <w:tc>
          <w:tcPr>
            <w:tcW w:w="2605" w:type="dxa"/>
            <w:vMerge w:val="continue"/>
            <w:tcBorders>
              <w:tl2br w:val="nil"/>
              <w:tr2bl w:val="nil"/>
            </w:tcBorders>
            <w:noWrap w:val="0"/>
            <w:vAlign w:val="center"/>
          </w:tcPr>
          <w:p w14:paraId="091E5726">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p>
        </w:tc>
      </w:tr>
      <w:tr w14:paraId="47F036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62" w:type="dxa"/>
            <w:vMerge w:val="continue"/>
            <w:tcBorders>
              <w:tl2br w:val="nil"/>
              <w:tr2bl w:val="nil"/>
            </w:tcBorders>
            <w:noWrap w:val="0"/>
            <w:vAlign w:val="center"/>
          </w:tcPr>
          <w:p w14:paraId="3DE86B96">
            <w:pPr>
              <w:adjustRightInd w:val="0"/>
              <w:snapToGrid w:val="0"/>
              <w:jc w:val="center"/>
              <w:rPr>
                <w:rFonts w:hint="eastAsia" w:ascii="宋体" w:hAnsi="宋体" w:cs="宋体"/>
                <w:szCs w:val="21"/>
              </w:rPr>
            </w:pPr>
          </w:p>
        </w:tc>
        <w:tc>
          <w:tcPr>
            <w:tcW w:w="1270" w:type="dxa"/>
            <w:tcBorders>
              <w:tl2br w:val="nil"/>
              <w:tr2bl w:val="nil"/>
            </w:tcBorders>
            <w:noWrap w:val="0"/>
            <w:vAlign w:val="center"/>
          </w:tcPr>
          <w:p w14:paraId="15E9AB6D">
            <w:pPr>
              <w:bidi w:val="0"/>
              <w:ind w:left="0" w:leftChars="0" w:right="0" w:rightChars="0" w:firstLine="0" w:firstLineChars="0"/>
              <w:jc w:val="center"/>
              <w:rPr>
                <w:rFonts w:hint="eastAsia"/>
                <w:lang w:val="en-US" w:eastAsia="zh-CN"/>
              </w:rPr>
            </w:pPr>
            <w:r>
              <w:rPr>
                <w:rFonts w:hint="eastAsia"/>
                <w:lang w:val="en-US" w:eastAsia="zh-CN"/>
              </w:rPr>
              <w:t>DA005</w:t>
            </w:r>
          </w:p>
        </w:tc>
        <w:tc>
          <w:tcPr>
            <w:tcW w:w="1442" w:type="dxa"/>
            <w:tcBorders>
              <w:tl2br w:val="nil"/>
              <w:tr2bl w:val="nil"/>
            </w:tcBorders>
            <w:noWrap w:val="0"/>
            <w:vAlign w:val="center"/>
          </w:tcPr>
          <w:p w14:paraId="4E22445A">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r>
              <w:rPr>
                <w:rFonts w:hint="eastAsia"/>
                <w:lang w:val="en-US" w:eastAsia="zh-CN"/>
              </w:rPr>
              <w:t>颗粒物</w:t>
            </w:r>
          </w:p>
        </w:tc>
        <w:tc>
          <w:tcPr>
            <w:tcW w:w="2521" w:type="dxa"/>
            <w:tcBorders>
              <w:tl2br w:val="nil"/>
              <w:tr2bl w:val="nil"/>
            </w:tcBorders>
            <w:noWrap w:val="0"/>
            <w:vAlign w:val="center"/>
          </w:tcPr>
          <w:p w14:paraId="7FC1FC26">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r>
              <w:rPr>
                <w:rFonts w:hint="eastAsia"/>
                <w:lang w:val="en-US" w:eastAsia="zh-CN"/>
              </w:rPr>
              <w:t>布袋除尘器+15m排气筒</w:t>
            </w:r>
          </w:p>
        </w:tc>
        <w:tc>
          <w:tcPr>
            <w:tcW w:w="2605" w:type="dxa"/>
            <w:vMerge w:val="continue"/>
            <w:tcBorders>
              <w:tl2br w:val="nil"/>
              <w:tr2bl w:val="nil"/>
            </w:tcBorders>
            <w:noWrap w:val="0"/>
            <w:vAlign w:val="center"/>
          </w:tcPr>
          <w:p w14:paraId="41403C47">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p>
        </w:tc>
      </w:tr>
      <w:tr w14:paraId="701029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62" w:type="dxa"/>
            <w:vMerge w:val="continue"/>
            <w:tcBorders>
              <w:tl2br w:val="nil"/>
              <w:tr2bl w:val="nil"/>
            </w:tcBorders>
            <w:noWrap w:val="0"/>
            <w:vAlign w:val="center"/>
          </w:tcPr>
          <w:p w14:paraId="31A99253">
            <w:pPr>
              <w:adjustRightInd w:val="0"/>
              <w:snapToGrid w:val="0"/>
              <w:jc w:val="center"/>
              <w:rPr>
                <w:rFonts w:hint="eastAsia" w:ascii="宋体" w:hAnsi="宋体" w:cs="宋体"/>
                <w:szCs w:val="21"/>
              </w:rPr>
            </w:pPr>
          </w:p>
        </w:tc>
        <w:tc>
          <w:tcPr>
            <w:tcW w:w="1270" w:type="dxa"/>
            <w:tcBorders>
              <w:tl2br w:val="nil"/>
              <w:tr2bl w:val="nil"/>
            </w:tcBorders>
            <w:noWrap w:val="0"/>
            <w:vAlign w:val="center"/>
          </w:tcPr>
          <w:p w14:paraId="58B692B9">
            <w:pPr>
              <w:bidi w:val="0"/>
              <w:ind w:left="0" w:leftChars="0" w:right="0" w:rightChars="0" w:firstLine="0" w:firstLineChars="0"/>
              <w:jc w:val="center"/>
              <w:rPr>
                <w:rFonts w:hint="eastAsia"/>
                <w:lang w:val="en-US" w:eastAsia="zh-CN"/>
              </w:rPr>
            </w:pPr>
            <w:r>
              <w:rPr>
                <w:rFonts w:hint="eastAsia"/>
                <w:lang w:val="en-US" w:eastAsia="zh-CN"/>
              </w:rPr>
              <w:t>DA006</w:t>
            </w:r>
          </w:p>
        </w:tc>
        <w:tc>
          <w:tcPr>
            <w:tcW w:w="1442" w:type="dxa"/>
            <w:tcBorders>
              <w:tl2br w:val="nil"/>
              <w:tr2bl w:val="nil"/>
            </w:tcBorders>
            <w:noWrap w:val="0"/>
            <w:vAlign w:val="center"/>
          </w:tcPr>
          <w:p w14:paraId="53929E5D">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r>
              <w:rPr>
                <w:rFonts w:hint="eastAsia"/>
                <w:lang w:val="en-US" w:eastAsia="zh-CN"/>
              </w:rPr>
              <w:t>颗粒物</w:t>
            </w:r>
          </w:p>
        </w:tc>
        <w:tc>
          <w:tcPr>
            <w:tcW w:w="2521" w:type="dxa"/>
            <w:tcBorders>
              <w:tl2br w:val="nil"/>
              <w:tr2bl w:val="nil"/>
            </w:tcBorders>
            <w:noWrap w:val="0"/>
            <w:vAlign w:val="center"/>
          </w:tcPr>
          <w:p w14:paraId="208A065F">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r>
              <w:rPr>
                <w:rFonts w:hint="eastAsia"/>
                <w:lang w:val="en-US" w:eastAsia="zh-CN"/>
              </w:rPr>
              <w:t>布袋除尘器+15m排气筒</w:t>
            </w:r>
          </w:p>
        </w:tc>
        <w:tc>
          <w:tcPr>
            <w:tcW w:w="2605" w:type="dxa"/>
            <w:vMerge w:val="continue"/>
            <w:tcBorders>
              <w:tl2br w:val="nil"/>
              <w:tr2bl w:val="nil"/>
            </w:tcBorders>
            <w:noWrap w:val="0"/>
            <w:vAlign w:val="center"/>
          </w:tcPr>
          <w:p w14:paraId="16E4CCFD">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p>
        </w:tc>
      </w:tr>
      <w:tr w14:paraId="078B90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62" w:type="dxa"/>
            <w:vMerge w:val="continue"/>
            <w:tcBorders>
              <w:tl2br w:val="nil"/>
              <w:tr2bl w:val="nil"/>
            </w:tcBorders>
            <w:noWrap w:val="0"/>
            <w:vAlign w:val="center"/>
          </w:tcPr>
          <w:p w14:paraId="7B8E1814">
            <w:pPr>
              <w:adjustRightInd w:val="0"/>
              <w:snapToGrid w:val="0"/>
              <w:jc w:val="center"/>
              <w:rPr>
                <w:rFonts w:hint="eastAsia" w:ascii="宋体" w:hAnsi="宋体" w:cs="宋体"/>
                <w:szCs w:val="21"/>
              </w:rPr>
            </w:pPr>
          </w:p>
        </w:tc>
        <w:tc>
          <w:tcPr>
            <w:tcW w:w="1270" w:type="dxa"/>
            <w:tcBorders>
              <w:tl2br w:val="nil"/>
              <w:tr2bl w:val="nil"/>
            </w:tcBorders>
            <w:noWrap w:val="0"/>
            <w:vAlign w:val="center"/>
          </w:tcPr>
          <w:p w14:paraId="0DC3B54A">
            <w:pPr>
              <w:pStyle w:val="40"/>
              <w:bidi w:val="0"/>
              <w:ind w:left="0" w:leftChars="0" w:right="0" w:rightChars="0" w:firstLine="0" w:firstLineChars="0"/>
              <w:jc w:val="center"/>
              <w:rPr>
                <w:rFonts w:hint="eastAsia"/>
                <w:lang w:val="en-US" w:eastAsia="zh-CN"/>
              </w:rPr>
            </w:pPr>
            <w:r>
              <w:rPr>
                <w:rFonts w:hint="eastAsia"/>
                <w:lang w:val="en-US" w:eastAsia="zh-CN"/>
              </w:rPr>
              <w:t>DA007</w:t>
            </w:r>
          </w:p>
        </w:tc>
        <w:tc>
          <w:tcPr>
            <w:tcW w:w="1442" w:type="dxa"/>
            <w:tcBorders>
              <w:tl2br w:val="nil"/>
              <w:tr2bl w:val="nil"/>
            </w:tcBorders>
            <w:noWrap w:val="0"/>
            <w:vAlign w:val="center"/>
          </w:tcPr>
          <w:p w14:paraId="696C8FA1">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default"/>
                <w:lang w:val="en-US" w:eastAsia="zh-CN"/>
              </w:rPr>
            </w:pPr>
            <w:r>
              <w:rPr>
                <w:rFonts w:hint="eastAsia"/>
                <w:lang w:val="en-US" w:eastAsia="zh-CN"/>
              </w:rPr>
              <w:t>油烟</w:t>
            </w:r>
          </w:p>
        </w:tc>
        <w:tc>
          <w:tcPr>
            <w:tcW w:w="2521" w:type="dxa"/>
            <w:tcBorders>
              <w:tl2br w:val="nil"/>
              <w:tr2bl w:val="nil"/>
            </w:tcBorders>
            <w:noWrap w:val="0"/>
            <w:vAlign w:val="center"/>
          </w:tcPr>
          <w:p w14:paraId="3B3383A4">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default"/>
                <w:lang w:val="en-US" w:eastAsia="zh-CN"/>
              </w:rPr>
            </w:pPr>
            <w:r>
              <w:rPr>
                <w:rFonts w:hint="eastAsia"/>
                <w:lang w:val="en-US" w:eastAsia="zh-CN"/>
              </w:rPr>
              <w:t>油烟净化器</w:t>
            </w:r>
          </w:p>
        </w:tc>
        <w:tc>
          <w:tcPr>
            <w:tcW w:w="2605" w:type="dxa"/>
            <w:tcBorders>
              <w:tl2br w:val="nil"/>
              <w:tr2bl w:val="nil"/>
            </w:tcBorders>
            <w:noWrap w:val="0"/>
            <w:vAlign w:val="center"/>
          </w:tcPr>
          <w:p w14:paraId="5C5B4126">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r>
              <w:rPr>
                <w:rFonts w:hint="eastAsia"/>
                <w:lang w:val="en-US" w:eastAsia="zh-CN"/>
              </w:rPr>
              <w:t>《饮食业油烟排放标准（试行）》（GB 18483-2001）</w:t>
            </w:r>
          </w:p>
        </w:tc>
      </w:tr>
      <w:tr w14:paraId="14DB8D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7" w:hRule="atLeast"/>
          <w:jc w:val="center"/>
        </w:trPr>
        <w:tc>
          <w:tcPr>
            <w:tcW w:w="962" w:type="dxa"/>
            <w:vMerge w:val="continue"/>
            <w:tcBorders>
              <w:tl2br w:val="nil"/>
              <w:tr2bl w:val="nil"/>
            </w:tcBorders>
            <w:noWrap w:val="0"/>
            <w:vAlign w:val="center"/>
          </w:tcPr>
          <w:p w14:paraId="44DAC985">
            <w:pPr>
              <w:adjustRightInd w:val="0"/>
              <w:snapToGrid w:val="0"/>
              <w:jc w:val="center"/>
              <w:rPr>
                <w:rFonts w:hint="eastAsia" w:ascii="宋体" w:hAnsi="宋体" w:cs="宋体"/>
                <w:szCs w:val="21"/>
              </w:rPr>
            </w:pPr>
          </w:p>
        </w:tc>
        <w:tc>
          <w:tcPr>
            <w:tcW w:w="1270" w:type="dxa"/>
            <w:tcBorders>
              <w:bottom w:val="single" w:color="auto" w:sz="4" w:space="0"/>
              <w:tl2br w:val="nil"/>
              <w:tr2bl w:val="nil"/>
            </w:tcBorders>
            <w:noWrap w:val="0"/>
            <w:vAlign w:val="center"/>
          </w:tcPr>
          <w:p w14:paraId="649738A9">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default"/>
                <w:lang w:val="en-US" w:eastAsia="zh-CN"/>
              </w:rPr>
            </w:pPr>
            <w:r>
              <w:rPr>
                <w:rFonts w:hint="eastAsia"/>
                <w:lang w:val="en-US" w:eastAsia="zh-CN"/>
              </w:rPr>
              <w:t>厂界</w:t>
            </w:r>
          </w:p>
        </w:tc>
        <w:tc>
          <w:tcPr>
            <w:tcW w:w="1442" w:type="dxa"/>
            <w:tcBorders>
              <w:bottom w:val="single" w:color="auto" w:sz="4" w:space="0"/>
              <w:tl2br w:val="nil"/>
              <w:tr2bl w:val="nil"/>
            </w:tcBorders>
            <w:noWrap w:val="0"/>
            <w:vAlign w:val="center"/>
          </w:tcPr>
          <w:p w14:paraId="79559BF5">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rPr>
            </w:pPr>
            <w:r>
              <w:t>颗粒物</w:t>
            </w:r>
          </w:p>
        </w:tc>
        <w:tc>
          <w:tcPr>
            <w:tcW w:w="2521" w:type="dxa"/>
            <w:tcBorders>
              <w:bottom w:val="single" w:color="auto" w:sz="4" w:space="0"/>
              <w:tl2br w:val="nil"/>
              <w:tr2bl w:val="nil"/>
            </w:tcBorders>
            <w:noWrap w:val="0"/>
            <w:vAlign w:val="center"/>
          </w:tcPr>
          <w:p w14:paraId="067CA91D">
            <w:pPr>
              <w:pStyle w:val="5"/>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eastAsia="宋体"/>
                <w:lang w:val="en-US" w:eastAsia="zh-CN"/>
              </w:rPr>
            </w:pPr>
            <w:r>
              <w:rPr>
                <w:rFonts w:hint="default" w:ascii="Times New Roman" w:hAnsi="Times New Roman" w:cs="Times New Roman"/>
                <w:lang w:val="en-US" w:eastAsia="zh-CN"/>
              </w:rPr>
              <w:t>原料堆场厂房</w:t>
            </w:r>
            <w:r>
              <w:rPr>
                <w:rFonts w:hint="default" w:ascii="Times New Roman" w:hAnsi="Times New Roman" w:cs="Times New Roman"/>
              </w:rPr>
              <w:t>采用全封闭式结构</w:t>
            </w:r>
            <w:r>
              <w:rPr>
                <w:rFonts w:hint="default" w:ascii="Times New Roman" w:hAnsi="Times New Roman" w:cs="Times New Roman"/>
                <w:lang w:val="en-US" w:eastAsia="zh-CN"/>
              </w:rPr>
              <w:t>，</w:t>
            </w:r>
            <w:r>
              <w:rPr>
                <w:rFonts w:hint="default" w:ascii="Times New Roman" w:hAnsi="Times New Roman" w:cs="Times New Roman"/>
              </w:rPr>
              <w:t>筒仓顶部设置</w:t>
            </w:r>
            <w:r>
              <w:rPr>
                <w:rFonts w:hint="eastAsia" w:cs="Times New Roman"/>
                <w:lang w:val="en-US" w:eastAsia="zh-CN"/>
              </w:rPr>
              <w:t>脉冲式布袋除尘器</w:t>
            </w:r>
            <w:r>
              <w:rPr>
                <w:rFonts w:hint="default" w:ascii="Times New Roman" w:hAnsi="Times New Roman" w:cs="Times New Roman"/>
                <w:lang w:val="en-US" w:eastAsia="zh-CN"/>
              </w:rPr>
              <w:t>，焊接烟尘采用移动式烟</w:t>
            </w:r>
            <w:r>
              <w:rPr>
                <w:rFonts w:hint="eastAsia" w:ascii="Times New Roman" w:hAnsi="Times New Roman" w:cs="Times New Roman"/>
                <w:lang w:val="en-US" w:eastAsia="zh-CN"/>
              </w:rPr>
              <w:t>尘</w:t>
            </w:r>
            <w:r>
              <w:rPr>
                <w:rFonts w:hint="default" w:ascii="Times New Roman" w:hAnsi="Times New Roman" w:cs="Times New Roman"/>
                <w:lang w:val="en-US" w:eastAsia="zh-CN"/>
              </w:rPr>
              <w:t>净化器+密闭厂房</w:t>
            </w:r>
            <w:r>
              <w:rPr>
                <w:rFonts w:hint="eastAsia" w:ascii="Times New Roman" w:hAnsi="Times New Roman" w:cs="Times New Roman"/>
                <w:lang w:val="en-US" w:eastAsia="zh-CN"/>
              </w:rPr>
              <w:t>。</w:t>
            </w:r>
          </w:p>
        </w:tc>
        <w:tc>
          <w:tcPr>
            <w:tcW w:w="2605" w:type="dxa"/>
            <w:tcBorders>
              <w:bottom w:val="single" w:color="auto" w:sz="4" w:space="0"/>
              <w:tl2br w:val="nil"/>
              <w:tr2bl w:val="nil"/>
            </w:tcBorders>
            <w:noWrap w:val="0"/>
            <w:vAlign w:val="center"/>
          </w:tcPr>
          <w:p w14:paraId="5B67BE73">
            <w:pPr>
              <w:pStyle w:val="5"/>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rPr>
            </w:pPr>
            <w:r>
              <w:rPr>
                <w:rFonts w:hint="default" w:ascii="Times New Roman" w:hAnsi="Times New Roman" w:cs="Times New Roman"/>
              </w:rPr>
              <w:t>《水泥工业大气污染物排放标准》（含2025年修改单）（GB4915-2013）</w:t>
            </w:r>
            <w:r>
              <w:rPr>
                <w:rFonts w:hint="default" w:ascii="Times New Roman" w:hAnsi="Times New Roman" w:cs="Times New Roman"/>
                <w:lang w:eastAsia="zh-CN"/>
              </w:rPr>
              <w:t>中</w:t>
            </w:r>
            <w:r>
              <w:rPr>
                <w:rFonts w:hint="default" w:ascii="Times New Roman" w:hAnsi="Times New Roman" w:cs="Times New Roman"/>
              </w:rPr>
              <w:t>表</w:t>
            </w:r>
            <w:r>
              <w:rPr>
                <w:rFonts w:hint="default" w:ascii="Times New Roman" w:hAnsi="Times New Roman" w:cs="Times New Roman"/>
                <w:lang w:val="en-US" w:eastAsia="zh-CN"/>
              </w:rPr>
              <w:t>3大气污染物无组织排放限值</w:t>
            </w:r>
          </w:p>
        </w:tc>
      </w:tr>
      <w:tr w14:paraId="55904B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62" w:type="dxa"/>
            <w:vMerge w:val="restart"/>
            <w:tcBorders>
              <w:tl2br w:val="nil"/>
              <w:tr2bl w:val="nil"/>
            </w:tcBorders>
            <w:noWrap w:val="0"/>
            <w:vAlign w:val="center"/>
          </w:tcPr>
          <w:p w14:paraId="156E0FEA">
            <w:pPr>
              <w:adjustRightInd w:val="0"/>
              <w:snapToGrid w:val="0"/>
              <w:jc w:val="center"/>
              <w:rPr>
                <w:rFonts w:hint="eastAsia" w:ascii="宋体" w:hAnsi="宋体" w:cs="宋体"/>
                <w:szCs w:val="21"/>
              </w:rPr>
            </w:pPr>
            <w:r>
              <w:rPr>
                <w:rFonts w:hint="eastAsia" w:ascii="宋体" w:hAnsi="宋体" w:cs="宋体"/>
                <w:szCs w:val="21"/>
              </w:rPr>
              <w:t>地表水环境</w:t>
            </w:r>
          </w:p>
        </w:tc>
        <w:tc>
          <w:tcPr>
            <w:tcW w:w="1270" w:type="dxa"/>
            <w:tcBorders>
              <w:tl2br w:val="nil"/>
              <w:tr2bl w:val="nil"/>
            </w:tcBorders>
            <w:noWrap w:val="0"/>
            <w:vAlign w:val="center"/>
          </w:tcPr>
          <w:p w14:paraId="0B17EF2C">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rPr>
            </w:pPr>
            <w:r>
              <w:rPr>
                <w:rFonts w:hint="eastAsia"/>
                <w:lang w:val="en-US" w:eastAsia="zh-CN"/>
              </w:rPr>
              <w:t>生活污水</w:t>
            </w:r>
          </w:p>
        </w:tc>
        <w:tc>
          <w:tcPr>
            <w:tcW w:w="1442" w:type="dxa"/>
            <w:tcBorders>
              <w:tl2br w:val="nil"/>
              <w:tr2bl w:val="nil"/>
            </w:tcBorders>
            <w:noWrap w:val="0"/>
            <w:vAlign w:val="center"/>
          </w:tcPr>
          <w:p w14:paraId="0589C034">
            <w:pPr>
              <w:pStyle w:val="40"/>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lang w:val="en-US" w:eastAsia="zh-CN"/>
              </w:rPr>
              <w:t>COD</w:t>
            </w:r>
            <w:r>
              <w:rPr>
                <w:rFonts w:hint="eastAsia"/>
                <w:lang w:val="en-US" w:eastAsia="zh-CN"/>
              </w:rPr>
              <w:t>、</w:t>
            </w:r>
            <w:r>
              <w:rPr>
                <w:lang w:val="en-US" w:eastAsia="zh-CN"/>
              </w:rPr>
              <w:t>BOD</w:t>
            </w:r>
            <w:r>
              <w:rPr>
                <w:rFonts w:hint="eastAsia"/>
                <w:vertAlign w:val="subscript"/>
                <w:lang w:val="en-US" w:eastAsia="zh-CN"/>
              </w:rPr>
              <w:t>5</w:t>
            </w:r>
            <w:r>
              <w:rPr>
                <w:rFonts w:hint="eastAsia"/>
                <w:lang w:val="en-US" w:eastAsia="zh-CN"/>
              </w:rPr>
              <w:t>、</w:t>
            </w:r>
            <w:r>
              <w:rPr>
                <w:lang w:val="en-US" w:eastAsia="zh-CN"/>
              </w:rPr>
              <w:t>SS</w:t>
            </w:r>
            <w:r>
              <w:rPr>
                <w:rFonts w:hint="eastAsia"/>
                <w:lang w:val="en-US" w:eastAsia="zh-CN"/>
              </w:rPr>
              <w:t>、</w:t>
            </w:r>
            <w:r>
              <w:rPr>
                <w:lang w:val="en-US" w:eastAsia="zh-CN"/>
              </w:rPr>
              <w:t>氨氮</w:t>
            </w:r>
            <w:r>
              <w:rPr>
                <w:rFonts w:hint="eastAsia"/>
                <w:lang w:val="en-US" w:eastAsia="zh-CN"/>
              </w:rPr>
              <w:t>、动植物油</w:t>
            </w:r>
          </w:p>
        </w:tc>
        <w:tc>
          <w:tcPr>
            <w:tcW w:w="2521" w:type="dxa"/>
            <w:tcBorders>
              <w:tl2br w:val="nil"/>
              <w:tr2bl w:val="nil"/>
            </w:tcBorders>
            <w:noWrap w:val="0"/>
            <w:vAlign w:val="center"/>
          </w:tcPr>
          <w:p w14:paraId="429A94D5">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rPr>
            </w:pPr>
            <w:r>
              <w:rPr>
                <w:rFonts w:hint="eastAsia"/>
                <w:lang w:val="en-US" w:eastAsia="zh-CN"/>
              </w:rPr>
              <w:t>拉运至若羌县城镇污水处理厂进行集中处理。</w:t>
            </w:r>
          </w:p>
        </w:tc>
        <w:tc>
          <w:tcPr>
            <w:tcW w:w="2605" w:type="dxa"/>
            <w:tcBorders>
              <w:tl2br w:val="nil"/>
              <w:tr2bl w:val="nil"/>
            </w:tcBorders>
            <w:noWrap w:val="0"/>
            <w:vAlign w:val="center"/>
          </w:tcPr>
          <w:p w14:paraId="64E85FB4">
            <w:pPr>
              <w:pStyle w:val="40"/>
              <w:keepNext w:val="0"/>
              <w:keepLines w:val="0"/>
              <w:pageBreakBefore w:val="0"/>
              <w:widowControl w:val="0"/>
              <w:kinsoku/>
              <w:wordWrap w:val="0"/>
              <w:overflowPunct/>
              <w:topLinePunct w:val="0"/>
              <w:autoSpaceDE/>
              <w:autoSpaceDN/>
              <w:bidi w:val="0"/>
              <w:adjustRightInd/>
              <w:snapToGrid/>
              <w:jc w:val="center"/>
              <w:textAlignment w:val="auto"/>
              <w:rPr>
                <w:rFonts w:hint="eastAsia"/>
              </w:rPr>
            </w:pPr>
            <w:r>
              <w:rPr>
                <w:rFonts w:hint="default"/>
              </w:rPr>
              <w:t>《污水综合排放标准》（GB8978-1996）三级</w:t>
            </w:r>
          </w:p>
        </w:tc>
      </w:tr>
      <w:tr w14:paraId="4F5D97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62" w:type="dxa"/>
            <w:vMerge w:val="continue"/>
            <w:tcBorders>
              <w:tl2br w:val="nil"/>
              <w:tr2bl w:val="nil"/>
            </w:tcBorders>
            <w:noWrap w:val="0"/>
            <w:vAlign w:val="center"/>
          </w:tcPr>
          <w:p w14:paraId="1AAB9D15">
            <w:pPr>
              <w:adjustRightInd w:val="0"/>
              <w:snapToGrid w:val="0"/>
              <w:jc w:val="center"/>
              <w:rPr>
                <w:rFonts w:hint="eastAsia" w:ascii="宋体" w:hAnsi="宋体" w:cs="宋体"/>
                <w:szCs w:val="21"/>
              </w:rPr>
            </w:pPr>
          </w:p>
        </w:tc>
        <w:tc>
          <w:tcPr>
            <w:tcW w:w="1270" w:type="dxa"/>
            <w:tcBorders>
              <w:tl2br w:val="nil"/>
              <w:tr2bl w:val="nil"/>
            </w:tcBorders>
            <w:noWrap w:val="0"/>
            <w:vAlign w:val="center"/>
          </w:tcPr>
          <w:p w14:paraId="1B4357E7">
            <w:pPr>
              <w:pStyle w:val="40"/>
              <w:bidi w:val="0"/>
              <w:rPr>
                <w:rFonts w:hint="eastAsia"/>
              </w:rPr>
            </w:pPr>
            <w:r>
              <w:rPr>
                <w:rFonts w:hint="eastAsia"/>
                <w:lang w:val="en-US" w:eastAsia="zh-CN"/>
              </w:rPr>
              <w:t>生产废水</w:t>
            </w:r>
          </w:p>
        </w:tc>
        <w:tc>
          <w:tcPr>
            <w:tcW w:w="3963" w:type="dxa"/>
            <w:gridSpan w:val="2"/>
            <w:tcBorders>
              <w:tl2br w:val="nil"/>
              <w:tr2bl w:val="nil"/>
            </w:tcBorders>
            <w:noWrap w:val="0"/>
            <w:vAlign w:val="center"/>
          </w:tcPr>
          <w:p w14:paraId="37006F2C">
            <w:pPr>
              <w:pStyle w:val="40"/>
              <w:bidi w:val="0"/>
              <w:rPr>
                <w:rFonts w:hint="eastAsia"/>
              </w:rPr>
            </w:pPr>
            <w:r>
              <w:rPr>
                <w:rFonts w:hint="eastAsia"/>
                <w:lang w:val="en-US" w:eastAsia="zh-CN"/>
              </w:rPr>
              <w:t>设备清洗废水和模具清洗废水回用于产品；切割废水经沉淀后，循环利用</w:t>
            </w:r>
          </w:p>
        </w:tc>
        <w:tc>
          <w:tcPr>
            <w:tcW w:w="2605" w:type="dxa"/>
            <w:tcBorders>
              <w:tl2br w:val="nil"/>
              <w:tr2bl w:val="nil"/>
            </w:tcBorders>
            <w:noWrap w:val="0"/>
            <w:vAlign w:val="center"/>
          </w:tcPr>
          <w:p w14:paraId="1E743A3C">
            <w:pPr>
              <w:pStyle w:val="40"/>
              <w:bidi w:val="0"/>
              <w:rPr>
                <w:rFonts w:hint="eastAsia"/>
              </w:rPr>
            </w:pPr>
            <w:r>
              <w:rPr>
                <w:rFonts w:hint="default"/>
                <w:lang w:val="en-US" w:eastAsia="zh-CN"/>
              </w:rPr>
              <w:t>/</w:t>
            </w:r>
          </w:p>
        </w:tc>
      </w:tr>
      <w:tr w14:paraId="13B2D7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62" w:type="dxa"/>
            <w:tcBorders>
              <w:tl2br w:val="nil"/>
              <w:tr2bl w:val="nil"/>
            </w:tcBorders>
            <w:noWrap w:val="0"/>
            <w:vAlign w:val="center"/>
          </w:tcPr>
          <w:p w14:paraId="4EA403A7">
            <w:pPr>
              <w:adjustRightInd w:val="0"/>
              <w:snapToGrid w:val="0"/>
              <w:jc w:val="center"/>
              <w:rPr>
                <w:rFonts w:hint="eastAsia" w:ascii="宋体" w:hAnsi="宋体" w:cs="宋体"/>
                <w:szCs w:val="21"/>
              </w:rPr>
            </w:pPr>
            <w:r>
              <w:rPr>
                <w:rFonts w:hint="eastAsia" w:ascii="宋体" w:hAnsi="宋体" w:cs="宋体"/>
                <w:szCs w:val="21"/>
              </w:rPr>
              <w:t>声环境</w:t>
            </w:r>
          </w:p>
        </w:tc>
        <w:tc>
          <w:tcPr>
            <w:tcW w:w="1270" w:type="dxa"/>
            <w:tcBorders>
              <w:tl2br w:val="nil"/>
              <w:tr2bl w:val="nil"/>
            </w:tcBorders>
            <w:noWrap w:val="0"/>
            <w:vAlign w:val="center"/>
          </w:tcPr>
          <w:p w14:paraId="3CFD9B73">
            <w:pPr>
              <w:pStyle w:val="40"/>
              <w:bidi w:val="0"/>
              <w:rPr>
                <w:rFonts w:hint="eastAsia"/>
              </w:rPr>
            </w:pPr>
            <w:r>
              <w:rPr>
                <w:rFonts w:hint="default"/>
              </w:rPr>
              <w:t>生产设备</w:t>
            </w:r>
          </w:p>
        </w:tc>
        <w:tc>
          <w:tcPr>
            <w:tcW w:w="1442" w:type="dxa"/>
            <w:tcBorders>
              <w:tl2br w:val="nil"/>
              <w:tr2bl w:val="nil"/>
            </w:tcBorders>
            <w:noWrap w:val="0"/>
            <w:vAlign w:val="center"/>
          </w:tcPr>
          <w:p w14:paraId="76CBA46A">
            <w:pPr>
              <w:pStyle w:val="40"/>
              <w:bidi w:val="0"/>
              <w:rPr>
                <w:rFonts w:hint="eastAsia"/>
              </w:rPr>
            </w:pPr>
            <w:r>
              <w:rPr>
                <w:rFonts w:hint="default"/>
              </w:rPr>
              <w:t>生产设备运行噪声</w:t>
            </w:r>
          </w:p>
        </w:tc>
        <w:tc>
          <w:tcPr>
            <w:tcW w:w="2521" w:type="dxa"/>
            <w:tcBorders>
              <w:tl2br w:val="nil"/>
              <w:tr2bl w:val="nil"/>
            </w:tcBorders>
            <w:noWrap w:val="0"/>
            <w:vAlign w:val="center"/>
          </w:tcPr>
          <w:p w14:paraId="404E89D3">
            <w:pPr>
              <w:pStyle w:val="40"/>
              <w:bidi w:val="0"/>
              <w:rPr>
                <w:rFonts w:hint="eastAsia"/>
              </w:rPr>
            </w:pPr>
            <w:r>
              <w:rPr>
                <w:rFonts w:hint="default"/>
              </w:rPr>
              <w:t>对各类主要噪声源采用低噪声源设备、并采取减振、隔声等措施</w:t>
            </w:r>
          </w:p>
        </w:tc>
        <w:tc>
          <w:tcPr>
            <w:tcW w:w="2605" w:type="dxa"/>
            <w:tcBorders>
              <w:tl2br w:val="nil"/>
              <w:tr2bl w:val="nil"/>
            </w:tcBorders>
            <w:noWrap w:val="0"/>
            <w:vAlign w:val="center"/>
          </w:tcPr>
          <w:p w14:paraId="77040A25">
            <w:pPr>
              <w:pStyle w:val="40"/>
              <w:bidi w:val="0"/>
              <w:rPr>
                <w:rFonts w:hint="eastAsia"/>
              </w:rPr>
            </w:pPr>
            <w:r>
              <w:rPr>
                <w:rFonts w:hint="default"/>
              </w:rPr>
              <w:t>《工业企业厂界环境噪声排放标准》（GB12348-2008）3类标准</w:t>
            </w:r>
          </w:p>
        </w:tc>
      </w:tr>
      <w:tr w14:paraId="163E66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62" w:type="dxa"/>
            <w:tcBorders>
              <w:tl2br w:val="nil"/>
              <w:tr2bl w:val="nil"/>
            </w:tcBorders>
            <w:noWrap w:val="0"/>
            <w:vAlign w:val="center"/>
          </w:tcPr>
          <w:p w14:paraId="483402C6">
            <w:pPr>
              <w:adjustRightInd w:val="0"/>
              <w:snapToGrid w:val="0"/>
              <w:jc w:val="center"/>
              <w:rPr>
                <w:rFonts w:hint="eastAsia" w:ascii="宋体" w:hAnsi="宋体" w:cs="宋体"/>
                <w:szCs w:val="21"/>
              </w:rPr>
            </w:pPr>
            <w:r>
              <w:rPr>
                <w:rFonts w:hint="eastAsia" w:ascii="宋体" w:hAnsi="宋体" w:cs="宋体"/>
                <w:szCs w:val="21"/>
              </w:rPr>
              <w:t>电磁辐射</w:t>
            </w:r>
          </w:p>
        </w:tc>
        <w:tc>
          <w:tcPr>
            <w:tcW w:w="7838" w:type="dxa"/>
            <w:gridSpan w:val="4"/>
            <w:tcBorders>
              <w:tl2br w:val="nil"/>
              <w:tr2bl w:val="nil"/>
            </w:tcBorders>
            <w:noWrap w:val="0"/>
            <w:vAlign w:val="center"/>
          </w:tcPr>
          <w:p w14:paraId="0B9DE50E">
            <w:pPr>
              <w:pStyle w:val="40"/>
              <w:bidi w:val="0"/>
              <w:rPr>
                <w:rFonts w:hint="eastAsia"/>
                <w:lang w:val="en-US" w:eastAsia="zh-CN"/>
              </w:rPr>
            </w:pPr>
            <w:r>
              <w:rPr>
                <w:rFonts w:hint="eastAsia"/>
                <w:lang w:val="en-US" w:eastAsia="zh-CN"/>
              </w:rPr>
              <w:t>/</w:t>
            </w:r>
          </w:p>
        </w:tc>
      </w:tr>
      <w:tr w14:paraId="278623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0" w:hRule="atLeast"/>
          <w:jc w:val="center"/>
        </w:trPr>
        <w:tc>
          <w:tcPr>
            <w:tcW w:w="962" w:type="dxa"/>
            <w:vMerge w:val="restart"/>
            <w:tcBorders>
              <w:tl2br w:val="nil"/>
              <w:tr2bl w:val="nil"/>
            </w:tcBorders>
            <w:noWrap w:val="0"/>
            <w:vAlign w:val="center"/>
          </w:tcPr>
          <w:p w14:paraId="0E4FC1E5">
            <w:pPr>
              <w:adjustRightInd w:val="0"/>
              <w:snapToGrid w:val="0"/>
              <w:jc w:val="center"/>
              <w:rPr>
                <w:rFonts w:hint="eastAsia" w:ascii="宋体" w:hAnsi="宋体" w:cs="宋体"/>
                <w:szCs w:val="21"/>
              </w:rPr>
            </w:pPr>
            <w:r>
              <w:rPr>
                <w:rFonts w:hint="eastAsia" w:ascii="宋体" w:hAnsi="宋体" w:cs="宋体"/>
                <w:szCs w:val="21"/>
              </w:rPr>
              <w:t>固体废物</w:t>
            </w:r>
          </w:p>
        </w:tc>
        <w:tc>
          <w:tcPr>
            <w:tcW w:w="1270" w:type="dxa"/>
            <w:tcBorders>
              <w:tl2br w:val="nil"/>
              <w:tr2bl w:val="nil"/>
            </w:tcBorders>
            <w:noWrap w:val="0"/>
            <w:vAlign w:val="center"/>
          </w:tcPr>
          <w:p w14:paraId="36F50F36">
            <w:pPr>
              <w:pStyle w:val="40"/>
              <w:bidi w:val="0"/>
              <w:rPr>
                <w:rFonts w:hint="eastAsia"/>
              </w:rPr>
            </w:pPr>
            <w:r>
              <w:rPr>
                <w:rFonts w:hint="default"/>
                <w:lang w:val="en-US" w:eastAsia="zh-CN"/>
              </w:rPr>
              <w:t>一般固废</w:t>
            </w:r>
          </w:p>
        </w:tc>
        <w:tc>
          <w:tcPr>
            <w:tcW w:w="3963" w:type="dxa"/>
            <w:gridSpan w:val="2"/>
            <w:tcBorders>
              <w:tl2br w:val="nil"/>
              <w:tr2bl w:val="nil"/>
            </w:tcBorders>
            <w:noWrap w:val="0"/>
            <w:vAlign w:val="center"/>
          </w:tcPr>
          <w:p w14:paraId="6DA1D040">
            <w:pPr>
              <w:pStyle w:val="40"/>
              <w:bidi w:val="0"/>
              <w:rPr>
                <w:rFonts w:hint="eastAsia"/>
              </w:rPr>
            </w:pPr>
            <w:r>
              <w:rPr>
                <w:rFonts w:hint="eastAsia"/>
              </w:rPr>
              <w:t>除尘</w:t>
            </w:r>
            <w:r>
              <w:rPr>
                <w:rFonts w:hint="eastAsia"/>
                <w:lang w:val="en-US" w:eastAsia="zh-CN"/>
              </w:rPr>
              <w:t>灰和沉淀池沉渣</w:t>
            </w:r>
            <w:r>
              <w:rPr>
                <w:rFonts w:hint="eastAsia"/>
              </w:rPr>
              <w:t>回用于生产，</w:t>
            </w:r>
            <w:r>
              <w:rPr>
                <w:rFonts w:hint="eastAsia"/>
                <w:lang w:val="en-US" w:eastAsia="zh-CN"/>
              </w:rPr>
              <w:t>废钢筋收集外售，废包装袋、</w:t>
            </w:r>
            <w:r>
              <w:rPr>
                <w:rFonts w:hint="eastAsia"/>
              </w:rPr>
              <w:t>边角料及不合格产品</w:t>
            </w:r>
            <w:r>
              <w:rPr>
                <w:rFonts w:hint="eastAsia"/>
                <w:lang w:val="en-US" w:eastAsia="zh-CN"/>
              </w:rPr>
              <w:t>收集后外售综合利用</w:t>
            </w:r>
            <w:r>
              <w:rPr>
                <w:rFonts w:hint="eastAsia"/>
                <w:lang w:eastAsia="zh-CN"/>
              </w:rPr>
              <w:t>，</w:t>
            </w:r>
            <w:r>
              <w:rPr>
                <w:rFonts w:hint="eastAsia"/>
                <w:lang w:val="en-US" w:eastAsia="zh-CN"/>
              </w:rPr>
              <w:t>废布袋定期由设备厂家进行回收处理</w:t>
            </w:r>
          </w:p>
        </w:tc>
        <w:tc>
          <w:tcPr>
            <w:tcW w:w="2605" w:type="dxa"/>
            <w:tcBorders>
              <w:tl2br w:val="nil"/>
              <w:tr2bl w:val="nil"/>
            </w:tcBorders>
            <w:noWrap w:val="0"/>
            <w:vAlign w:val="center"/>
          </w:tcPr>
          <w:p w14:paraId="4711AC05">
            <w:pPr>
              <w:pStyle w:val="40"/>
              <w:bidi w:val="0"/>
              <w:rPr>
                <w:rFonts w:hint="default"/>
                <w:lang w:val="en-US" w:eastAsia="zh-CN"/>
              </w:rPr>
            </w:pPr>
            <w:r>
              <w:rPr>
                <w:rFonts w:hint="eastAsia"/>
                <w:lang w:val="en-US" w:eastAsia="zh-CN"/>
              </w:rPr>
              <w:t>/</w:t>
            </w:r>
          </w:p>
        </w:tc>
      </w:tr>
      <w:tr w14:paraId="2606AE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7" w:hRule="atLeast"/>
          <w:jc w:val="center"/>
        </w:trPr>
        <w:tc>
          <w:tcPr>
            <w:tcW w:w="962" w:type="dxa"/>
            <w:vMerge w:val="continue"/>
            <w:tcBorders>
              <w:tl2br w:val="nil"/>
              <w:tr2bl w:val="nil"/>
            </w:tcBorders>
            <w:noWrap w:val="0"/>
            <w:vAlign w:val="center"/>
          </w:tcPr>
          <w:p w14:paraId="590E0424">
            <w:pPr>
              <w:adjustRightInd w:val="0"/>
              <w:snapToGrid w:val="0"/>
              <w:jc w:val="center"/>
              <w:rPr>
                <w:rFonts w:hint="eastAsia" w:ascii="宋体" w:hAnsi="宋体" w:cs="宋体"/>
                <w:szCs w:val="21"/>
              </w:rPr>
            </w:pPr>
          </w:p>
        </w:tc>
        <w:tc>
          <w:tcPr>
            <w:tcW w:w="1270" w:type="dxa"/>
            <w:tcBorders>
              <w:tl2br w:val="nil"/>
              <w:tr2bl w:val="nil"/>
            </w:tcBorders>
            <w:noWrap w:val="0"/>
            <w:vAlign w:val="center"/>
          </w:tcPr>
          <w:p w14:paraId="5BEB689E">
            <w:pPr>
              <w:pStyle w:val="40"/>
              <w:bidi w:val="0"/>
              <w:rPr>
                <w:rFonts w:hint="eastAsia"/>
              </w:rPr>
            </w:pPr>
            <w:r>
              <w:rPr>
                <w:rFonts w:hint="eastAsia"/>
                <w:lang w:val="en-US" w:eastAsia="zh-CN"/>
              </w:rPr>
              <w:t>危险废物</w:t>
            </w:r>
          </w:p>
        </w:tc>
        <w:tc>
          <w:tcPr>
            <w:tcW w:w="3963" w:type="dxa"/>
            <w:gridSpan w:val="2"/>
            <w:tcBorders>
              <w:tl2br w:val="nil"/>
              <w:tr2bl w:val="nil"/>
            </w:tcBorders>
            <w:noWrap w:val="0"/>
            <w:vAlign w:val="center"/>
          </w:tcPr>
          <w:p w14:paraId="5D076FF9">
            <w:pPr>
              <w:pStyle w:val="40"/>
              <w:bidi w:val="0"/>
              <w:rPr>
                <w:rFonts w:hint="eastAsia"/>
              </w:rPr>
            </w:pPr>
            <w:r>
              <w:rPr>
                <w:rFonts w:hint="eastAsia"/>
                <w:lang w:val="en-US" w:eastAsia="zh-CN"/>
              </w:rPr>
              <w:t>废润滑油、废润滑油桶暂存于危废贮存点，定期交由有资质单位进行无害化处置</w:t>
            </w:r>
          </w:p>
        </w:tc>
        <w:tc>
          <w:tcPr>
            <w:tcW w:w="2605" w:type="dxa"/>
            <w:tcBorders>
              <w:tl2br w:val="nil"/>
              <w:tr2bl w:val="nil"/>
            </w:tcBorders>
            <w:noWrap w:val="0"/>
            <w:vAlign w:val="center"/>
          </w:tcPr>
          <w:p w14:paraId="51404C75">
            <w:pPr>
              <w:pStyle w:val="40"/>
              <w:bidi w:val="0"/>
              <w:rPr>
                <w:rFonts w:hint="eastAsia"/>
              </w:rPr>
            </w:pPr>
            <w:r>
              <w:rPr>
                <w:rFonts w:hint="eastAsia"/>
                <w:lang w:val="en-US" w:eastAsia="zh-CN"/>
              </w:rPr>
              <w:t>《危险废物贮存污染控制标准》（GB18597—2023）</w:t>
            </w:r>
          </w:p>
        </w:tc>
      </w:tr>
      <w:tr w14:paraId="6503D3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962" w:type="dxa"/>
            <w:vMerge w:val="continue"/>
            <w:tcBorders>
              <w:tl2br w:val="nil"/>
              <w:tr2bl w:val="nil"/>
            </w:tcBorders>
            <w:noWrap w:val="0"/>
            <w:vAlign w:val="center"/>
          </w:tcPr>
          <w:p w14:paraId="249FF673">
            <w:pPr>
              <w:adjustRightInd w:val="0"/>
              <w:snapToGrid w:val="0"/>
              <w:jc w:val="center"/>
              <w:rPr>
                <w:rFonts w:hint="eastAsia" w:ascii="宋体" w:hAnsi="宋体" w:cs="宋体"/>
                <w:szCs w:val="21"/>
              </w:rPr>
            </w:pPr>
          </w:p>
        </w:tc>
        <w:tc>
          <w:tcPr>
            <w:tcW w:w="1270" w:type="dxa"/>
            <w:tcBorders>
              <w:tl2br w:val="nil"/>
              <w:tr2bl w:val="nil"/>
            </w:tcBorders>
            <w:noWrap w:val="0"/>
            <w:vAlign w:val="center"/>
          </w:tcPr>
          <w:p w14:paraId="24FADC70">
            <w:pPr>
              <w:pStyle w:val="40"/>
              <w:bidi w:val="0"/>
              <w:rPr>
                <w:rFonts w:hint="eastAsia"/>
              </w:rPr>
            </w:pPr>
            <w:r>
              <w:rPr>
                <w:rFonts w:hint="default"/>
                <w:lang w:val="en-US" w:eastAsia="zh-CN"/>
              </w:rPr>
              <w:t>生活垃圾</w:t>
            </w:r>
          </w:p>
        </w:tc>
        <w:tc>
          <w:tcPr>
            <w:tcW w:w="1442" w:type="dxa"/>
            <w:tcBorders>
              <w:tl2br w:val="nil"/>
              <w:tr2bl w:val="nil"/>
            </w:tcBorders>
            <w:noWrap w:val="0"/>
            <w:vAlign w:val="center"/>
          </w:tcPr>
          <w:p w14:paraId="316F9B20">
            <w:pPr>
              <w:pStyle w:val="40"/>
              <w:bidi w:val="0"/>
              <w:rPr>
                <w:rFonts w:hint="eastAsia"/>
              </w:rPr>
            </w:pPr>
            <w:r>
              <w:rPr>
                <w:rFonts w:hint="default"/>
                <w:lang w:val="en-US" w:eastAsia="zh-CN"/>
              </w:rPr>
              <w:t>生活垃圾</w:t>
            </w:r>
          </w:p>
        </w:tc>
        <w:tc>
          <w:tcPr>
            <w:tcW w:w="2521" w:type="dxa"/>
            <w:tcBorders>
              <w:tl2br w:val="nil"/>
              <w:tr2bl w:val="nil"/>
            </w:tcBorders>
            <w:noWrap w:val="0"/>
            <w:vAlign w:val="center"/>
          </w:tcPr>
          <w:p w14:paraId="021169A6">
            <w:pPr>
              <w:pStyle w:val="40"/>
              <w:bidi w:val="0"/>
              <w:rPr>
                <w:rFonts w:hint="eastAsia"/>
              </w:rPr>
            </w:pPr>
            <w:r>
              <w:rPr>
                <w:rFonts w:hint="default"/>
                <w:lang w:val="en-US" w:eastAsia="zh-CN"/>
              </w:rPr>
              <w:t>交环卫部门定时清运处理</w:t>
            </w:r>
          </w:p>
        </w:tc>
        <w:tc>
          <w:tcPr>
            <w:tcW w:w="2605" w:type="dxa"/>
            <w:tcBorders>
              <w:tl2br w:val="nil"/>
              <w:tr2bl w:val="nil"/>
            </w:tcBorders>
            <w:noWrap w:val="0"/>
            <w:vAlign w:val="center"/>
          </w:tcPr>
          <w:p w14:paraId="05276308">
            <w:pPr>
              <w:pStyle w:val="40"/>
              <w:bidi w:val="0"/>
              <w:rPr>
                <w:rFonts w:hint="eastAsia"/>
                <w:lang w:val="en-US" w:eastAsia="zh-CN"/>
              </w:rPr>
            </w:pPr>
            <w:r>
              <w:rPr>
                <w:rFonts w:hint="eastAsia"/>
                <w:lang w:val="en-US" w:eastAsia="zh-CN"/>
              </w:rPr>
              <w:t>/</w:t>
            </w:r>
          </w:p>
        </w:tc>
      </w:tr>
      <w:tr w14:paraId="672B7C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76" w:hRule="atLeast"/>
          <w:jc w:val="center"/>
        </w:trPr>
        <w:tc>
          <w:tcPr>
            <w:tcW w:w="962" w:type="dxa"/>
            <w:tcBorders>
              <w:tl2br w:val="nil"/>
              <w:tr2bl w:val="nil"/>
            </w:tcBorders>
            <w:noWrap w:val="0"/>
            <w:vAlign w:val="center"/>
          </w:tcPr>
          <w:p w14:paraId="268513E1">
            <w:pPr>
              <w:adjustRightInd w:val="0"/>
              <w:snapToGrid w:val="0"/>
              <w:jc w:val="center"/>
              <w:rPr>
                <w:rFonts w:hint="eastAsia" w:ascii="宋体" w:hAnsi="宋体" w:cs="宋体"/>
                <w:szCs w:val="21"/>
              </w:rPr>
            </w:pPr>
            <w:r>
              <w:rPr>
                <w:rFonts w:hint="eastAsia" w:ascii="宋体" w:hAnsi="宋体" w:cs="宋体"/>
                <w:szCs w:val="21"/>
              </w:rPr>
              <w:t>土壤及地下水</w:t>
            </w:r>
          </w:p>
          <w:p w14:paraId="3B31CBFA">
            <w:pPr>
              <w:adjustRightInd w:val="0"/>
              <w:snapToGrid w:val="0"/>
              <w:jc w:val="center"/>
              <w:rPr>
                <w:rFonts w:hint="eastAsia" w:ascii="宋体" w:hAnsi="宋体" w:cs="宋体"/>
                <w:szCs w:val="21"/>
              </w:rPr>
            </w:pPr>
            <w:r>
              <w:rPr>
                <w:rFonts w:hint="eastAsia" w:ascii="宋体" w:hAnsi="宋体" w:cs="宋体"/>
                <w:szCs w:val="21"/>
              </w:rPr>
              <w:t>污染防治措施</w:t>
            </w:r>
          </w:p>
        </w:tc>
        <w:tc>
          <w:tcPr>
            <w:tcW w:w="7838" w:type="dxa"/>
            <w:gridSpan w:val="4"/>
            <w:tcBorders>
              <w:tl2br w:val="nil"/>
              <w:tr2bl w:val="nil"/>
            </w:tcBorders>
            <w:noWrap w:val="0"/>
            <w:vAlign w:val="center"/>
          </w:tcPr>
          <w:p w14:paraId="17DF213A">
            <w:pPr>
              <w:pStyle w:val="8"/>
              <w:bidi w:val="0"/>
              <w:rPr>
                <w:rFonts w:hint="eastAsia"/>
              </w:rPr>
            </w:pPr>
            <w:r>
              <w:rPr>
                <w:rFonts w:hint="eastAsia"/>
              </w:rPr>
              <w:t>分区防控，生产车间</w:t>
            </w:r>
            <w:r>
              <w:rPr>
                <w:rFonts w:hint="eastAsia"/>
                <w:lang w:val="en-US" w:eastAsia="zh-CN"/>
              </w:rPr>
              <w:t>为</w:t>
            </w:r>
            <w:r>
              <w:rPr>
                <w:rFonts w:hint="eastAsia"/>
              </w:rPr>
              <w:t>一般防渗区</w:t>
            </w:r>
            <w:r>
              <w:rPr>
                <w:rFonts w:hint="eastAsia"/>
                <w:lang w:eastAsia="zh-CN"/>
              </w:rPr>
              <w:t>；</w:t>
            </w:r>
            <w:r>
              <w:rPr>
                <w:rFonts w:hint="eastAsia"/>
                <w:lang w:val="en-US" w:eastAsia="zh-CN"/>
              </w:rPr>
              <w:t>危废贮存点</w:t>
            </w:r>
            <w:r>
              <w:rPr>
                <w:rFonts w:hint="eastAsia"/>
              </w:rPr>
              <w:t>为重点防渗区</w:t>
            </w:r>
            <w:r>
              <w:rPr>
                <w:rFonts w:hint="eastAsia"/>
                <w:lang w:eastAsia="zh-CN"/>
              </w:rPr>
              <w:t>；</w:t>
            </w:r>
            <w:r>
              <w:rPr>
                <w:rFonts w:hint="eastAsia"/>
              </w:rPr>
              <w:t>办公室、厂区道路为简单防渗</w:t>
            </w:r>
            <w:r>
              <w:rPr>
                <w:rFonts w:hint="eastAsia"/>
                <w:lang w:eastAsia="zh-CN"/>
              </w:rPr>
              <w:t>；</w:t>
            </w:r>
            <w:r>
              <w:rPr>
                <w:rFonts w:hint="eastAsia"/>
              </w:rPr>
              <w:t>满足相关防渗要求后，本项目对周边土壤环境、地下水环境影响较小。</w:t>
            </w:r>
          </w:p>
        </w:tc>
      </w:tr>
      <w:tr w14:paraId="62A03C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962" w:type="dxa"/>
            <w:tcBorders>
              <w:tl2br w:val="nil"/>
              <w:tr2bl w:val="nil"/>
            </w:tcBorders>
            <w:noWrap w:val="0"/>
            <w:vAlign w:val="center"/>
          </w:tcPr>
          <w:p w14:paraId="38EA4689">
            <w:pPr>
              <w:adjustRightInd w:val="0"/>
              <w:snapToGrid w:val="0"/>
              <w:jc w:val="center"/>
              <w:rPr>
                <w:rFonts w:hint="eastAsia" w:ascii="宋体" w:hAnsi="宋体" w:cs="宋体"/>
                <w:szCs w:val="21"/>
              </w:rPr>
            </w:pPr>
            <w:r>
              <w:rPr>
                <w:rFonts w:hint="eastAsia" w:ascii="宋体" w:hAnsi="宋体" w:cs="宋体"/>
                <w:szCs w:val="21"/>
              </w:rPr>
              <w:t>生态保护措施</w:t>
            </w:r>
          </w:p>
        </w:tc>
        <w:tc>
          <w:tcPr>
            <w:tcW w:w="7838" w:type="dxa"/>
            <w:gridSpan w:val="4"/>
            <w:tcBorders>
              <w:tl2br w:val="nil"/>
              <w:tr2bl w:val="nil"/>
            </w:tcBorders>
            <w:noWrap w:val="0"/>
            <w:vAlign w:val="center"/>
          </w:tcPr>
          <w:p w14:paraId="6B330D27">
            <w:pPr>
              <w:pStyle w:val="8"/>
              <w:bidi w:val="0"/>
              <w:jc w:val="center"/>
              <w:rPr>
                <w:rFonts w:hint="eastAsia"/>
              </w:rPr>
            </w:pPr>
            <w:r>
              <w:rPr>
                <w:rFonts w:hint="eastAsia"/>
                <w:lang w:val="en-US" w:eastAsia="zh-CN"/>
              </w:rPr>
              <w:t>/</w:t>
            </w:r>
          </w:p>
        </w:tc>
      </w:tr>
      <w:tr w14:paraId="17093F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76" w:hRule="atLeast"/>
          <w:jc w:val="center"/>
        </w:trPr>
        <w:tc>
          <w:tcPr>
            <w:tcW w:w="962" w:type="dxa"/>
            <w:tcBorders>
              <w:tl2br w:val="nil"/>
              <w:tr2bl w:val="nil"/>
            </w:tcBorders>
            <w:noWrap w:val="0"/>
            <w:vAlign w:val="center"/>
          </w:tcPr>
          <w:p w14:paraId="779151BC">
            <w:pPr>
              <w:adjustRightInd w:val="0"/>
              <w:snapToGrid w:val="0"/>
              <w:jc w:val="center"/>
              <w:rPr>
                <w:rFonts w:hint="eastAsia" w:ascii="宋体" w:hAnsi="宋体" w:cs="宋体"/>
                <w:spacing w:val="-8"/>
                <w:szCs w:val="21"/>
              </w:rPr>
            </w:pPr>
            <w:r>
              <w:rPr>
                <w:rFonts w:hint="eastAsia" w:ascii="宋体" w:hAnsi="宋体" w:cs="宋体"/>
                <w:spacing w:val="-8"/>
                <w:szCs w:val="21"/>
              </w:rPr>
              <w:t>环境风险防范措施</w:t>
            </w:r>
          </w:p>
        </w:tc>
        <w:tc>
          <w:tcPr>
            <w:tcW w:w="7838" w:type="dxa"/>
            <w:gridSpan w:val="4"/>
            <w:tcBorders>
              <w:tl2br w:val="nil"/>
              <w:tr2bl w:val="nil"/>
            </w:tcBorders>
            <w:noWrap w:val="0"/>
            <w:vAlign w:val="center"/>
          </w:tcPr>
          <w:p w14:paraId="20B1E221">
            <w:pPr>
              <w:pStyle w:val="8"/>
              <w:bidi w:val="0"/>
              <w:rPr>
                <w:rFonts w:hint="eastAsia"/>
              </w:rPr>
            </w:pPr>
            <w:r>
              <w:rPr>
                <w:rFonts w:hint="eastAsia"/>
              </w:rPr>
              <w:t>为减少项目事故对周边环境的影响，本次评价建议单位做好如下防范措施：</w:t>
            </w:r>
          </w:p>
          <w:p w14:paraId="476BA595">
            <w:pPr>
              <w:pStyle w:val="8"/>
              <w:bidi w:val="0"/>
              <w:rPr>
                <w:rFonts w:hint="eastAsia"/>
              </w:rPr>
            </w:pPr>
            <w:r>
              <w:rPr>
                <w:rFonts w:hint="eastAsia"/>
              </w:rPr>
              <w:t>（1）成立专门的责任机构，保证事故发生时组织相关力量及时控制事故的危害，在第一时间，有序有效地控制事故污染，把事故危害减小到</w:t>
            </w:r>
            <w:r>
              <w:rPr>
                <w:rFonts w:hint="eastAsia"/>
                <w:lang w:eastAsia="zh-CN"/>
              </w:rPr>
              <w:t>最小</w:t>
            </w:r>
            <w:r>
              <w:rPr>
                <w:rFonts w:hint="eastAsia"/>
              </w:rPr>
              <w:t>。</w:t>
            </w:r>
          </w:p>
          <w:p w14:paraId="11485054">
            <w:pPr>
              <w:pStyle w:val="8"/>
              <w:bidi w:val="0"/>
              <w:rPr>
                <w:rFonts w:hint="eastAsia"/>
              </w:rPr>
            </w:pPr>
            <w:r>
              <w:rPr>
                <w:rFonts w:hint="eastAsia"/>
              </w:rPr>
              <w:t>（2）健全各项制度，强化安全管理意识，加强用电设备及线路的检修和管理。</w:t>
            </w:r>
          </w:p>
          <w:p w14:paraId="403D9524">
            <w:pPr>
              <w:pStyle w:val="8"/>
              <w:bidi w:val="0"/>
              <w:rPr>
                <w:rFonts w:hint="eastAsia"/>
              </w:rPr>
            </w:pPr>
            <w:r>
              <w:rPr>
                <w:rFonts w:hint="eastAsia"/>
              </w:rPr>
              <w:t>（3）严格按照消防安全部门要求，配置消防设施。</w:t>
            </w:r>
          </w:p>
          <w:p w14:paraId="4787AE71">
            <w:pPr>
              <w:pStyle w:val="8"/>
              <w:bidi w:val="0"/>
              <w:rPr>
                <w:rFonts w:hint="eastAsia"/>
              </w:rPr>
            </w:pPr>
            <w:r>
              <w:rPr>
                <w:rFonts w:hint="eastAsia"/>
              </w:rPr>
              <w:t>（4）油类物质等易燃易爆物品存储远离火源。</w:t>
            </w:r>
          </w:p>
          <w:p w14:paraId="67A6B365">
            <w:pPr>
              <w:pStyle w:val="8"/>
              <w:bidi w:val="0"/>
              <w:rPr>
                <w:rFonts w:hint="eastAsia"/>
              </w:rPr>
            </w:pPr>
            <w:r>
              <w:rPr>
                <w:rFonts w:hint="eastAsia"/>
              </w:rPr>
              <w:t>（5）制定环保设备运行维护制度，并派专人进行管理，定期对环保设备进行点检维护。</w:t>
            </w:r>
          </w:p>
          <w:p w14:paraId="4A0E2E2A">
            <w:pPr>
              <w:pStyle w:val="8"/>
              <w:bidi w:val="0"/>
              <w:rPr>
                <w:rFonts w:hint="eastAsia"/>
              </w:rPr>
            </w:pPr>
            <w:r>
              <w:rPr>
                <w:rFonts w:hint="eastAsia"/>
              </w:rPr>
              <w:t>（6）定期对风机的运行情况进行检查记录，一旦发现运行异常，立即对相应的生产设备进行停产，并对风机设备进行维修。</w:t>
            </w:r>
          </w:p>
          <w:p w14:paraId="6E9F27B4">
            <w:pPr>
              <w:pStyle w:val="8"/>
              <w:bidi w:val="0"/>
              <w:rPr>
                <w:rFonts w:hint="eastAsia"/>
              </w:rPr>
            </w:pPr>
            <w:r>
              <w:rPr>
                <w:rFonts w:hint="eastAsia"/>
              </w:rPr>
              <w:t>（7）对布袋除尘器装置进行定期检查，确保废气处理效率，若发现破损、损坏或堵塞严重，应立即进行更换，确保其处理效率。</w:t>
            </w:r>
          </w:p>
          <w:p w14:paraId="5CBFE56C">
            <w:pPr>
              <w:pStyle w:val="8"/>
              <w:bidi w:val="0"/>
              <w:rPr>
                <w:rFonts w:hint="eastAsia"/>
              </w:rPr>
            </w:pPr>
            <w:r>
              <w:rPr>
                <w:rFonts w:hint="eastAsia"/>
              </w:rPr>
              <w:t>采取以上措施后，可有效降低事故发生的概率。</w:t>
            </w:r>
          </w:p>
        </w:tc>
      </w:tr>
      <w:tr w14:paraId="7D35A0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2" w:hRule="atLeast"/>
          <w:jc w:val="center"/>
        </w:trPr>
        <w:tc>
          <w:tcPr>
            <w:tcW w:w="962" w:type="dxa"/>
            <w:tcBorders>
              <w:tl2br w:val="nil"/>
              <w:tr2bl w:val="nil"/>
            </w:tcBorders>
            <w:noWrap w:val="0"/>
            <w:vAlign w:val="center"/>
          </w:tcPr>
          <w:p w14:paraId="5B024872">
            <w:pPr>
              <w:adjustRightInd w:val="0"/>
              <w:snapToGrid w:val="0"/>
              <w:jc w:val="center"/>
              <w:rPr>
                <w:rFonts w:hint="eastAsia" w:ascii="宋体" w:hAnsi="宋体" w:cs="宋体"/>
                <w:spacing w:val="-8"/>
                <w:szCs w:val="21"/>
              </w:rPr>
            </w:pPr>
            <w:r>
              <w:rPr>
                <w:rFonts w:hint="eastAsia" w:ascii="宋体" w:hAnsi="宋体" w:cs="宋体"/>
                <w:spacing w:val="-8"/>
                <w:szCs w:val="21"/>
              </w:rPr>
              <w:t>其他环境管理要求</w:t>
            </w:r>
          </w:p>
        </w:tc>
        <w:tc>
          <w:tcPr>
            <w:tcW w:w="7838" w:type="dxa"/>
            <w:gridSpan w:val="4"/>
            <w:tcBorders>
              <w:tl2br w:val="nil"/>
              <w:tr2bl w:val="nil"/>
            </w:tcBorders>
            <w:noWrap w:val="0"/>
            <w:vAlign w:val="center"/>
          </w:tcPr>
          <w:p w14:paraId="5D32BA9B">
            <w:pPr>
              <w:pStyle w:val="2"/>
              <w:bidi w:val="0"/>
              <w:rPr>
                <w:rFonts w:hint="eastAsia"/>
              </w:rPr>
            </w:pPr>
            <w:r>
              <w:rPr>
                <w:rFonts w:hint="eastAsia"/>
              </w:rPr>
              <w:t>1</w:t>
            </w:r>
            <w:r>
              <w:rPr>
                <w:rFonts w:hint="eastAsia"/>
                <w:lang w:val="en-US" w:eastAsia="zh-CN"/>
              </w:rPr>
              <w:t>.</w:t>
            </w:r>
            <w:r>
              <w:rPr>
                <w:rFonts w:hint="eastAsia"/>
              </w:rPr>
              <w:t>管理制度</w:t>
            </w:r>
          </w:p>
          <w:p w14:paraId="309C457D">
            <w:pPr>
              <w:pStyle w:val="8"/>
              <w:bidi w:val="0"/>
              <w:rPr>
                <w:rFonts w:hint="eastAsia"/>
              </w:rPr>
            </w:pPr>
            <w:r>
              <w:rPr>
                <w:rFonts w:hint="eastAsia"/>
              </w:rPr>
              <w:t>为了缓解建设项目生产运行期对环境构成的不良影响，在采取</w:t>
            </w:r>
            <w:r>
              <w:rPr>
                <w:rFonts w:hint="eastAsia"/>
                <w:lang w:eastAsia="zh-CN"/>
              </w:rPr>
              <w:t>环境治理</w:t>
            </w:r>
            <w:r>
              <w:rPr>
                <w:rFonts w:hint="eastAsia"/>
              </w:rPr>
              <w:t>工程措施解决建设项目环境影响的同时，必须制定全面的企业环境管理计划，配备专职环保人员1-2名，负责环境监督管理工作，同时要加强对管理人员的环保培训，不断提高管理水平</w:t>
            </w:r>
            <w:r>
              <w:rPr>
                <w:rFonts w:hint="eastAsia"/>
                <w:lang w:eastAsia="zh-CN"/>
              </w:rPr>
              <w:t>。</w:t>
            </w:r>
            <w:r>
              <w:rPr>
                <w:rFonts w:hint="eastAsia"/>
              </w:rPr>
              <w:t>企业排污发生重大变化、污染治理设施改变或生产运行计划改变等都必须向当地</w:t>
            </w:r>
            <w:r>
              <w:rPr>
                <w:rFonts w:hint="eastAsia"/>
                <w:lang w:val="en-US" w:eastAsia="zh-CN"/>
              </w:rPr>
              <w:t>生态环境主管部门</w:t>
            </w:r>
            <w:r>
              <w:rPr>
                <w:rFonts w:hint="eastAsia"/>
              </w:rPr>
              <w:t>申报，经审批同意后方可实施。对污染治理设施和管理必须与生产经营活动一起纳入企业的日常管理中，要建立岗位责任制，制定操作规程，建立</w:t>
            </w:r>
            <w:r>
              <w:rPr>
                <w:rFonts w:hint="eastAsia"/>
                <w:lang w:eastAsia="zh-CN"/>
              </w:rPr>
              <w:t>管理台账</w:t>
            </w:r>
            <w:r>
              <w:rPr>
                <w:rFonts w:hint="eastAsia"/>
              </w:rPr>
              <w:t>。</w:t>
            </w:r>
          </w:p>
          <w:p w14:paraId="444E93F7">
            <w:pPr>
              <w:pStyle w:val="2"/>
              <w:bidi w:val="0"/>
              <w:rPr>
                <w:rFonts w:hint="eastAsia"/>
              </w:rPr>
            </w:pPr>
            <w:r>
              <w:rPr>
                <w:rFonts w:hint="eastAsia"/>
                <w:lang w:val="en-US" w:eastAsia="zh-CN"/>
              </w:rPr>
              <w:t>2.</w:t>
            </w:r>
            <w:r>
              <w:rPr>
                <w:rFonts w:hint="eastAsia"/>
              </w:rPr>
              <w:t>排放口信息化、规范化</w:t>
            </w:r>
          </w:p>
          <w:p w14:paraId="1F637B31">
            <w:pPr>
              <w:pStyle w:val="8"/>
              <w:bidi w:val="0"/>
              <w:rPr>
                <w:rFonts w:hint="eastAsia"/>
              </w:rPr>
            </w:pPr>
            <w:r>
              <w:rPr>
                <w:rFonts w:hint="eastAsia"/>
              </w:rPr>
              <w:t>建设项目排气筒采样平台、采样口等内容须按照《排污单位污染物排放口监测点位设置技术规范》（HJ1405-2024）要求设置。</w:t>
            </w:r>
          </w:p>
          <w:p w14:paraId="2B3F7267">
            <w:pPr>
              <w:pStyle w:val="8"/>
              <w:bidi w:val="0"/>
              <w:ind w:left="0" w:leftChars="0" w:firstLine="0" w:firstLineChars="0"/>
              <w:rPr>
                <w:rFonts w:hint="eastAsia" w:ascii="Times New Roman" w:hAnsi="Times New Roman" w:eastAsia="宋体" w:cs="Times New Roman"/>
                <w:b/>
                <w:bCs/>
                <w:color w:val="000000"/>
                <w:kern w:val="44"/>
                <w:sz w:val="24"/>
                <w:szCs w:val="30"/>
                <w:lang w:val="en-US" w:eastAsia="zh-CN" w:bidi="ar-SA"/>
              </w:rPr>
            </w:pPr>
            <w:r>
              <w:rPr>
                <w:rFonts w:hint="eastAsia" w:ascii="Times New Roman" w:hAnsi="Times New Roman" w:eastAsia="宋体" w:cs="Times New Roman"/>
                <w:b/>
                <w:bCs/>
                <w:color w:val="000000"/>
                <w:kern w:val="44"/>
                <w:sz w:val="24"/>
                <w:szCs w:val="30"/>
                <w:lang w:val="en-US" w:eastAsia="zh-CN" w:bidi="ar-SA"/>
              </w:rPr>
              <w:t>3.排污申报</w:t>
            </w:r>
          </w:p>
          <w:p w14:paraId="391D9F51">
            <w:pPr>
              <w:pStyle w:val="8"/>
              <w:bidi w:val="0"/>
              <w:rPr>
                <w:rFonts w:hint="eastAsia"/>
                <w:lang w:val="en-US" w:eastAsia="zh-CN"/>
              </w:rPr>
            </w:pPr>
            <w:r>
              <w:rPr>
                <w:rFonts w:hint="eastAsia"/>
                <w:lang w:val="en-US" w:eastAsia="zh-CN"/>
              </w:rPr>
              <w:t>①排污许可证申领：对照《固定污染源排污许可分类管理名录（2019年版）》，本项目属于“二十五、非金属矿物制品业-63石膏、水泥制品及类似制品制造-水泥制品制造3021、砼结构构件制造3022；64砖瓦、石材等建筑材料制造-粘土砖瓦及建筑砌块制造 3031（除以煤或者煤矸石为燃料的烧结砖瓦以外的）”，实施简化管理，应当申请取得排污许可证，并在全国排污许可证管理信息平台办理排污许可申请手续。</w:t>
            </w:r>
          </w:p>
          <w:p w14:paraId="11071057">
            <w:pPr>
              <w:pStyle w:val="8"/>
              <w:bidi w:val="0"/>
              <w:rPr>
                <w:rFonts w:hint="default"/>
                <w:lang w:val="en-US" w:eastAsia="zh-CN"/>
              </w:rPr>
            </w:pPr>
            <w:r>
              <w:rPr>
                <w:rFonts w:hint="eastAsia"/>
                <w:lang w:val="en-US" w:eastAsia="zh-CN"/>
              </w:rPr>
              <w:t>②自行监测：按简化管理要求落实详见第四章表4-5 废气监测计划、表4-8 废水污染物监测计划一览表。</w:t>
            </w:r>
          </w:p>
          <w:p w14:paraId="5CF7886D">
            <w:pPr>
              <w:pStyle w:val="8"/>
              <w:bidi w:val="0"/>
              <w:rPr>
                <w:rFonts w:hint="eastAsia"/>
                <w:lang w:val="en-US" w:eastAsia="zh-CN"/>
              </w:rPr>
            </w:pPr>
            <w:r>
              <w:rPr>
                <w:rFonts w:hint="eastAsia"/>
                <w:lang w:val="en-US" w:eastAsia="zh-CN"/>
              </w:rPr>
              <w:t>③信息公开：按照HJ819要求进行自行监测信息公开</w:t>
            </w:r>
          </w:p>
          <w:p w14:paraId="687BE00D">
            <w:pPr>
              <w:pStyle w:val="8"/>
              <w:bidi w:val="0"/>
              <w:rPr>
                <w:rFonts w:hint="eastAsia"/>
                <w:lang w:val="en-US" w:eastAsia="zh-CN"/>
              </w:rPr>
            </w:pPr>
            <w:r>
              <w:rPr>
                <w:rFonts w:hint="eastAsia"/>
                <w:lang w:val="en-US" w:eastAsia="zh-CN"/>
              </w:rPr>
              <w:t>④执行报告：水泥工业排污单位应每自然年上报一次排污许可证年度执行报告，年报应于次年一月底前提交至排污许可证核发机关。对于持证时间不足三个月的，当年可不上报年度执行报告，许可证执行情况纳入下一年年度执行报告。</w:t>
            </w:r>
          </w:p>
          <w:p w14:paraId="0437ABC5">
            <w:pPr>
              <w:pStyle w:val="8"/>
              <w:bidi w:val="0"/>
              <w:rPr>
                <w:rFonts w:hint="default"/>
                <w:lang w:val="en-US" w:eastAsia="zh-CN"/>
              </w:rPr>
            </w:pPr>
            <w:r>
              <w:rPr>
                <w:rFonts w:hint="eastAsia"/>
                <w:lang w:val="en-US" w:eastAsia="zh-CN"/>
              </w:rPr>
              <w:t>严格落实以上环境管理要求，严格执行污染物排放标准，规范运行污染防治措施。</w:t>
            </w:r>
          </w:p>
          <w:p w14:paraId="0865683C">
            <w:pPr>
              <w:pStyle w:val="2"/>
              <w:bidi w:val="0"/>
              <w:rPr>
                <w:rFonts w:hint="eastAsia"/>
              </w:rPr>
            </w:pPr>
            <w:r>
              <w:rPr>
                <w:rFonts w:hint="eastAsia"/>
                <w:lang w:val="en-US" w:eastAsia="zh-CN"/>
              </w:rPr>
              <w:t>4.环境管理台账</w:t>
            </w:r>
          </w:p>
          <w:p w14:paraId="4B667387">
            <w:pPr>
              <w:pStyle w:val="8"/>
              <w:bidi w:val="0"/>
              <w:rPr>
                <w:rFonts w:hint="eastAsia"/>
              </w:rPr>
            </w:pPr>
            <w:r>
              <w:rPr>
                <w:rFonts w:hint="eastAsia"/>
                <w:lang w:val="en-US" w:eastAsia="zh-CN"/>
              </w:rPr>
              <w:t>企业应按照行业排污许可管理要求制定管理台账，落实环境管理台账记录的责任部门和责任人，明确工作职责，包括台账的记录、整理、维护和管理等，并对台账记录结果的真实性、完整性和规范性负责，台账保存期限不得少于5年。</w:t>
            </w:r>
          </w:p>
          <w:p w14:paraId="7B297891">
            <w:pPr>
              <w:pStyle w:val="2"/>
              <w:bidi w:val="0"/>
              <w:rPr>
                <w:rFonts w:hint="eastAsia"/>
                <w:lang w:val="en-US" w:eastAsia="zh-CN"/>
              </w:rPr>
            </w:pPr>
            <w:r>
              <w:rPr>
                <w:rFonts w:hint="eastAsia"/>
                <w:lang w:val="en-US" w:eastAsia="zh-CN"/>
              </w:rPr>
              <w:t>5.环保信息公开</w:t>
            </w:r>
          </w:p>
          <w:p w14:paraId="546E14E6">
            <w:pPr>
              <w:pStyle w:val="8"/>
              <w:bidi w:val="0"/>
              <w:rPr>
                <w:rFonts w:hint="eastAsia"/>
              </w:rPr>
            </w:pPr>
            <w:r>
              <w:rPr>
                <w:rFonts w:hint="eastAsia"/>
              </w:rPr>
              <w:t>要求根据《企业事业单位环境信息公开办法》</w:t>
            </w:r>
            <w:r>
              <w:rPr>
                <w:rFonts w:hint="eastAsia"/>
                <w:lang w:eastAsia="zh-CN"/>
              </w:rPr>
              <w:t>（</w:t>
            </w:r>
            <w:r>
              <w:rPr>
                <w:rFonts w:hint="eastAsia"/>
              </w:rPr>
              <w:t>环境保护部令第31号</w:t>
            </w:r>
            <w:r>
              <w:rPr>
                <w:rFonts w:hint="eastAsia"/>
                <w:lang w:eastAsia="zh-CN"/>
              </w:rPr>
              <w:t>）</w:t>
            </w:r>
            <w:r>
              <w:rPr>
                <w:rFonts w:hint="eastAsia"/>
              </w:rPr>
              <w:t>，企业事业单位应当按照强制公开和自愿公开相结合的原则，及时、如实地公开其环境信息。企业事业单位应当建立健全本单位环境信息公开制度，指定机构负责本单位环境信息公开日常工作，排污单位应当公开以下信息：</w:t>
            </w:r>
          </w:p>
          <w:p w14:paraId="4B4D6080">
            <w:pPr>
              <w:pStyle w:val="8"/>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基础信息，包括单位名称、组织机构代码、法定代表人、生产地址、联系方式以及生产经营和管理服务的主要内容、产品及规模</w:t>
            </w:r>
            <w:r>
              <w:rPr>
                <w:rFonts w:hint="eastAsia"/>
                <w:lang w:eastAsia="zh-CN"/>
              </w:rPr>
              <w:t>。</w:t>
            </w:r>
          </w:p>
          <w:p w14:paraId="4EB1C86E">
            <w:pPr>
              <w:pStyle w:val="8"/>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排污信息，包括主要污染物及其他污染物的名称、排放方式、排放口数量和分布情况、排放浓度和总量、超标情况以及执行的污染物排放标准、核定的排放总量</w:t>
            </w:r>
            <w:r>
              <w:rPr>
                <w:rFonts w:hint="eastAsia"/>
                <w:lang w:eastAsia="zh-CN"/>
              </w:rPr>
              <w:t>。</w:t>
            </w:r>
          </w:p>
          <w:p w14:paraId="199C5903">
            <w:pPr>
              <w:pStyle w:val="8"/>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防治污染设施的建设和运行情况</w:t>
            </w:r>
            <w:r>
              <w:rPr>
                <w:rFonts w:hint="eastAsia"/>
                <w:lang w:eastAsia="zh-CN"/>
              </w:rPr>
              <w:t>。</w:t>
            </w:r>
          </w:p>
          <w:p w14:paraId="54F72062">
            <w:pPr>
              <w:pStyle w:val="8"/>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建设项目环境影响评价及其他环境保护行政许可情况</w:t>
            </w:r>
            <w:r>
              <w:rPr>
                <w:rFonts w:hint="eastAsia"/>
                <w:lang w:eastAsia="zh-CN"/>
              </w:rPr>
              <w:t>。</w:t>
            </w:r>
          </w:p>
          <w:p w14:paraId="20E04B62">
            <w:pPr>
              <w:pStyle w:val="8"/>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其他应当公开的环境信息</w:t>
            </w:r>
            <w:r>
              <w:rPr>
                <w:rFonts w:hint="eastAsia"/>
                <w:lang w:eastAsia="zh-CN"/>
              </w:rPr>
              <w:t>。</w:t>
            </w:r>
          </w:p>
          <w:p w14:paraId="6A0BE634">
            <w:pPr>
              <w:pStyle w:val="2"/>
              <w:bidi w:val="0"/>
              <w:rPr>
                <w:rFonts w:hint="eastAsia"/>
              </w:rPr>
            </w:pPr>
            <w:r>
              <w:rPr>
                <w:rFonts w:hint="eastAsia"/>
                <w:lang w:val="en-US" w:eastAsia="zh-CN"/>
              </w:rPr>
              <w:t>6.竣工环境保护验收要求</w:t>
            </w:r>
          </w:p>
          <w:p w14:paraId="14AE8E39">
            <w:pPr>
              <w:pStyle w:val="8"/>
              <w:bidi w:val="0"/>
              <w:rPr>
                <w:rFonts w:hint="eastAsia"/>
                <w:lang w:val="en-US" w:eastAsia="zh-CN"/>
              </w:rPr>
            </w:pPr>
            <w:r>
              <w:rPr>
                <w:rFonts w:hint="eastAsia"/>
                <w:lang w:val="en-US" w:eastAsia="zh-CN"/>
              </w:rPr>
              <w:t>根据《建设项目竣工环境保护验收暂行办法》，本项目竣工后，建设单位应及时组织竣工环境保护验收，经验收合格后，本项目方可投入正式运行。</w:t>
            </w:r>
          </w:p>
          <w:p w14:paraId="3345FCD4">
            <w:pPr>
              <w:pStyle w:val="8"/>
              <w:bidi w:val="0"/>
              <w:rPr>
                <w:rFonts w:hint="eastAsia"/>
                <w:lang w:val="en-US" w:eastAsia="zh-CN"/>
              </w:rPr>
            </w:pPr>
          </w:p>
          <w:p w14:paraId="4C3961B0">
            <w:pPr>
              <w:pStyle w:val="8"/>
              <w:bidi w:val="0"/>
              <w:rPr>
                <w:rFonts w:hint="eastAsia"/>
                <w:lang w:val="en-US" w:eastAsia="zh-CN"/>
              </w:rPr>
            </w:pPr>
          </w:p>
          <w:p w14:paraId="74238AFE">
            <w:pPr>
              <w:pStyle w:val="8"/>
              <w:bidi w:val="0"/>
              <w:rPr>
                <w:rFonts w:hint="eastAsia"/>
                <w:lang w:val="en-US" w:eastAsia="zh-CN"/>
              </w:rPr>
            </w:pPr>
          </w:p>
          <w:p w14:paraId="7AB3A209">
            <w:pPr>
              <w:pStyle w:val="8"/>
              <w:bidi w:val="0"/>
              <w:ind w:left="0" w:leftChars="0" w:firstLine="0" w:firstLineChars="0"/>
              <w:rPr>
                <w:rFonts w:hint="eastAsia"/>
                <w:lang w:val="en-US" w:eastAsia="zh-CN"/>
              </w:rPr>
            </w:pPr>
          </w:p>
        </w:tc>
      </w:tr>
    </w:tbl>
    <w:p w14:paraId="29D6A6DA">
      <w:pPr>
        <w:pStyle w:val="18"/>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CA4FA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24F4E905">
            <w:pPr>
              <w:pStyle w:val="8"/>
              <w:bidi w:val="0"/>
              <w:jc w:val="both"/>
            </w:pPr>
            <w:r>
              <w:rPr>
                <w:rFonts w:hint="eastAsia"/>
              </w:rPr>
              <w:t>根据上述分析，本项目建成后对周围环境造成废水、废气、噪声污染较小，建设单位若能在建成后切实落实本环评提出的各项环境污染防治措施，落实</w:t>
            </w:r>
            <w:r>
              <w:rPr>
                <w:rFonts w:hint="eastAsia"/>
                <w:lang w:eastAsia="zh-CN"/>
              </w:rPr>
              <w:t>“</w:t>
            </w:r>
            <w:r>
              <w:rPr>
                <w:rFonts w:hint="eastAsia"/>
              </w:rPr>
              <w:t>三同时</w:t>
            </w:r>
            <w:r>
              <w:rPr>
                <w:rFonts w:hint="eastAsia"/>
                <w:lang w:eastAsia="zh-CN"/>
              </w:rPr>
              <w:t>”</w:t>
            </w:r>
            <w:r>
              <w:rPr>
                <w:rFonts w:hint="eastAsia"/>
              </w:rPr>
              <w:t>制度，加强环境管理，确保污染物达标排放，则本项目建成投入使用后，对环境的影响是可以接受的。建设单位须严格遵守环保</w:t>
            </w:r>
            <w:r>
              <w:rPr>
                <w:rFonts w:hint="eastAsia"/>
                <w:lang w:eastAsia="zh-CN"/>
              </w:rPr>
              <w:t>“</w:t>
            </w:r>
            <w:r>
              <w:rPr>
                <w:rFonts w:hint="eastAsia"/>
              </w:rPr>
              <w:t>三同时</w:t>
            </w:r>
            <w:r>
              <w:rPr>
                <w:rFonts w:hint="eastAsia"/>
                <w:lang w:eastAsia="zh-CN"/>
              </w:rPr>
              <w:t>”</w:t>
            </w:r>
            <w:r>
              <w:rPr>
                <w:rFonts w:hint="eastAsia"/>
              </w:rPr>
              <w:t>制度，各项治理措施需自主验收合格后方可正式投入使用，在此前提下，本项目是可行的。</w:t>
            </w:r>
          </w:p>
        </w:tc>
      </w:tr>
    </w:tbl>
    <w:p w14:paraId="0725413A">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6842BD8">
      <w:pPr>
        <w:pStyle w:val="18"/>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14:paraId="4644EB5C">
      <w:pPr>
        <w:pStyle w:val="18"/>
        <w:adjustRightInd w:val="0"/>
        <w:snapToGrid w:val="0"/>
        <w:spacing w:before="0" w:beforeAutospacing="0" w:after="0" w:afterAutospacing="0" w:line="552" w:lineRule="auto"/>
        <w:jc w:val="center"/>
        <w:outlineLvl w:val="0"/>
        <w:rPr>
          <w:rFonts w:hint="eastAsia" w:ascii="方正小标宋_GBK" w:hAnsi="黑体" w:eastAsia="方正小标宋_GBK"/>
          <w:snapToGrid w:val="0"/>
          <w:sz w:val="38"/>
          <w:szCs w:val="38"/>
          <w:highlight w:val="none"/>
        </w:rPr>
      </w:pPr>
      <w:r>
        <w:rPr>
          <w:rFonts w:hint="eastAsia" w:ascii="方正小标宋_GBK" w:hAnsi="黑体" w:eastAsia="方正小标宋_GBK"/>
          <w:snapToGrid w:val="0"/>
          <w:sz w:val="38"/>
          <w:szCs w:val="38"/>
          <w:highlight w:val="none"/>
        </w:rPr>
        <w:t>建设项目污染物排放量汇总表</w:t>
      </w:r>
    </w:p>
    <w:tbl>
      <w:tblPr>
        <w:tblStyle w:val="2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1811"/>
        <w:gridCol w:w="1701"/>
        <w:gridCol w:w="1117"/>
        <w:gridCol w:w="1600"/>
        <w:gridCol w:w="1487"/>
        <w:gridCol w:w="1825"/>
        <w:gridCol w:w="1850"/>
        <w:gridCol w:w="1203"/>
      </w:tblGrid>
      <w:tr w14:paraId="07DDFC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94" w:type="dxa"/>
            <w:tcBorders>
              <w:tl2br w:val="single" w:color="auto" w:sz="4" w:space="0"/>
            </w:tcBorders>
            <w:noWrap w:val="0"/>
            <w:tcMar>
              <w:left w:w="28" w:type="dxa"/>
              <w:right w:w="28" w:type="dxa"/>
            </w:tcMar>
            <w:vAlign w:val="center"/>
          </w:tcPr>
          <w:p w14:paraId="63C4E81B">
            <w:pPr>
              <w:spacing w:beforeLines="0" w:afterLines="0" w:line="240" w:lineRule="auto"/>
              <w:jc w:val="righ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项目</w:t>
            </w:r>
          </w:p>
          <w:p w14:paraId="69992CE8">
            <w:pPr>
              <w:spacing w:beforeLines="0" w:afterLines="0" w:line="240" w:lineRule="auto"/>
              <w:jc w:val="lef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分类</w:t>
            </w:r>
          </w:p>
        </w:tc>
        <w:tc>
          <w:tcPr>
            <w:tcW w:w="1811" w:type="dxa"/>
            <w:noWrap w:val="0"/>
            <w:tcMar>
              <w:left w:w="28" w:type="dxa"/>
              <w:right w:w="28" w:type="dxa"/>
            </w:tcMar>
            <w:vAlign w:val="center"/>
          </w:tcPr>
          <w:p w14:paraId="7EE6C26F">
            <w:pPr>
              <w:spacing w:beforeLines="0" w:afterLines="0" w:line="240" w:lineRule="auto"/>
              <w:jc w:val="center"/>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污染物名称</w:t>
            </w:r>
          </w:p>
        </w:tc>
        <w:tc>
          <w:tcPr>
            <w:tcW w:w="1701" w:type="dxa"/>
            <w:noWrap w:val="0"/>
            <w:tcMar>
              <w:left w:w="28" w:type="dxa"/>
              <w:right w:w="28" w:type="dxa"/>
            </w:tcMar>
            <w:vAlign w:val="center"/>
          </w:tcPr>
          <w:p w14:paraId="578E3AB4">
            <w:pPr>
              <w:spacing w:beforeLines="0" w:afterLines="0" w:line="240" w:lineRule="auto"/>
              <w:jc w:val="center"/>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14:paraId="46CFD8EB">
            <w:pPr>
              <w:spacing w:beforeLines="0" w:afterLines="0" w:line="240" w:lineRule="auto"/>
              <w:jc w:val="center"/>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1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color w:val="000000"/>
                <w:spacing w:val="-6"/>
                <w:kern w:val="21"/>
                <w:szCs w:val="21"/>
              </w:rPr>
              <w:fldChar w:fldCharType="end"/>
            </w:r>
          </w:p>
        </w:tc>
        <w:tc>
          <w:tcPr>
            <w:tcW w:w="1117" w:type="dxa"/>
            <w:noWrap w:val="0"/>
            <w:tcMar>
              <w:left w:w="28" w:type="dxa"/>
              <w:right w:w="28" w:type="dxa"/>
            </w:tcMar>
            <w:vAlign w:val="center"/>
          </w:tcPr>
          <w:p w14:paraId="2BBE3625">
            <w:pPr>
              <w:spacing w:beforeLines="0" w:afterLines="0" w:line="240" w:lineRule="auto"/>
              <w:jc w:val="center"/>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14:paraId="03DED29B">
            <w:pPr>
              <w:spacing w:beforeLines="0" w:afterLines="0" w:line="240" w:lineRule="auto"/>
              <w:jc w:val="center"/>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许可排放量</w:t>
            </w:r>
          </w:p>
          <w:p w14:paraId="2F86B6B2">
            <w:pPr>
              <w:spacing w:beforeLines="0" w:afterLines="0"/>
              <w:jc w:val="center"/>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2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snapToGrid w:val="0"/>
                <w:color w:val="000000"/>
                <w:spacing w:val="-6"/>
                <w:kern w:val="21"/>
                <w:szCs w:val="21"/>
              </w:rPr>
              <w:t>②</w:t>
            </w:r>
            <w:r>
              <w:rPr>
                <w:rFonts w:ascii="黑体" w:hAnsi="黑体" w:eastAsia="黑体"/>
                <w:snapToGrid w:val="0"/>
                <w:color w:val="000000"/>
                <w:spacing w:val="-6"/>
                <w:kern w:val="21"/>
                <w:szCs w:val="21"/>
              </w:rPr>
              <w:fldChar w:fldCharType="end"/>
            </w:r>
          </w:p>
        </w:tc>
        <w:tc>
          <w:tcPr>
            <w:tcW w:w="1600" w:type="dxa"/>
            <w:noWrap w:val="0"/>
            <w:tcMar>
              <w:left w:w="28" w:type="dxa"/>
              <w:right w:w="28" w:type="dxa"/>
            </w:tcMar>
            <w:vAlign w:val="center"/>
          </w:tcPr>
          <w:p w14:paraId="40A65AA7">
            <w:pPr>
              <w:spacing w:beforeLines="0" w:afterLines="0" w:line="240" w:lineRule="auto"/>
              <w:jc w:val="center"/>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在建工程</w:t>
            </w:r>
          </w:p>
          <w:p w14:paraId="675D6D48">
            <w:pPr>
              <w:spacing w:beforeLines="0" w:afterLines="0" w:line="240" w:lineRule="auto"/>
              <w:jc w:val="center"/>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3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color w:val="000000"/>
                <w:spacing w:val="-6"/>
                <w:kern w:val="21"/>
                <w:szCs w:val="21"/>
              </w:rPr>
              <w:fldChar w:fldCharType="end"/>
            </w:r>
          </w:p>
        </w:tc>
        <w:tc>
          <w:tcPr>
            <w:tcW w:w="1487" w:type="dxa"/>
            <w:noWrap w:val="0"/>
            <w:tcMar>
              <w:left w:w="28" w:type="dxa"/>
              <w:right w:w="28" w:type="dxa"/>
            </w:tcMar>
            <w:vAlign w:val="center"/>
          </w:tcPr>
          <w:p w14:paraId="560B8560">
            <w:pPr>
              <w:spacing w:beforeLines="0" w:afterLines="0" w:line="240" w:lineRule="auto"/>
              <w:jc w:val="center"/>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本项目</w:t>
            </w:r>
          </w:p>
          <w:p w14:paraId="3677ABB5">
            <w:pPr>
              <w:spacing w:beforeLines="0" w:afterLines="0" w:line="240" w:lineRule="auto"/>
              <w:jc w:val="center"/>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4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color w:val="000000"/>
                <w:spacing w:val="-6"/>
                <w:kern w:val="21"/>
                <w:szCs w:val="21"/>
              </w:rPr>
              <w:fldChar w:fldCharType="end"/>
            </w:r>
          </w:p>
        </w:tc>
        <w:tc>
          <w:tcPr>
            <w:tcW w:w="1825" w:type="dxa"/>
            <w:noWrap w:val="0"/>
            <w:tcMar>
              <w:left w:w="28" w:type="dxa"/>
              <w:right w:w="28" w:type="dxa"/>
            </w:tcMar>
            <w:vAlign w:val="center"/>
          </w:tcPr>
          <w:p w14:paraId="3FB81C89">
            <w:pPr>
              <w:spacing w:beforeLines="0" w:afterLines="0" w:line="240" w:lineRule="auto"/>
              <w:jc w:val="center"/>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以新带老削减量</w:t>
            </w:r>
          </w:p>
          <w:p w14:paraId="1B25852C">
            <w:pPr>
              <w:spacing w:beforeLines="0" w:afterLines="0" w:line="240" w:lineRule="auto"/>
              <w:jc w:val="center"/>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（新建项目不填）</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5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color w:val="000000"/>
                <w:spacing w:val="-16"/>
                <w:kern w:val="21"/>
                <w:szCs w:val="21"/>
              </w:rPr>
              <w:fldChar w:fldCharType="end"/>
            </w:r>
          </w:p>
        </w:tc>
        <w:tc>
          <w:tcPr>
            <w:tcW w:w="1850" w:type="dxa"/>
            <w:noWrap w:val="0"/>
            <w:tcMar>
              <w:left w:w="28" w:type="dxa"/>
              <w:right w:w="28" w:type="dxa"/>
            </w:tcMar>
            <w:vAlign w:val="center"/>
          </w:tcPr>
          <w:p w14:paraId="13E1A1C2">
            <w:pPr>
              <w:spacing w:beforeLines="0" w:afterLines="0" w:line="240" w:lineRule="auto"/>
              <w:jc w:val="center"/>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本项目建成后</w:t>
            </w:r>
          </w:p>
          <w:p w14:paraId="0A7C1F3F">
            <w:pPr>
              <w:spacing w:beforeLines="0" w:afterLines="0" w:line="240" w:lineRule="auto"/>
              <w:jc w:val="center"/>
              <w:rPr>
                <w:rFonts w:ascii="黑体" w:hAnsi="黑体" w:eastAsia="黑体"/>
                <w:snapToGrid w:val="0"/>
                <w:color w:val="000000"/>
                <w:spacing w:val="-16"/>
                <w:kern w:val="21"/>
                <w:szCs w:val="21"/>
              </w:rPr>
            </w:pPr>
            <w:r>
              <w:rPr>
                <w:rFonts w:hint="eastAsia" w:ascii="黑体" w:hAnsi="黑体" w:eastAsia="黑体"/>
                <w:snapToGrid w:val="0"/>
                <w:color w:val="000000"/>
                <w:spacing w:val="-16"/>
                <w:kern w:val="21"/>
                <w:szCs w:val="21"/>
              </w:rPr>
              <w:t>全厂</w:t>
            </w:r>
            <w:r>
              <w:rPr>
                <w:rFonts w:ascii="黑体" w:hAnsi="黑体" w:eastAsia="黑体"/>
                <w:snapToGrid w:val="0"/>
                <w:color w:val="000000"/>
                <w:spacing w:val="-16"/>
                <w:kern w:val="21"/>
                <w:szCs w:val="21"/>
              </w:rPr>
              <w:t>排放量（固</w:t>
            </w:r>
            <w:r>
              <w:rPr>
                <w:rFonts w:hint="eastAsia" w:ascii="黑体" w:hAnsi="黑体" w:eastAsia="黑体"/>
                <w:snapToGrid w:val="0"/>
                <w:color w:val="000000"/>
                <w:spacing w:val="-16"/>
                <w:kern w:val="21"/>
                <w:szCs w:val="21"/>
              </w:rPr>
              <w:t>体</w:t>
            </w:r>
            <w:r>
              <w:rPr>
                <w:rFonts w:ascii="黑体" w:hAnsi="黑体" w:eastAsia="黑体"/>
                <w:snapToGrid w:val="0"/>
                <w:color w:val="000000"/>
                <w:spacing w:val="-16"/>
                <w:kern w:val="21"/>
                <w:szCs w:val="21"/>
              </w:rPr>
              <w:t>废</w:t>
            </w:r>
            <w:r>
              <w:rPr>
                <w:rFonts w:hint="eastAsia" w:ascii="黑体" w:hAnsi="黑体" w:eastAsia="黑体"/>
                <w:snapToGrid w:val="0"/>
                <w:color w:val="000000"/>
                <w:spacing w:val="-16"/>
                <w:kern w:val="21"/>
                <w:szCs w:val="21"/>
              </w:rPr>
              <w:t>物</w:t>
            </w:r>
            <w:r>
              <w:rPr>
                <w:rFonts w:ascii="黑体" w:hAnsi="黑体" w:eastAsia="黑体"/>
                <w:snapToGrid w:val="0"/>
                <w:color w:val="000000"/>
                <w:spacing w:val="-16"/>
                <w:kern w:val="21"/>
                <w:szCs w:val="21"/>
              </w:rPr>
              <w:t>产生量）</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6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color w:val="000000"/>
                <w:spacing w:val="-16"/>
                <w:kern w:val="21"/>
                <w:szCs w:val="21"/>
              </w:rPr>
              <w:fldChar w:fldCharType="end"/>
            </w:r>
          </w:p>
        </w:tc>
        <w:tc>
          <w:tcPr>
            <w:tcW w:w="1203" w:type="dxa"/>
            <w:noWrap w:val="0"/>
            <w:tcMar>
              <w:left w:w="28" w:type="dxa"/>
              <w:right w:w="28" w:type="dxa"/>
            </w:tcMar>
            <w:vAlign w:val="center"/>
          </w:tcPr>
          <w:p w14:paraId="53F5EAFA">
            <w:pPr>
              <w:spacing w:beforeLines="0" w:afterLines="0" w:line="240" w:lineRule="auto"/>
              <w:jc w:val="center"/>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变化量</w:t>
            </w:r>
          </w:p>
          <w:p w14:paraId="0CF91179">
            <w:pPr>
              <w:spacing w:beforeLines="0" w:afterLines="0" w:line="240" w:lineRule="auto"/>
              <w:jc w:val="center"/>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7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color w:val="000000"/>
                <w:spacing w:val="-6"/>
                <w:kern w:val="21"/>
                <w:szCs w:val="21"/>
              </w:rPr>
              <w:fldChar w:fldCharType="end"/>
            </w:r>
          </w:p>
        </w:tc>
      </w:tr>
      <w:tr w14:paraId="0711C5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194" w:type="dxa"/>
            <w:vMerge w:val="restart"/>
            <w:noWrap w:val="0"/>
            <w:vAlign w:val="center"/>
          </w:tcPr>
          <w:p w14:paraId="6DD765B4">
            <w:pPr>
              <w:spacing w:beforeLines="0" w:afterLines="0" w:line="240" w:lineRule="auto"/>
              <w:jc w:val="center"/>
              <w:rPr>
                <w:rFonts w:hint="eastAsia" w:hAnsi="宋体" w:cs="宋体"/>
                <w:snapToGrid w:val="0"/>
                <w:color w:val="000000"/>
                <w:kern w:val="21"/>
                <w:szCs w:val="21"/>
              </w:rPr>
            </w:pPr>
            <w:r>
              <w:rPr>
                <w:rFonts w:hint="eastAsia" w:hAnsi="宋体" w:cs="宋体"/>
                <w:snapToGrid w:val="0"/>
                <w:color w:val="000000"/>
                <w:kern w:val="21"/>
                <w:szCs w:val="21"/>
              </w:rPr>
              <w:t>废气</w:t>
            </w:r>
          </w:p>
        </w:tc>
        <w:tc>
          <w:tcPr>
            <w:tcW w:w="1811" w:type="dxa"/>
            <w:noWrap w:val="0"/>
            <w:vAlign w:val="center"/>
          </w:tcPr>
          <w:p w14:paraId="2F1CEC8B">
            <w:pPr>
              <w:pStyle w:val="40"/>
              <w:bidi w:val="0"/>
              <w:rPr>
                <w:rFonts w:hint="eastAsia"/>
                <w:lang w:val="en-US" w:eastAsia="zh-CN"/>
              </w:rPr>
            </w:pPr>
            <w:r>
              <w:rPr>
                <w:rFonts w:hint="eastAsia"/>
                <w:lang w:val="en-US" w:eastAsia="zh-CN"/>
              </w:rPr>
              <w:t>颗粒物</w:t>
            </w:r>
          </w:p>
        </w:tc>
        <w:tc>
          <w:tcPr>
            <w:tcW w:w="1701" w:type="dxa"/>
            <w:noWrap w:val="0"/>
            <w:vAlign w:val="center"/>
          </w:tcPr>
          <w:p w14:paraId="69642D63">
            <w:pPr>
              <w:pStyle w:val="40"/>
              <w:bidi w:val="0"/>
              <w:jc w:val="center"/>
              <w:rPr>
                <w:rFonts w:hint="default"/>
                <w:lang w:val="en-US" w:eastAsia="zh-CN"/>
              </w:rPr>
            </w:pPr>
            <w:r>
              <w:rPr>
                <w:rFonts w:hint="eastAsia"/>
                <w:lang w:val="en-US" w:eastAsia="zh-CN"/>
              </w:rPr>
              <w:t>/</w:t>
            </w:r>
          </w:p>
        </w:tc>
        <w:tc>
          <w:tcPr>
            <w:tcW w:w="1117" w:type="dxa"/>
            <w:noWrap w:val="0"/>
            <w:vAlign w:val="center"/>
          </w:tcPr>
          <w:p w14:paraId="5538D411">
            <w:pPr>
              <w:pStyle w:val="40"/>
              <w:bidi w:val="0"/>
              <w:jc w:val="center"/>
            </w:pPr>
            <w:r>
              <w:rPr>
                <w:rFonts w:hint="eastAsia"/>
                <w:lang w:val="en-US" w:eastAsia="zh-CN"/>
              </w:rPr>
              <w:t>/</w:t>
            </w:r>
          </w:p>
        </w:tc>
        <w:tc>
          <w:tcPr>
            <w:tcW w:w="1600" w:type="dxa"/>
            <w:noWrap w:val="0"/>
            <w:vAlign w:val="center"/>
          </w:tcPr>
          <w:p w14:paraId="348739D9">
            <w:pPr>
              <w:pStyle w:val="40"/>
              <w:bidi w:val="0"/>
              <w:jc w:val="center"/>
            </w:pPr>
            <w:r>
              <w:rPr>
                <w:rFonts w:hint="eastAsia"/>
                <w:lang w:val="en-US" w:eastAsia="zh-CN"/>
              </w:rPr>
              <w:t>/</w:t>
            </w:r>
          </w:p>
        </w:tc>
        <w:tc>
          <w:tcPr>
            <w:tcW w:w="1487" w:type="dxa"/>
            <w:shd w:val="clear" w:color="auto" w:fill="auto"/>
            <w:noWrap w:val="0"/>
            <w:vAlign w:val="center"/>
          </w:tcPr>
          <w:p w14:paraId="4E3F4EC8">
            <w:pPr>
              <w:pStyle w:val="40"/>
              <w:bidi w:val="0"/>
              <w:rPr>
                <w:rFonts w:hint="default"/>
                <w:lang w:val="en-US" w:eastAsia="zh-CN"/>
              </w:rPr>
            </w:pPr>
            <w:r>
              <w:rPr>
                <w:rFonts w:hint="eastAsia"/>
                <w:lang w:val="en-US" w:eastAsia="zh-CN"/>
              </w:rPr>
              <w:t>27.92t/a</w:t>
            </w:r>
          </w:p>
        </w:tc>
        <w:tc>
          <w:tcPr>
            <w:tcW w:w="1825" w:type="dxa"/>
            <w:noWrap w:val="0"/>
            <w:vAlign w:val="center"/>
          </w:tcPr>
          <w:p w14:paraId="53242AD6">
            <w:pPr>
              <w:pStyle w:val="40"/>
              <w:bidi w:val="0"/>
              <w:jc w:val="center"/>
            </w:pPr>
            <w:r>
              <w:rPr>
                <w:rFonts w:hint="eastAsia"/>
                <w:lang w:val="en-US" w:eastAsia="zh-CN"/>
              </w:rPr>
              <w:t>/</w:t>
            </w:r>
          </w:p>
        </w:tc>
        <w:tc>
          <w:tcPr>
            <w:tcW w:w="1850" w:type="dxa"/>
            <w:noWrap w:val="0"/>
            <w:vAlign w:val="center"/>
          </w:tcPr>
          <w:p w14:paraId="22DB3209">
            <w:pPr>
              <w:pStyle w:val="40"/>
              <w:bidi w:val="0"/>
            </w:pPr>
            <w:r>
              <w:rPr>
                <w:rFonts w:hint="eastAsia"/>
                <w:lang w:val="en-US" w:eastAsia="zh-CN"/>
              </w:rPr>
              <w:t>27.92t/a</w:t>
            </w:r>
          </w:p>
        </w:tc>
        <w:tc>
          <w:tcPr>
            <w:tcW w:w="1203" w:type="dxa"/>
            <w:noWrap w:val="0"/>
            <w:vAlign w:val="center"/>
          </w:tcPr>
          <w:p w14:paraId="74A852A6">
            <w:pPr>
              <w:ind w:left="0" w:leftChars="0" w:right="0" w:rightChars="0" w:firstLine="0" w:firstLineChars="0"/>
              <w:jc w:val="center"/>
              <w:rPr>
                <w:rFonts w:hint="eastAsia"/>
                <w:lang w:val="en-US" w:eastAsia="zh-CN"/>
              </w:rPr>
            </w:pPr>
            <w:r>
              <w:rPr>
                <w:rFonts w:hint="eastAsia"/>
                <w:lang w:val="en-US" w:eastAsia="zh-CN"/>
              </w:rPr>
              <w:t>27.92t/a</w:t>
            </w:r>
          </w:p>
        </w:tc>
      </w:tr>
      <w:tr w14:paraId="4E57CA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94" w:type="dxa"/>
            <w:vMerge w:val="continue"/>
            <w:noWrap w:val="0"/>
            <w:vAlign w:val="center"/>
          </w:tcPr>
          <w:p w14:paraId="55971B8D">
            <w:pPr>
              <w:spacing w:beforeLines="0" w:afterLines="0" w:line="240" w:lineRule="auto"/>
              <w:rPr>
                <w:rFonts w:hint="eastAsia" w:hAnsi="宋体" w:cs="宋体"/>
                <w:snapToGrid w:val="0"/>
                <w:color w:val="000000"/>
                <w:kern w:val="21"/>
                <w:szCs w:val="21"/>
              </w:rPr>
            </w:pPr>
          </w:p>
        </w:tc>
        <w:tc>
          <w:tcPr>
            <w:tcW w:w="1811" w:type="dxa"/>
            <w:noWrap w:val="0"/>
            <w:vAlign w:val="center"/>
          </w:tcPr>
          <w:p w14:paraId="3FA180D7">
            <w:pPr>
              <w:pStyle w:val="40"/>
              <w:bidi w:val="0"/>
              <w:rPr>
                <w:rFonts w:hint="eastAsia"/>
                <w:lang w:val="en-US" w:eastAsia="zh-CN"/>
              </w:rPr>
            </w:pPr>
            <w:r>
              <w:rPr>
                <w:rFonts w:hint="eastAsia"/>
                <w:lang w:val="en-US" w:eastAsia="zh-CN"/>
              </w:rPr>
              <w:t>食堂油烟</w:t>
            </w:r>
          </w:p>
        </w:tc>
        <w:tc>
          <w:tcPr>
            <w:tcW w:w="1701" w:type="dxa"/>
            <w:noWrap w:val="0"/>
            <w:vAlign w:val="center"/>
          </w:tcPr>
          <w:p w14:paraId="3415F301">
            <w:pPr>
              <w:pStyle w:val="40"/>
              <w:bidi w:val="0"/>
              <w:jc w:val="center"/>
              <w:rPr>
                <w:rFonts w:hint="default"/>
                <w:lang w:val="en-US" w:eastAsia="zh-CN"/>
              </w:rPr>
            </w:pPr>
            <w:r>
              <w:rPr>
                <w:rFonts w:hint="eastAsia"/>
                <w:lang w:val="en-US" w:eastAsia="zh-CN"/>
              </w:rPr>
              <w:t>/</w:t>
            </w:r>
          </w:p>
        </w:tc>
        <w:tc>
          <w:tcPr>
            <w:tcW w:w="1117" w:type="dxa"/>
            <w:noWrap w:val="0"/>
            <w:vAlign w:val="center"/>
          </w:tcPr>
          <w:p w14:paraId="325C4A78">
            <w:pPr>
              <w:pStyle w:val="40"/>
              <w:bidi w:val="0"/>
              <w:jc w:val="center"/>
            </w:pPr>
            <w:r>
              <w:rPr>
                <w:rFonts w:hint="eastAsia"/>
                <w:lang w:val="en-US" w:eastAsia="zh-CN"/>
              </w:rPr>
              <w:t>/</w:t>
            </w:r>
          </w:p>
        </w:tc>
        <w:tc>
          <w:tcPr>
            <w:tcW w:w="1600" w:type="dxa"/>
            <w:noWrap w:val="0"/>
            <w:vAlign w:val="center"/>
          </w:tcPr>
          <w:p w14:paraId="19607319">
            <w:pPr>
              <w:pStyle w:val="40"/>
              <w:bidi w:val="0"/>
              <w:jc w:val="center"/>
            </w:pPr>
            <w:r>
              <w:rPr>
                <w:rFonts w:hint="eastAsia"/>
                <w:lang w:val="en-US" w:eastAsia="zh-CN"/>
              </w:rPr>
              <w:t>/</w:t>
            </w:r>
          </w:p>
        </w:tc>
        <w:tc>
          <w:tcPr>
            <w:tcW w:w="1487" w:type="dxa"/>
            <w:shd w:val="clear" w:color="auto" w:fill="auto"/>
            <w:noWrap w:val="0"/>
            <w:vAlign w:val="center"/>
          </w:tcPr>
          <w:p w14:paraId="7610189F">
            <w:pPr>
              <w:pStyle w:val="40"/>
              <w:bidi w:val="0"/>
              <w:rPr>
                <w:rFonts w:hint="default"/>
                <w:lang w:val="en-US" w:eastAsia="zh-CN"/>
              </w:rPr>
            </w:pPr>
            <w:r>
              <w:rPr>
                <w:rFonts w:hint="eastAsia"/>
                <w:lang w:val="en-US" w:eastAsia="zh-CN"/>
              </w:rPr>
              <w:t>0.0072t/a</w:t>
            </w:r>
          </w:p>
        </w:tc>
        <w:tc>
          <w:tcPr>
            <w:tcW w:w="1825" w:type="dxa"/>
            <w:noWrap w:val="0"/>
            <w:vAlign w:val="center"/>
          </w:tcPr>
          <w:p w14:paraId="1D99FF85">
            <w:pPr>
              <w:pStyle w:val="40"/>
              <w:bidi w:val="0"/>
              <w:jc w:val="center"/>
            </w:pPr>
            <w:r>
              <w:rPr>
                <w:rFonts w:hint="eastAsia"/>
                <w:lang w:val="en-US" w:eastAsia="zh-CN"/>
              </w:rPr>
              <w:t>/</w:t>
            </w:r>
          </w:p>
        </w:tc>
        <w:tc>
          <w:tcPr>
            <w:tcW w:w="1850" w:type="dxa"/>
            <w:noWrap w:val="0"/>
            <w:vAlign w:val="center"/>
          </w:tcPr>
          <w:p w14:paraId="00EF285E">
            <w:pPr>
              <w:pStyle w:val="40"/>
              <w:bidi w:val="0"/>
            </w:pPr>
            <w:r>
              <w:rPr>
                <w:rFonts w:hint="eastAsia"/>
                <w:lang w:val="en-US" w:eastAsia="zh-CN"/>
              </w:rPr>
              <w:t>0.0072t/a</w:t>
            </w:r>
          </w:p>
        </w:tc>
        <w:tc>
          <w:tcPr>
            <w:tcW w:w="1203" w:type="dxa"/>
            <w:noWrap w:val="0"/>
            <w:vAlign w:val="center"/>
          </w:tcPr>
          <w:p w14:paraId="27D7C3B6">
            <w:pPr>
              <w:pStyle w:val="40"/>
              <w:bidi w:val="0"/>
            </w:pPr>
            <w:r>
              <w:rPr>
                <w:rFonts w:hint="eastAsia"/>
                <w:lang w:val="en-US" w:eastAsia="zh-CN"/>
              </w:rPr>
              <w:t>0.0072t/a</w:t>
            </w:r>
          </w:p>
        </w:tc>
      </w:tr>
      <w:tr w14:paraId="5EF941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194" w:type="dxa"/>
            <w:vMerge w:val="restart"/>
            <w:noWrap w:val="0"/>
            <w:vAlign w:val="center"/>
          </w:tcPr>
          <w:p w14:paraId="07343761">
            <w:pPr>
              <w:spacing w:beforeLines="0" w:afterLines="0" w:line="240" w:lineRule="auto"/>
              <w:jc w:val="center"/>
              <w:rPr>
                <w:rFonts w:hint="eastAsia" w:hAnsi="宋体" w:cs="宋体"/>
                <w:snapToGrid w:val="0"/>
                <w:color w:val="000000"/>
                <w:kern w:val="21"/>
                <w:szCs w:val="21"/>
              </w:rPr>
            </w:pPr>
            <w:r>
              <w:rPr>
                <w:rFonts w:hint="eastAsia" w:hAnsi="宋体" w:cs="宋体"/>
                <w:snapToGrid w:val="0"/>
                <w:color w:val="000000"/>
                <w:kern w:val="21"/>
                <w:szCs w:val="21"/>
              </w:rPr>
              <w:t>废水</w:t>
            </w:r>
          </w:p>
        </w:tc>
        <w:tc>
          <w:tcPr>
            <w:tcW w:w="1811" w:type="dxa"/>
            <w:noWrap w:val="0"/>
            <w:vAlign w:val="center"/>
          </w:tcPr>
          <w:p w14:paraId="7AC0F1FB">
            <w:pPr>
              <w:keepNext w:val="0"/>
              <w:keepLines w:val="0"/>
              <w:suppressLineNumbers w:val="0"/>
              <w:spacing w:before="0" w:beforeAutospacing="0" w:after="0" w:afterAutospacing="0"/>
              <w:ind w:left="0" w:leftChars="0" w:right="0" w:rightChars="0"/>
              <w:jc w:val="center"/>
              <w:rPr>
                <w:rFonts w:hAnsi="宋体" w:cs="宋体"/>
                <w:snapToGrid w:val="0"/>
                <w:color w:val="000000"/>
                <w:kern w:val="21"/>
                <w:szCs w:val="21"/>
              </w:rPr>
            </w:pPr>
            <w:r>
              <w:rPr>
                <w:rFonts w:hint="default" w:ascii="Times New Roman" w:hAnsi="Times New Roman" w:eastAsia="宋体" w:cs="Times New Roman"/>
                <w:szCs w:val="21"/>
                <w:highlight w:val="none"/>
              </w:rPr>
              <w:t>COD</w:t>
            </w:r>
          </w:p>
        </w:tc>
        <w:tc>
          <w:tcPr>
            <w:tcW w:w="1701" w:type="dxa"/>
            <w:noWrap w:val="0"/>
            <w:vAlign w:val="center"/>
          </w:tcPr>
          <w:p w14:paraId="3A9CDC63">
            <w:pPr>
              <w:spacing w:beforeLines="0" w:afterLines="0" w:line="240" w:lineRule="auto"/>
              <w:jc w:val="center"/>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117" w:type="dxa"/>
            <w:noWrap w:val="0"/>
            <w:vAlign w:val="center"/>
          </w:tcPr>
          <w:p w14:paraId="776ECD51">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600" w:type="dxa"/>
            <w:noWrap w:val="0"/>
            <w:vAlign w:val="center"/>
          </w:tcPr>
          <w:p w14:paraId="55CD6EEA">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487" w:type="dxa"/>
            <w:noWrap w:val="0"/>
            <w:vAlign w:val="center"/>
          </w:tcPr>
          <w:p w14:paraId="606C740F">
            <w:pPr>
              <w:keepNext w:val="0"/>
              <w:keepLines w:val="0"/>
              <w:widowControl/>
              <w:suppressLineNumbers w:val="0"/>
              <w:jc w:val="center"/>
              <w:textAlignment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0.269t/a</w:t>
            </w:r>
          </w:p>
        </w:tc>
        <w:tc>
          <w:tcPr>
            <w:tcW w:w="1825" w:type="dxa"/>
            <w:noWrap w:val="0"/>
            <w:vAlign w:val="center"/>
          </w:tcPr>
          <w:p w14:paraId="2F890FA1">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850" w:type="dxa"/>
            <w:noWrap w:val="0"/>
            <w:vAlign w:val="center"/>
          </w:tcPr>
          <w:p w14:paraId="0B33CB40">
            <w:pPr>
              <w:keepNext w:val="0"/>
              <w:keepLines w:val="0"/>
              <w:widowControl/>
              <w:suppressLineNumbers w:val="0"/>
              <w:jc w:val="center"/>
              <w:textAlignment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0.269t/a</w:t>
            </w:r>
          </w:p>
        </w:tc>
        <w:tc>
          <w:tcPr>
            <w:tcW w:w="1203" w:type="dxa"/>
            <w:noWrap w:val="0"/>
            <w:vAlign w:val="center"/>
          </w:tcPr>
          <w:p w14:paraId="40B7FA12">
            <w:pPr>
              <w:keepNext w:val="0"/>
              <w:keepLines w:val="0"/>
              <w:widowControl/>
              <w:suppressLineNumbers w:val="0"/>
              <w:jc w:val="center"/>
              <w:textAlignment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0.269t/a</w:t>
            </w:r>
          </w:p>
        </w:tc>
      </w:tr>
      <w:tr w14:paraId="0DAA68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94" w:type="dxa"/>
            <w:vMerge w:val="continue"/>
            <w:noWrap w:val="0"/>
            <w:vAlign w:val="center"/>
          </w:tcPr>
          <w:p w14:paraId="5080DBAB">
            <w:pPr>
              <w:spacing w:beforeLines="0" w:afterLines="0" w:line="240" w:lineRule="auto"/>
              <w:jc w:val="center"/>
              <w:rPr>
                <w:rFonts w:hint="eastAsia" w:hAnsi="宋体" w:cs="宋体"/>
                <w:snapToGrid w:val="0"/>
                <w:color w:val="000000"/>
                <w:kern w:val="21"/>
                <w:szCs w:val="21"/>
              </w:rPr>
            </w:pPr>
          </w:p>
        </w:tc>
        <w:tc>
          <w:tcPr>
            <w:tcW w:w="1811" w:type="dxa"/>
            <w:noWrap w:val="0"/>
            <w:vAlign w:val="center"/>
          </w:tcPr>
          <w:p w14:paraId="37CC2040">
            <w:pPr>
              <w:keepNext w:val="0"/>
              <w:keepLines w:val="0"/>
              <w:suppressLineNumbers w:val="0"/>
              <w:spacing w:before="0" w:beforeAutospacing="0" w:after="0" w:afterAutospacing="0"/>
              <w:ind w:left="0" w:leftChars="0" w:right="0" w:rightChars="0"/>
              <w:jc w:val="center"/>
              <w:rPr>
                <w:rFonts w:hint="eastAsia" w:hAnsi="宋体" w:eastAsia="宋体" w:cs="宋体"/>
                <w:snapToGrid w:val="0"/>
                <w:color w:val="000000"/>
                <w:kern w:val="21"/>
                <w:szCs w:val="21"/>
                <w:lang w:val="en-US" w:eastAsia="zh-CN"/>
              </w:rPr>
            </w:pPr>
            <w:r>
              <w:rPr>
                <w:rFonts w:hint="default" w:ascii="Times New Roman" w:hAnsi="Times New Roman" w:eastAsia="宋体" w:cs="Times New Roman"/>
                <w:szCs w:val="21"/>
                <w:highlight w:val="none"/>
              </w:rPr>
              <w:t>BOD</w:t>
            </w:r>
            <w:r>
              <w:rPr>
                <w:rFonts w:hint="eastAsia" w:cs="Times New Roman"/>
                <w:szCs w:val="21"/>
                <w:highlight w:val="none"/>
                <w:vertAlign w:val="subscript"/>
                <w:lang w:val="en-US" w:eastAsia="zh-CN"/>
              </w:rPr>
              <w:t>5</w:t>
            </w:r>
          </w:p>
        </w:tc>
        <w:tc>
          <w:tcPr>
            <w:tcW w:w="1701" w:type="dxa"/>
            <w:noWrap w:val="0"/>
            <w:vAlign w:val="center"/>
          </w:tcPr>
          <w:p w14:paraId="5C7F910A">
            <w:pPr>
              <w:spacing w:beforeLines="0" w:afterLines="0" w:line="240" w:lineRule="auto"/>
              <w:jc w:val="center"/>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117" w:type="dxa"/>
            <w:noWrap w:val="0"/>
            <w:vAlign w:val="center"/>
          </w:tcPr>
          <w:p w14:paraId="543B0A7E">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600" w:type="dxa"/>
            <w:noWrap w:val="0"/>
            <w:vAlign w:val="center"/>
          </w:tcPr>
          <w:p w14:paraId="7E0A05AC">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487" w:type="dxa"/>
            <w:noWrap w:val="0"/>
            <w:vAlign w:val="center"/>
          </w:tcPr>
          <w:p w14:paraId="161EF808">
            <w:pPr>
              <w:keepNext w:val="0"/>
              <w:keepLines w:val="0"/>
              <w:widowControl/>
              <w:suppressLineNumbers w:val="0"/>
              <w:jc w:val="center"/>
              <w:textAlignment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0.192t/a</w:t>
            </w:r>
          </w:p>
        </w:tc>
        <w:tc>
          <w:tcPr>
            <w:tcW w:w="1825" w:type="dxa"/>
            <w:noWrap w:val="0"/>
            <w:vAlign w:val="center"/>
          </w:tcPr>
          <w:p w14:paraId="04816C4A">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850" w:type="dxa"/>
            <w:noWrap w:val="0"/>
            <w:vAlign w:val="center"/>
          </w:tcPr>
          <w:p w14:paraId="0F4D1808">
            <w:pPr>
              <w:keepNext w:val="0"/>
              <w:keepLines w:val="0"/>
              <w:widowControl/>
              <w:suppressLineNumbers w:val="0"/>
              <w:jc w:val="center"/>
              <w:textAlignment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0.192t/a</w:t>
            </w:r>
          </w:p>
        </w:tc>
        <w:tc>
          <w:tcPr>
            <w:tcW w:w="1203" w:type="dxa"/>
            <w:noWrap w:val="0"/>
            <w:vAlign w:val="center"/>
          </w:tcPr>
          <w:p w14:paraId="26B66219">
            <w:pPr>
              <w:keepNext w:val="0"/>
              <w:keepLines w:val="0"/>
              <w:widowControl/>
              <w:suppressLineNumbers w:val="0"/>
              <w:jc w:val="center"/>
              <w:textAlignment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0.192t/a</w:t>
            </w:r>
          </w:p>
        </w:tc>
      </w:tr>
      <w:tr w14:paraId="6E1E4B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1194" w:type="dxa"/>
            <w:vMerge w:val="continue"/>
            <w:noWrap w:val="0"/>
            <w:vAlign w:val="center"/>
          </w:tcPr>
          <w:p w14:paraId="65DB155B">
            <w:pPr>
              <w:spacing w:beforeLines="0" w:afterLines="0" w:line="240" w:lineRule="auto"/>
              <w:jc w:val="center"/>
              <w:rPr>
                <w:rFonts w:hint="eastAsia" w:hAnsi="宋体" w:cs="宋体"/>
                <w:snapToGrid w:val="0"/>
                <w:color w:val="000000"/>
                <w:kern w:val="21"/>
                <w:szCs w:val="21"/>
              </w:rPr>
            </w:pPr>
          </w:p>
        </w:tc>
        <w:tc>
          <w:tcPr>
            <w:tcW w:w="1811" w:type="dxa"/>
            <w:noWrap w:val="0"/>
            <w:vAlign w:val="center"/>
          </w:tcPr>
          <w:p w14:paraId="20DBE653">
            <w:pPr>
              <w:keepNext w:val="0"/>
              <w:keepLines w:val="0"/>
              <w:suppressLineNumbers w:val="0"/>
              <w:spacing w:before="0" w:beforeAutospacing="0" w:after="0" w:afterAutospacing="0"/>
              <w:ind w:left="0" w:leftChars="0" w:right="0" w:rightChars="0"/>
              <w:jc w:val="center"/>
              <w:rPr>
                <w:rFonts w:hint="eastAsia" w:hAnsi="宋体" w:cs="宋体"/>
                <w:snapToGrid w:val="0"/>
                <w:color w:val="000000"/>
                <w:kern w:val="21"/>
                <w:szCs w:val="21"/>
              </w:rPr>
            </w:pPr>
            <w:r>
              <w:rPr>
                <w:rFonts w:hint="default" w:ascii="Times New Roman" w:hAnsi="Times New Roman" w:eastAsia="宋体" w:cs="Times New Roman"/>
                <w:szCs w:val="21"/>
                <w:highlight w:val="none"/>
              </w:rPr>
              <w:t>SS</w:t>
            </w:r>
          </w:p>
        </w:tc>
        <w:tc>
          <w:tcPr>
            <w:tcW w:w="1701" w:type="dxa"/>
            <w:noWrap w:val="0"/>
            <w:vAlign w:val="center"/>
          </w:tcPr>
          <w:p w14:paraId="46A001D6">
            <w:pPr>
              <w:spacing w:beforeLines="0" w:afterLines="0" w:line="240" w:lineRule="auto"/>
              <w:jc w:val="center"/>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117" w:type="dxa"/>
            <w:noWrap w:val="0"/>
            <w:vAlign w:val="center"/>
          </w:tcPr>
          <w:p w14:paraId="755D9021">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600" w:type="dxa"/>
            <w:noWrap w:val="0"/>
            <w:vAlign w:val="center"/>
          </w:tcPr>
          <w:p w14:paraId="3B40B35F">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487" w:type="dxa"/>
            <w:noWrap w:val="0"/>
            <w:vAlign w:val="center"/>
          </w:tcPr>
          <w:p w14:paraId="53A97DEA">
            <w:pPr>
              <w:keepNext w:val="0"/>
              <w:keepLines w:val="0"/>
              <w:widowControl/>
              <w:suppressLineNumbers w:val="0"/>
              <w:jc w:val="center"/>
              <w:textAlignment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0.154t/a</w:t>
            </w:r>
          </w:p>
        </w:tc>
        <w:tc>
          <w:tcPr>
            <w:tcW w:w="1825" w:type="dxa"/>
            <w:noWrap w:val="0"/>
            <w:vAlign w:val="center"/>
          </w:tcPr>
          <w:p w14:paraId="41158594">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850" w:type="dxa"/>
            <w:noWrap w:val="0"/>
            <w:vAlign w:val="center"/>
          </w:tcPr>
          <w:p w14:paraId="3678A530">
            <w:pPr>
              <w:keepNext w:val="0"/>
              <w:keepLines w:val="0"/>
              <w:widowControl/>
              <w:suppressLineNumbers w:val="0"/>
              <w:jc w:val="center"/>
              <w:textAlignment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0.154t/a</w:t>
            </w:r>
          </w:p>
        </w:tc>
        <w:tc>
          <w:tcPr>
            <w:tcW w:w="1203" w:type="dxa"/>
            <w:noWrap w:val="0"/>
            <w:vAlign w:val="center"/>
          </w:tcPr>
          <w:p w14:paraId="4D6FA135">
            <w:pPr>
              <w:keepNext w:val="0"/>
              <w:keepLines w:val="0"/>
              <w:widowControl/>
              <w:suppressLineNumbers w:val="0"/>
              <w:jc w:val="center"/>
              <w:textAlignment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0.154t/a</w:t>
            </w:r>
          </w:p>
        </w:tc>
      </w:tr>
      <w:tr w14:paraId="3C8DB4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194" w:type="dxa"/>
            <w:vMerge w:val="continue"/>
            <w:noWrap w:val="0"/>
            <w:vAlign w:val="center"/>
          </w:tcPr>
          <w:p w14:paraId="6F0B75AA">
            <w:pPr>
              <w:spacing w:beforeLines="0" w:afterLines="0" w:line="240" w:lineRule="auto"/>
              <w:jc w:val="center"/>
              <w:rPr>
                <w:rFonts w:hint="eastAsia" w:hAnsi="宋体" w:cs="宋体"/>
                <w:snapToGrid w:val="0"/>
                <w:color w:val="000000"/>
                <w:kern w:val="21"/>
                <w:szCs w:val="21"/>
              </w:rPr>
            </w:pPr>
          </w:p>
        </w:tc>
        <w:tc>
          <w:tcPr>
            <w:tcW w:w="1811" w:type="dxa"/>
            <w:noWrap w:val="0"/>
            <w:vAlign w:val="center"/>
          </w:tcPr>
          <w:p w14:paraId="409AB503">
            <w:pPr>
              <w:keepNext w:val="0"/>
              <w:keepLines w:val="0"/>
              <w:suppressLineNumbers w:val="0"/>
              <w:spacing w:before="0" w:beforeAutospacing="0" w:after="0" w:afterAutospacing="0"/>
              <w:ind w:left="0" w:leftChars="0" w:right="0" w:rightChars="0"/>
              <w:jc w:val="center"/>
              <w:rPr>
                <w:rFonts w:hint="eastAsia" w:hAnsi="宋体" w:cs="宋体"/>
                <w:snapToGrid w:val="0"/>
                <w:color w:val="000000"/>
                <w:kern w:val="21"/>
                <w:szCs w:val="21"/>
              </w:rPr>
            </w:pPr>
            <w:r>
              <w:rPr>
                <w:rFonts w:hint="eastAsia" w:ascii="Times New Roman" w:hAnsi="Times New Roman" w:eastAsia="宋体" w:cs="Times New Roman"/>
                <w:szCs w:val="21"/>
                <w:highlight w:val="none"/>
                <w:lang w:val="en-US" w:eastAsia="zh-CN"/>
              </w:rPr>
              <w:t>氨氮</w:t>
            </w:r>
          </w:p>
        </w:tc>
        <w:tc>
          <w:tcPr>
            <w:tcW w:w="1701" w:type="dxa"/>
            <w:noWrap w:val="0"/>
            <w:vAlign w:val="center"/>
          </w:tcPr>
          <w:p w14:paraId="3D8C512C">
            <w:pPr>
              <w:spacing w:beforeLines="0" w:afterLines="0" w:line="240" w:lineRule="auto"/>
              <w:jc w:val="center"/>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117" w:type="dxa"/>
            <w:noWrap w:val="0"/>
            <w:vAlign w:val="center"/>
          </w:tcPr>
          <w:p w14:paraId="53F66E23">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600" w:type="dxa"/>
            <w:noWrap w:val="0"/>
            <w:vAlign w:val="center"/>
          </w:tcPr>
          <w:p w14:paraId="60BD3676">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487" w:type="dxa"/>
            <w:noWrap w:val="0"/>
            <w:vAlign w:val="center"/>
          </w:tcPr>
          <w:p w14:paraId="38957B8F">
            <w:pPr>
              <w:keepNext w:val="0"/>
              <w:keepLines w:val="0"/>
              <w:widowControl/>
              <w:suppressLineNumbers w:val="0"/>
              <w:jc w:val="center"/>
              <w:textAlignment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0.023t/a</w:t>
            </w:r>
          </w:p>
        </w:tc>
        <w:tc>
          <w:tcPr>
            <w:tcW w:w="1825" w:type="dxa"/>
            <w:noWrap w:val="0"/>
            <w:vAlign w:val="center"/>
          </w:tcPr>
          <w:p w14:paraId="25F25CAE">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850" w:type="dxa"/>
            <w:noWrap w:val="0"/>
            <w:vAlign w:val="center"/>
          </w:tcPr>
          <w:p w14:paraId="4DE15B9A">
            <w:pPr>
              <w:keepNext w:val="0"/>
              <w:keepLines w:val="0"/>
              <w:widowControl/>
              <w:suppressLineNumbers w:val="0"/>
              <w:jc w:val="center"/>
              <w:textAlignment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0.023t/a</w:t>
            </w:r>
          </w:p>
        </w:tc>
        <w:tc>
          <w:tcPr>
            <w:tcW w:w="1203" w:type="dxa"/>
            <w:noWrap w:val="0"/>
            <w:vAlign w:val="center"/>
          </w:tcPr>
          <w:p w14:paraId="4DEEE80A">
            <w:pPr>
              <w:keepNext w:val="0"/>
              <w:keepLines w:val="0"/>
              <w:widowControl/>
              <w:suppressLineNumbers w:val="0"/>
              <w:jc w:val="center"/>
              <w:textAlignment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0.023t/a</w:t>
            </w:r>
          </w:p>
        </w:tc>
      </w:tr>
      <w:tr w14:paraId="7AD98A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194" w:type="dxa"/>
            <w:vMerge w:val="continue"/>
            <w:noWrap w:val="0"/>
            <w:vAlign w:val="center"/>
          </w:tcPr>
          <w:p w14:paraId="7BC78C58">
            <w:pPr>
              <w:spacing w:beforeLines="0" w:afterLines="0" w:line="240" w:lineRule="auto"/>
              <w:jc w:val="center"/>
              <w:rPr>
                <w:rFonts w:hint="eastAsia" w:hAnsi="宋体" w:cs="宋体"/>
                <w:snapToGrid w:val="0"/>
                <w:color w:val="000000"/>
                <w:kern w:val="21"/>
                <w:szCs w:val="21"/>
              </w:rPr>
            </w:pPr>
          </w:p>
        </w:tc>
        <w:tc>
          <w:tcPr>
            <w:tcW w:w="1811" w:type="dxa"/>
            <w:noWrap w:val="0"/>
            <w:vAlign w:val="center"/>
          </w:tcPr>
          <w:p w14:paraId="2C05539F">
            <w:pPr>
              <w:keepNext w:val="0"/>
              <w:keepLines w:val="0"/>
              <w:widowControl w:val="0"/>
              <w:suppressLineNumbers w:val="0"/>
              <w:adjustRightInd w:val="0"/>
              <w:snapToGrid w:val="0"/>
              <w:spacing w:before="0" w:beforeLines="0" w:beforeAutospacing="0" w:after="0" w:afterLines="0" w:afterAutospacing="0" w:line="240" w:lineRule="auto"/>
              <w:ind w:left="0" w:leftChars="0" w:right="0" w:rightChars="0"/>
              <w:jc w:val="center"/>
              <w:rPr>
                <w:rFonts w:hint="eastAsia" w:hAnsi="宋体" w:cs="宋体"/>
                <w:snapToGrid w:val="0"/>
                <w:color w:val="000000"/>
                <w:kern w:val="21"/>
                <w:szCs w:val="21"/>
              </w:rPr>
            </w:pPr>
            <w:r>
              <w:rPr>
                <w:rFonts w:hint="eastAsia" w:ascii="Times New Roman" w:hAnsi="宋体" w:eastAsia="宋体" w:cs="宋体"/>
                <w:snapToGrid w:val="0"/>
                <w:color w:val="000000"/>
                <w:kern w:val="21"/>
                <w:sz w:val="21"/>
                <w:szCs w:val="21"/>
                <w:lang w:val="en-US" w:eastAsia="zh-CN" w:bidi="ar-SA"/>
              </w:rPr>
              <w:t>动植物油</w:t>
            </w:r>
          </w:p>
        </w:tc>
        <w:tc>
          <w:tcPr>
            <w:tcW w:w="1701" w:type="dxa"/>
            <w:noWrap w:val="0"/>
            <w:vAlign w:val="center"/>
          </w:tcPr>
          <w:p w14:paraId="2D58C5A6">
            <w:pPr>
              <w:spacing w:beforeLines="0" w:afterLines="0" w:line="240" w:lineRule="auto"/>
              <w:jc w:val="center"/>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117" w:type="dxa"/>
            <w:noWrap w:val="0"/>
            <w:vAlign w:val="center"/>
          </w:tcPr>
          <w:p w14:paraId="650EADFB">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600" w:type="dxa"/>
            <w:noWrap w:val="0"/>
            <w:vAlign w:val="center"/>
          </w:tcPr>
          <w:p w14:paraId="5BB330B6">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487" w:type="dxa"/>
            <w:shd w:val="clear" w:color="auto" w:fill="auto"/>
            <w:noWrap w:val="0"/>
            <w:vAlign w:val="center"/>
          </w:tcPr>
          <w:p w14:paraId="023AA331">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0.077t/a</w:t>
            </w:r>
          </w:p>
        </w:tc>
        <w:tc>
          <w:tcPr>
            <w:tcW w:w="1825" w:type="dxa"/>
            <w:noWrap w:val="0"/>
            <w:vAlign w:val="center"/>
          </w:tcPr>
          <w:p w14:paraId="3275CA53">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850" w:type="dxa"/>
            <w:noWrap w:val="0"/>
            <w:vAlign w:val="center"/>
          </w:tcPr>
          <w:p w14:paraId="5CC8854B">
            <w:pPr>
              <w:keepNext w:val="0"/>
              <w:keepLines w:val="0"/>
              <w:widowControl/>
              <w:suppressLineNumbers w:val="0"/>
              <w:jc w:val="center"/>
              <w:textAlignment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0.077t/a</w:t>
            </w:r>
          </w:p>
        </w:tc>
        <w:tc>
          <w:tcPr>
            <w:tcW w:w="1203" w:type="dxa"/>
            <w:noWrap w:val="0"/>
            <w:vAlign w:val="center"/>
          </w:tcPr>
          <w:p w14:paraId="623A9BC2">
            <w:pPr>
              <w:keepNext w:val="0"/>
              <w:keepLines w:val="0"/>
              <w:widowControl/>
              <w:suppressLineNumbers w:val="0"/>
              <w:jc w:val="center"/>
              <w:textAlignment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0.077t/a</w:t>
            </w:r>
          </w:p>
        </w:tc>
      </w:tr>
      <w:tr w14:paraId="328215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194" w:type="dxa"/>
            <w:vMerge w:val="restart"/>
            <w:noWrap w:val="0"/>
            <w:vAlign w:val="center"/>
          </w:tcPr>
          <w:p w14:paraId="37E91831">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rPr>
              <w:t>一般工业</w:t>
            </w:r>
          </w:p>
          <w:p w14:paraId="67F776CB">
            <w:pPr>
              <w:spacing w:beforeLines="0" w:afterLines="0" w:line="240" w:lineRule="auto"/>
              <w:jc w:val="center"/>
              <w:rPr>
                <w:rFonts w:hint="eastAsia" w:hAnsi="宋体" w:cs="宋体"/>
                <w:snapToGrid w:val="0"/>
                <w:color w:val="000000"/>
                <w:kern w:val="21"/>
                <w:szCs w:val="21"/>
              </w:rPr>
            </w:pPr>
            <w:r>
              <w:rPr>
                <w:rFonts w:hint="eastAsia" w:hAnsi="宋体" w:cs="宋体"/>
                <w:snapToGrid w:val="0"/>
                <w:color w:val="000000"/>
                <w:kern w:val="21"/>
                <w:szCs w:val="21"/>
              </w:rPr>
              <w:t>固体废物</w:t>
            </w:r>
          </w:p>
        </w:tc>
        <w:tc>
          <w:tcPr>
            <w:tcW w:w="1811" w:type="dxa"/>
            <w:noWrap w:val="0"/>
            <w:vAlign w:val="center"/>
          </w:tcPr>
          <w:p w14:paraId="0946169A">
            <w:pPr>
              <w:pStyle w:val="40"/>
              <w:bidi w:val="0"/>
              <w:rPr>
                <w:rFonts w:hAnsi="宋体" w:cs="宋体"/>
                <w:snapToGrid w:val="0"/>
                <w:color w:val="000000"/>
                <w:kern w:val="21"/>
                <w:szCs w:val="21"/>
              </w:rPr>
            </w:pPr>
            <w:r>
              <w:rPr>
                <w:rFonts w:hint="default"/>
                <w:highlight w:val="none"/>
                <w:lang w:val="en-US" w:eastAsia="zh-CN"/>
              </w:rPr>
              <w:t>除尘器收集的粉尘</w:t>
            </w:r>
          </w:p>
        </w:tc>
        <w:tc>
          <w:tcPr>
            <w:tcW w:w="1701" w:type="dxa"/>
            <w:noWrap w:val="0"/>
            <w:vAlign w:val="center"/>
          </w:tcPr>
          <w:p w14:paraId="5A473365">
            <w:pPr>
              <w:pStyle w:val="40"/>
              <w:bidi w:val="0"/>
              <w:jc w:val="center"/>
              <w:rPr>
                <w:rFonts w:hAnsi="宋体" w:cs="宋体"/>
                <w:snapToGrid w:val="0"/>
                <w:color w:val="000000"/>
                <w:kern w:val="21"/>
                <w:szCs w:val="21"/>
              </w:rPr>
            </w:pPr>
            <w:r>
              <w:rPr>
                <w:rFonts w:hint="eastAsia"/>
                <w:lang w:val="en-US" w:eastAsia="zh-CN"/>
              </w:rPr>
              <w:t>/</w:t>
            </w:r>
          </w:p>
        </w:tc>
        <w:tc>
          <w:tcPr>
            <w:tcW w:w="1117" w:type="dxa"/>
            <w:noWrap w:val="0"/>
            <w:vAlign w:val="center"/>
          </w:tcPr>
          <w:p w14:paraId="497A0998">
            <w:pPr>
              <w:pStyle w:val="40"/>
              <w:bidi w:val="0"/>
              <w:jc w:val="center"/>
              <w:rPr>
                <w:rFonts w:hAnsi="宋体" w:cs="宋体"/>
                <w:snapToGrid w:val="0"/>
                <w:color w:val="000000"/>
                <w:kern w:val="21"/>
                <w:szCs w:val="21"/>
              </w:rPr>
            </w:pPr>
            <w:r>
              <w:rPr>
                <w:rFonts w:hint="eastAsia"/>
                <w:lang w:val="en-US" w:eastAsia="zh-CN"/>
              </w:rPr>
              <w:t>/</w:t>
            </w:r>
          </w:p>
        </w:tc>
        <w:tc>
          <w:tcPr>
            <w:tcW w:w="1600" w:type="dxa"/>
            <w:noWrap w:val="0"/>
            <w:vAlign w:val="center"/>
          </w:tcPr>
          <w:p w14:paraId="5F975870">
            <w:pPr>
              <w:pStyle w:val="40"/>
              <w:bidi w:val="0"/>
              <w:jc w:val="center"/>
              <w:rPr>
                <w:rFonts w:hAnsi="宋体" w:cs="宋体"/>
                <w:snapToGrid w:val="0"/>
                <w:color w:val="000000"/>
                <w:kern w:val="21"/>
                <w:szCs w:val="21"/>
              </w:rPr>
            </w:pPr>
            <w:r>
              <w:rPr>
                <w:rFonts w:hint="eastAsia"/>
                <w:lang w:val="en-US" w:eastAsia="zh-CN"/>
              </w:rPr>
              <w:t>/</w:t>
            </w:r>
          </w:p>
        </w:tc>
        <w:tc>
          <w:tcPr>
            <w:tcW w:w="1487" w:type="dxa"/>
            <w:noWrap w:val="0"/>
            <w:vAlign w:val="center"/>
          </w:tcPr>
          <w:p w14:paraId="38CE4377">
            <w:pPr>
              <w:pStyle w:val="40"/>
              <w:bidi w:val="0"/>
              <w:rPr>
                <w:rFonts w:hAnsi="宋体" w:cs="宋体"/>
                <w:snapToGrid w:val="0"/>
                <w:color w:val="000000"/>
                <w:kern w:val="21"/>
                <w:szCs w:val="21"/>
              </w:rPr>
            </w:pPr>
            <w:r>
              <w:rPr>
                <w:rFonts w:hint="eastAsia"/>
                <w:highlight w:val="none"/>
                <w:lang w:val="en-US" w:eastAsia="zh-CN"/>
              </w:rPr>
              <w:t>111.415t/a</w:t>
            </w:r>
          </w:p>
        </w:tc>
        <w:tc>
          <w:tcPr>
            <w:tcW w:w="1825" w:type="dxa"/>
            <w:noWrap w:val="0"/>
            <w:vAlign w:val="center"/>
          </w:tcPr>
          <w:p w14:paraId="48F80F5C">
            <w:pPr>
              <w:pStyle w:val="40"/>
              <w:bidi w:val="0"/>
              <w:jc w:val="center"/>
              <w:rPr>
                <w:rFonts w:hAnsi="宋体" w:cs="宋体"/>
                <w:snapToGrid w:val="0"/>
                <w:color w:val="000000"/>
                <w:kern w:val="21"/>
                <w:szCs w:val="21"/>
              </w:rPr>
            </w:pPr>
            <w:r>
              <w:rPr>
                <w:rFonts w:hint="eastAsia"/>
                <w:lang w:val="en-US" w:eastAsia="zh-CN"/>
              </w:rPr>
              <w:t>/</w:t>
            </w:r>
          </w:p>
        </w:tc>
        <w:tc>
          <w:tcPr>
            <w:tcW w:w="1850" w:type="dxa"/>
            <w:noWrap w:val="0"/>
            <w:vAlign w:val="center"/>
          </w:tcPr>
          <w:p w14:paraId="3A716422">
            <w:pPr>
              <w:bidi w:val="0"/>
              <w:ind w:left="0" w:leftChars="0" w:right="0" w:rightChars="0" w:firstLine="0" w:firstLineChars="0"/>
              <w:jc w:val="center"/>
              <w:rPr>
                <w:rFonts w:hAnsi="宋体" w:cs="宋体"/>
                <w:snapToGrid w:val="0"/>
                <w:color w:val="000000"/>
                <w:kern w:val="21"/>
                <w:szCs w:val="21"/>
              </w:rPr>
            </w:pPr>
            <w:r>
              <w:rPr>
                <w:rFonts w:hint="eastAsia"/>
                <w:highlight w:val="none"/>
                <w:lang w:val="en-US" w:eastAsia="zh-CN"/>
              </w:rPr>
              <w:t>111.415t/a</w:t>
            </w:r>
          </w:p>
        </w:tc>
        <w:tc>
          <w:tcPr>
            <w:tcW w:w="1203" w:type="dxa"/>
            <w:noWrap w:val="0"/>
            <w:vAlign w:val="center"/>
          </w:tcPr>
          <w:p w14:paraId="6DB55168">
            <w:pPr>
              <w:bidi w:val="0"/>
              <w:ind w:left="0" w:leftChars="0" w:right="0" w:rightChars="0" w:firstLine="0" w:firstLineChars="0"/>
              <w:jc w:val="center"/>
              <w:rPr>
                <w:rFonts w:hint="eastAsia"/>
                <w:lang w:val="en-US" w:eastAsia="zh-CN"/>
              </w:rPr>
            </w:pPr>
            <w:r>
              <w:rPr>
                <w:rFonts w:hint="eastAsia"/>
                <w:highlight w:val="none"/>
                <w:lang w:val="en-US" w:eastAsia="zh-CN"/>
              </w:rPr>
              <w:t>111.415t/a</w:t>
            </w:r>
          </w:p>
        </w:tc>
      </w:tr>
      <w:tr w14:paraId="49A0B2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194" w:type="dxa"/>
            <w:vMerge w:val="continue"/>
            <w:noWrap w:val="0"/>
            <w:vAlign w:val="center"/>
          </w:tcPr>
          <w:p w14:paraId="6D57BAA0">
            <w:pPr>
              <w:spacing w:beforeLines="0" w:afterLines="0" w:line="240" w:lineRule="auto"/>
              <w:jc w:val="center"/>
              <w:rPr>
                <w:rFonts w:hAnsi="宋体" w:cs="宋体"/>
                <w:snapToGrid w:val="0"/>
                <w:color w:val="000000"/>
                <w:kern w:val="21"/>
                <w:szCs w:val="21"/>
              </w:rPr>
            </w:pPr>
          </w:p>
        </w:tc>
        <w:tc>
          <w:tcPr>
            <w:tcW w:w="1811" w:type="dxa"/>
            <w:noWrap w:val="0"/>
            <w:vAlign w:val="center"/>
          </w:tcPr>
          <w:p w14:paraId="21AB01F2">
            <w:pPr>
              <w:pStyle w:val="40"/>
              <w:bidi w:val="0"/>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废钢筋</w:t>
            </w:r>
          </w:p>
        </w:tc>
        <w:tc>
          <w:tcPr>
            <w:tcW w:w="1701" w:type="dxa"/>
            <w:noWrap w:val="0"/>
            <w:vAlign w:val="center"/>
          </w:tcPr>
          <w:p w14:paraId="31100630">
            <w:pPr>
              <w:pStyle w:val="40"/>
              <w:bidi w:val="0"/>
              <w:jc w:val="center"/>
              <w:rPr>
                <w:rFonts w:hAnsi="宋体" w:cs="宋体"/>
                <w:snapToGrid w:val="0"/>
                <w:color w:val="000000"/>
                <w:kern w:val="21"/>
                <w:szCs w:val="21"/>
              </w:rPr>
            </w:pPr>
            <w:r>
              <w:rPr>
                <w:rFonts w:hint="eastAsia"/>
                <w:lang w:val="en-US" w:eastAsia="zh-CN"/>
              </w:rPr>
              <w:t>/</w:t>
            </w:r>
          </w:p>
        </w:tc>
        <w:tc>
          <w:tcPr>
            <w:tcW w:w="1117" w:type="dxa"/>
            <w:noWrap w:val="0"/>
            <w:vAlign w:val="center"/>
          </w:tcPr>
          <w:p w14:paraId="0A798AA4">
            <w:pPr>
              <w:pStyle w:val="40"/>
              <w:bidi w:val="0"/>
              <w:jc w:val="center"/>
              <w:rPr>
                <w:rFonts w:hAnsi="宋体" w:cs="宋体"/>
                <w:snapToGrid w:val="0"/>
                <w:color w:val="000000"/>
                <w:kern w:val="21"/>
                <w:szCs w:val="21"/>
              </w:rPr>
            </w:pPr>
            <w:r>
              <w:rPr>
                <w:rFonts w:hint="eastAsia"/>
                <w:lang w:val="en-US" w:eastAsia="zh-CN"/>
              </w:rPr>
              <w:t>/</w:t>
            </w:r>
          </w:p>
        </w:tc>
        <w:tc>
          <w:tcPr>
            <w:tcW w:w="1600" w:type="dxa"/>
            <w:noWrap w:val="0"/>
            <w:vAlign w:val="center"/>
          </w:tcPr>
          <w:p w14:paraId="66CA39AF">
            <w:pPr>
              <w:pStyle w:val="40"/>
              <w:bidi w:val="0"/>
              <w:jc w:val="center"/>
              <w:rPr>
                <w:rFonts w:hAnsi="宋体" w:cs="宋体"/>
                <w:snapToGrid w:val="0"/>
                <w:color w:val="000000"/>
                <w:kern w:val="21"/>
                <w:szCs w:val="21"/>
              </w:rPr>
            </w:pPr>
            <w:r>
              <w:rPr>
                <w:rFonts w:hint="eastAsia"/>
                <w:lang w:val="en-US" w:eastAsia="zh-CN"/>
              </w:rPr>
              <w:t>/</w:t>
            </w:r>
          </w:p>
        </w:tc>
        <w:tc>
          <w:tcPr>
            <w:tcW w:w="1487" w:type="dxa"/>
            <w:noWrap w:val="0"/>
            <w:vAlign w:val="center"/>
          </w:tcPr>
          <w:p w14:paraId="6EEA7F80">
            <w:pPr>
              <w:pStyle w:val="40"/>
              <w:bidi w:val="0"/>
              <w:rPr>
                <w:rFonts w:hAnsi="宋体" w:cs="宋体"/>
                <w:snapToGrid w:val="0"/>
                <w:color w:val="000000"/>
                <w:kern w:val="21"/>
                <w:szCs w:val="21"/>
              </w:rPr>
            </w:pPr>
            <w:r>
              <w:rPr>
                <w:rFonts w:hint="eastAsia"/>
                <w:highlight w:val="none"/>
                <w:lang w:val="en-US" w:eastAsia="zh-CN"/>
              </w:rPr>
              <w:t>3t/a</w:t>
            </w:r>
          </w:p>
        </w:tc>
        <w:tc>
          <w:tcPr>
            <w:tcW w:w="1825" w:type="dxa"/>
            <w:noWrap w:val="0"/>
            <w:vAlign w:val="center"/>
          </w:tcPr>
          <w:p w14:paraId="59953346">
            <w:pPr>
              <w:pStyle w:val="40"/>
              <w:bidi w:val="0"/>
              <w:jc w:val="center"/>
              <w:rPr>
                <w:rFonts w:hAnsi="宋体" w:cs="宋体"/>
                <w:snapToGrid w:val="0"/>
                <w:color w:val="000000"/>
                <w:kern w:val="21"/>
                <w:szCs w:val="21"/>
              </w:rPr>
            </w:pPr>
            <w:r>
              <w:rPr>
                <w:rFonts w:hint="eastAsia"/>
                <w:lang w:val="en-US" w:eastAsia="zh-CN"/>
              </w:rPr>
              <w:t>/</w:t>
            </w:r>
          </w:p>
        </w:tc>
        <w:tc>
          <w:tcPr>
            <w:tcW w:w="1850" w:type="dxa"/>
            <w:noWrap w:val="0"/>
            <w:vAlign w:val="center"/>
          </w:tcPr>
          <w:p w14:paraId="6C055D06">
            <w:pPr>
              <w:pStyle w:val="40"/>
              <w:bidi w:val="0"/>
              <w:rPr>
                <w:rFonts w:hAnsi="宋体" w:cs="宋体"/>
                <w:snapToGrid w:val="0"/>
                <w:color w:val="000000"/>
                <w:kern w:val="21"/>
                <w:szCs w:val="21"/>
              </w:rPr>
            </w:pPr>
            <w:r>
              <w:rPr>
                <w:rFonts w:hint="eastAsia"/>
                <w:highlight w:val="none"/>
                <w:lang w:val="en-US" w:eastAsia="zh-CN"/>
              </w:rPr>
              <w:t>3t/a</w:t>
            </w:r>
          </w:p>
        </w:tc>
        <w:tc>
          <w:tcPr>
            <w:tcW w:w="1203" w:type="dxa"/>
            <w:noWrap w:val="0"/>
            <w:vAlign w:val="center"/>
          </w:tcPr>
          <w:p w14:paraId="358583B4">
            <w:pPr>
              <w:pStyle w:val="40"/>
              <w:bidi w:val="0"/>
              <w:rPr>
                <w:rFonts w:hAnsi="宋体" w:cs="宋体"/>
                <w:snapToGrid w:val="0"/>
                <w:color w:val="000000"/>
                <w:kern w:val="21"/>
                <w:szCs w:val="21"/>
              </w:rPr>
            </w:pPr>
            <w:r>
              <w:rPr>
                <w:rFonts w:hint="eastAsia"/>
                <w:highlight w:val="none"/>
                <w:lang w:val="en-US" w:eastAsia="zh-CN"/>
              </w:rPr>
              <w:t>3t/a</w:t>
            </w:r>
          </w:p>
        </w:tc>
      </w:tr>
      <w:tr w14:paraId="7FF4EA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94" w:type="dxa"/>
            <w:vMerge w:val="continue"/>
            <w:noWrap w:val="0"/>
            <w:vAlign w:val="center"/>
          </w:tcPr>
          <w:p w14:paraId="5BA1F19C">
            <w:pPr>
              <w:spacing w:beforeLines="0" w:afterLines="0" w:line="240" w:lineRule="auto"/>
              <w:jc w:val="center"/>
              <w:rPr>
                <w:rFonts w:hAnsi="宋体" w:cs="宋体"/>
                <w:snapToGrid w:val="0"/>
                <w:color w:val="000000"/>
                <w:kern w:val="21"/>
                <w:szCs w:val="21"/>
              </w:rPr>
            </w:pPr>
          </w:p>
        </w:tc>
        <w:tc>
          <w:tcPr>
            <w:tcW w:w="1811" w:type="dxa"/>
            <w:noWrap w:val="0"/>
            <w:vAlign w:val="center"/>
          </w:tcPr>
          <w:p w14:paraId="4D8838F1">
            <w:pPr>
              <w:pStyle w:val="40"/>
              <w:bidi w:val="0"/>
              <w:rPr>
                <w:rFonts w:hAnsi="宋体" w:cs="宋体"/>
                <w:snapToGrid w:val="0"/>
                <w:color w:val="000000"/>
                <w:kern w:val="21"/>
                <w:szCs w:val="21"/>
              </w:rPr>
            </w:pPr>
            <w:r>
              <w:rPr>
                <w:rFonts w:hint="default"/>
                <w:highlight w:val="none"/>
                <w:lang w:val="en-US" w:eastAsia="zh-CN"/>
              </w:rPr>
              <w:t>废包装袋</w:t>
            </w:r>
            <w:r>
              <w:rPr>
                <w:rFonts w:hint="eastAsia"/>
                <w:highlight w:val="none"/>
                <w:lang w:val="en-US" w:eastAsia="zh-CN"/>
              </w:rPr>
              <w:t>、</w:t>
            </w:r>
            <w:r>
              <w:rPr>
                <w:rFonts w:hint="default"/>
                <w:highlight w:val="none"/>
                <w:lang w:val="en-US" w:eastAsia="zh-CN"/>
              </w:rPr>
              <w:t>边角料及不合格产品</w:t>
            </w:r>
          </w:p>
        </w:tc>
        <w:tc>
          <w:tcPr>
            <w:tcW w:w="1701" w:type="dxa"/>
            <w:noWrap w:val="0"/>
            <w:vAlign w:val="center"/>
          </w:tcPr>
          <w:p w14:paraId="68B0F902">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117" w:type="dxa"/>
            <w:noWrap w:val="0"/>
            <w:vAlign w:val="center"/>
          </w:tcPr>
          <w:p w14:paraId="05BB1BE7">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600" w:type="dxa"/>
            <w:noWrap w:val="0"/>
            <w:vAlign w:val="center"/>
          </w:tcPr>
          <w:p w14:paraId="27B2BAD8">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487" w:type="dxa"/>
            <w:noWrap w:val="0"/>
            <w:vAlign w:val="center"/>
          </w:tcPr>
          <w:p w14:paraId="667D821C">
            <w:pPr>
              <w:pStyle w:val="40"/>
              <w:bidi w:val="0"/>
              <w:rPr>
                <w:rFonts w:hAnsi="宋体" w:cs="宋体"/>
                <w:snapToGrid w:val="0"/>
                <w:color w:val="000000"/>
                <w:kern w:val="21"/>
                <w:szCs w:val="21"/>
              </w:rPr>
            </w:pPr>
            <w:r>
              <w:rPr>
                <w:rFonts w:hint="eastAsia"/>
                <w:highlight w:val="none"/>
                <w:lang w:val="en-US" w:eastAsia="zh-CN"/>
              </w:rPr>
              <w:t>5.3t/a</w:t>
            </w:r>
          </w:p>
        </w:tc>
        <w:tc>
          <w:tcPr>
            <w:tcW w:w="1825" w:type="dxa"/>
            <w:noWrap w:val="0"/>
            <w:vAlign w:val="center"/>
          </w:tcPr>
          <w:p w14:paraId="1A023EEA">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850" w:type="dxa"/>
            <w:noWrap w:val="0"/>
            <w:vAlign w:val="center"/>
          </w:tcPr>
          <w:p w14:paraId="1F5101EC">
            <w:pPr>
              <w:pStyle w:val="40"/>
              <w:bidi w:val="0"/>
              <w:rPr>
                <w:rFonts w:hAnsi="宋体" w:cs="宋体"/>
                <w:snapToGrid w:val="0"/>
                <w:color w:val="000000"/>
                <w:kern w:val="21"/>
                <w:szCs w:val="21"/>
              </w:rPr>
            </w:pPr>
            <w:r>
              <w:rPr>
                <w:rFonts w:hint="eastAsia"/>
                <w:highlight w:val="none"/>
                <w:lang w:val="en-US" w:eastAsia="zh-CN"/>
              </w:rPr>
              <w:t>5.3t/a</w:t>
            </w:r>
          </w:p>
        </w:tc>
        <w:tc>
          <w:tcPr>
            <w:tcW w:w="1203" w:type="dxa"/>
            <w:noWrap w:val="0"/>
            <w:vAlign w:val="center"/>
          </w:tcPr>
          <w:p w14:paraId="53CA07A3">
            <w:pPr>
              <w:pStyle w:val="40"/>
              <w:bidi w:val="0"/>
              <w:rPr>
                <w:rFonts w:hAnsi="宋体" w:cs="宋体"/>
                <w:snapToGrid w:val="0"/>
                <w:color w:val="000000"/>
                <w:kern w:val="21"/>
                <w:szCs w:val="21"/>
              </w:rPr>
            </w:pPr>
            <w:r>
              <w:rPr>
                <w:rFonts w:hint="eastAsia"/>
                <w:highlight w:val="none"/>
                <w:lang w:val="en-US" w:eastAsia="zh-CN"/>
              </w:rPr>
              <w:t>5.3t/a</w:t>
            </w:r>
          </w:p>
        </w:tc>
      </w:tr>
      <w:tr w14:paraId="1CF886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94" w:type="dxa"/>
            <w:vMerge w:val="continue"/>
            <w:noWrap w:val="0"/>
            <w:vAlign w:val="center"/>
          </w:tcPr>
          <w:p w14:paraId="72BD0046">
            <w:pPr>
              <w:spacing w:beforeLines="0" w:afterLines="0" w:line="240" w:lineRule="auto"/>
              <w:jc w:val="center"/>
              <w:rPr>
                <w:rFonts w:hAnsi="宋体" w:cs="宋体"/>
                <w:snapToGrid w:val="0"/>
                <w:color w:val="000000"/>
                <w:kern w:val="21"/>
                <w:szCs w:val="21"/>
              </w:rPr>
            </w:pPr>
          </w:p>
        </w:tc>
        <w:tc>
          <w:tcPr>
            <w:tcW w:w="1811" w:type="dxa"/>
            <w:noWrap w:val="0"/>
            <w:vAlign w:val="center"/>
          </w:tcPr>
          <w:p w14:paraId="440E845D">
            <w:pPr>
              <w:pStyle w:val="40"/>
              <w:bidi w:val="0"/>
              <w:rPr>
                <w:rFonts w:hAnsi="宋体" w:cs="宋体"/>
                <w:snapToGrid w:val="0"/>
                <w:color w:val="000000"/>
                <w:kern w:val="21"/>
                <w:szCs w:val="21"/>
              </w:rPr>
            </w:pPr>
            <w:r>
              <w:rPr>
                <w:rFonts w:hint="default"/>
                <w:highlight w:val="none"/>
                <w:lang w:val="en-US" w:eastAsia="zh-CN"/>
              </w:rPr>
              <w:t>废布袋</w:t>
            </w:r>
          </w:p>
        </w:tc>
        <w:tc>
          <w:tcPr>
            <w:tcW w:w="1701" w:type="dxa"/>
            <w:noWrap w:val="0"/>
            <w:vAlign w:val="center"/>
          </w:tcPr>
          <w:p w14:paraId="401CF7AA">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117" w:type="dxa"/>
            <w:noWrap w:val="0"/>
            <w:vAlign w:val="center"/>
          </w:tcPr>
          <w:p w14:paraId="595B9AA4">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600" w:type="dxa"/>
            <w:noWrap w:val="0"/>
            <w:vAlign w:val="center"/>
          </w:tcPr>
          <w:p w14:paraId="655C4929">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487" w:type="dxa"/>
            <w:noWrap w:val="0"/>
            <w:vAlign w:val="center"/>
          </w:tcPr>
          <w:p w14:paraId="4BB4CB82">
            <w:pPr>
              <w:pStyle w:val="40"/>
              <w:bidi w:val="0"/>
              <w:rPr>
                <w:rFonts w:hAnsi="宋体" w:cs="宋体"/>
                <w:snapToGrid w:val="0"/>
                <w:color w:val="000000"/>
                <w:kern w:val="21"/>
                <w:szCs w:val="21"/>
              </w:rPr>
            </w:pPr>
            <w:r>
              <w:rPr>
                <w:rFonts w:hint="eastAsia"/>
                <w:highlight w:val="none"/>
                <w:lang w:val="en-US" w:eastAsia="zh-CN"/>
              </w:rPr>
              <w:t>0.8t/a</w:t>
            </w:r>
          </w:p>
        </w:tc>
        <w:tc>
          <w:tcPr>
            <w:tcW w:w="1825" w:type="dxa"/>
            <w:noWrap w:val="0"/>
            <w:vAlign w:val="center"/>
          </w:tcPr>
          <w:p w14:paraId="0DDB41DC">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850" w:type="dxa"/>
            <w:noWrap w:val="0"/>
            <w:vAlign w:val="center"/>
          </w:tcPr>
          <w:p w14:paraId="4489B4BC">
            <w:pPr>
              <w:pStyle w:val="40"/>
              <w:bidi w:val="0"/>
              <w:rPr>
                <w:rFonts w:hAnsi="宋体" w:cs="宋体"/>
                <w:snapToGrid w:val="0"/>
                <w:color w:val="000000"/>
                <w:kern w:val="21"/>
                <w:szCs w:val="21"/>
              </w:rPr>
            </w:pPr>
            <w:r>
              <w:rPr>
                <w:rFonts w:hint="eastAsia"/>
                <w:highlight w:val="none"/>
                <w:lang w:val="en-US" w:eastAsia="zh-CN"/>
              </w:rPr>
              <w:t>0.8t/a</w:t>
            </w:r>
          </w:p>
        </w:tc>
        <w:tc>
          <w:tcPr>
            <w:tcW w:w="1203" w:type="dxa"/>
            <w:noWrap w:val="0"/>
            <w:vAlign w:val="center"/>
          </w:tcPr>
          <w:p w14:paraId="34583A58">
            <w:pPr>
              <w:pStyle w:val="40"/>
              <w:bidi w:val="0"/>
              <w:rPr>
                <w:rFonts w:hAnsi="宋体" w:cs="宋体"/>
                <w:snapToGrid w:val="0"/>
                <w:color w:val="000000"/>
                <w:kern w:val="21"/>
                <w:szCs w:val="21"/>
              </w:rPr>
            </w:pPr>
            <w:r>
              <w:rPr>
                <w:rFonts w:hint="eastAsia"/>
                <w:highlight w:val="none"/>
                <w:lang w:val="en-US" w:eastAsia="zh-CN"/>
              </w:rPr>
              <w:t>0.8t/a</w:t>
            </w:r>
          </w:p>
        </w:tc>
      </w:tr>
      <w:tr w14:paraId="5E1B3E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194" w:type="dxa"/>
            <w:vMerge w:val="continue"/>
            <w:noWrap w:val="0"/>
            <w:vAlign w:val="center"/>
          </w:tcPr>
          <w:p w14:paraId="0F89742A">
            <w:pPr>
              <w:spacing w:beforeLines="0" w:afterLines="0" w:line="240" w:lineRule="auto"/>
              <w:jc w:val="center"/>
              <w:rPr>
                <w:rFonts w:hAnsi="宋体" w:cs="宋体"/>
                <w:snapToGrid w:val="0"/>
                <w:color w:val="000000"/>
                <w:kern w:val="21"/>
                <w:szCs w:val="21"/>
              </w:rPr>
            </w:pPr>
          </w:p>
        </w:tc>
        <w:tc>
          <w:tcPr>
            <w:tcW w:w="1811" w:type="dxa"/>
            <w:noWrap w:val="0"/>
            <w:vAlign w:val="center"/>
          </w:tcPr>
          <w:p w14:paraId="5556B1A1">
            <w:pPr>
              <w:pStyle w:val="40"/>
              <w:bidi w:val="0"/>
              <w:rPr>
                <w:rFonts w:hint="default"/>
                <w:lang w:val="en-US" w:eastAsia="zh-CN"/>
              </w:rPr>
            </w:pPr>
            <w:r>
              <w:rPr>
                <w:rFonts w:hint="default"/>
                <w:highlight w:val="none"/>
                <w:lang w:val="en-US" w:eastAsia="zh-CN"/>
              </w:rPr>
              <w:t>沉淀池沉渣</w:t>
            </w:r>
          </w:p>
        </w:tc>
        <w:tc>
          <w:tcPr>
            <w:tcW w:w="1701" w:type="dxa"/>
            <w:noWrap w:val="0"/>
            <w:vAlign w:val="center"/>
          </w:tcPr>
          <w:p w14:paraId="6677E19A">
            <w:pPr>
              <w:spacing w:beforeLines="0" w:afterLines="0" w:line="240" w:lineRule="auto"/>
              <w:jc w:val="center"/>
              <w:rPr>
                <w:rFonts w:hint="eastAsia" w:hAnsi="宋体" w:cs="宋体"/>
                <w:snapToGrid w:val="0"/>
                <w:color w:val="000000"/>
                <w:kern w:val="21"/>
                <w:szCs w:val="21"/>
                <w:lang w:val="en-US" w:eastAsia="zh-CN"/>
              </w:rPr>
            </w:pPr>
            <w:r>
              <w:rPr>
                <w:rFonts w:hint="eastAsia" w:hAnsi="宋体" w:cs="宋体"/>
                <w:snapToGrid w:val="0"/>
                <w:color w:val="000000"/>
                <w:kern w:val="21"/>
                <w:szCs w:val="21"/>
                <w:highlight w:val="none"/>
                <w:lang w:val="en-US" w:eastAsia="zh-CN"/>
              </w:rPr>
              <w:t>/</w:t>
            </w:r>
          </w:p>
        </w:tc>
        <w:tc>
          <w:tcPr>
            <w:tcW w:w="1117" w:type="dxa"/>
            <w:noWrap w:val="0"/>
            <w:vAlign w:val="center"/>
          </w:tcPr>
          <w:p w14:paraId="20775D95">
            <w:pPr>
              <w:spacing w:beforeLines="0" w:afterLines="0" w:line="240" w:lineRule="auto"/>
              <w:jc w:val="center"/>
              <w:rPr>
                <w:rFonts w:hint="eastAsia" w:hAnsi="宋体" w:cs="宋体"/>
                <w:snapToGrid w:val="0"/>
                <w:color w:val="000000"/>
                <w:kern w:val="21"/>
                <w:szCs w:val="21"/>
                <w:lang w:val="en-US" w:eastAsia="zh-CN"/>
              </w:rPr>
            </w:pPr>
            <w:r>
              <w:rPr>
                <w:rFonts w:hint="eastAsia" w:hAnsi="宋体" w:cs="宋体"/>
                <w:snapToGrid w:val="0"/>
                <w:color w:val="000000"/>
                <w:kern w:val="21"/>
                <w:szCs w:val="21"/>
                <w:highlight w:val="none"/>
                <w:lang w:val="en-US" w:eastAsia="zh-CN"/>
              </w:rPr>
              <w:t>/</w:t>
            </w:r>
          </w:p>
        </w:tc>
        <w:tc>
          <w:tcPr>
            <w:tcW w:w="1600" w:type="dxa"/>
            <w:noWrap w:val="0"/>
            <w:vAlign w:val="center"/>
          </w:tcPr>
          <w:p w14:paraId="2A6BB171">
            <w:pPr>
              <w:spacing w:beforeLines="0" w:afterLines="0" w:line="240" w:lineRule="auto"/>
              <w:jc w:val="center"/>
              <w:rPr>
                <w:rFonts w:hint="eastAsia" w:hAnsi="宋体" w:cs="宋体"/>
                <w:snapToGrid w:val="0"/>
                <w:color w:val="000000"/>
                <w:kern w:val="21"/>
                <w:szCs w:val="21"/>
                <w:lang w:val="en-US" w:eastAsia="zh-CN"/>
              </w:rPr>
            </w:pPr>
            <w:r>
              <w:rPr>
                <w:rFonts w:hint="eastAsia" w:hAnsi="宋体" w:cs="宋体"/>
                <w:snapToGrid w:val="0"/>
                <w:color w:val="000000"/>
                <w:kern w:val="21"/>
                <w:szCs w:val="21"/>
                <w:highlight w:val="none"/>
                <w:lang w:val="en-US" w:eastAsia="zh-CN"/>
              </w:rPr>
              <w:t>/</w:t>
            </w:r>
          </w:p>
        </w:tc>
        <w:tc>
          <w:tcPr>
            <w:tcW w:w="1487" w:type="dxa"/>
            <w:noWrap w:val="0"/>
            <w:vAlign w:val="center"/>
          </w:tcPr>
          <w:p w14:paraId="6321B97D">
            <w:pPr>
              <w:pStyle w:val="40"/>
              <w:bidi w:val="0"/>
              <w:rPr>
                <w:rFonts w:hint="eastAsia"/>
                <w:lang w:val="en-US" w:eastAsia="zh-CN"/>
              </w:rPr>
            </w:pPr>
            <w:r>
              <w:rPr>
                <w:rFonts w:hint="eastAsia"/>
                <w:highlight w:val="none"/>
                <w:lang w:val="en-US" w:eastAsia="zh-CN"/>
              </w:rPr>
              <w:t>0.1t/a</w:t>
            </w:r>
          </w:p>
        </w:tc>
        <w:tc>
          <w:tcPr>
            <w:tcW w:w="1825" w:type="dxa"/>
            <w:noWrap w:val="0"/>
            <w:vAlign w:val="center"/>
          </w:tcPr>
          <w:p w14:paraId="77DF5538">
            <w:pPr>
              <w:spacing w:beforeLines="0" w:afterLines="0" w:line="240" w:lineRule="auto"/>
              <w:jc w:val="center"/>
              <w:rPr>
                <w:rFonts w:hint="eastAsia" w:hAnsi="宋体" w:cs="宋体"/>
                <w:snapToGrid w:val="0"/>
                <w:color w:val="000000"/>
                <w:kern w:val="21"/>
                <w:szCs w:val="21"/>
                <w:lang w:val="en-US" w:eastAsia="zh-CN"/>
              </w:rPr>
            </w:pPr>
            <w:r>
              <w:rPr>
                <w:rFonts w:hint="eastAsia" w:hAnsi="宋体" w:cs="宋体"/>
                <w:snapToGrid w:val="0"/>
                <w:color w:val="000000"/>
                <w:kern w:val="21"/>
                <w:szCs w:val="21"/>
                <w:highlight w:val="none"/>
                <w:lang w:val="en-US" w:eastAsia="zh-CN"/>
              </w:rPr>
              <w:t>/</w:t>
            </w:r>
          </w:p>
        </w:tc>
        <w:tc>
          <w:tcPr>
            <w:tcW w:w="1850" w:type="dxa"/>
            <w:noWrap w:val="0"/>
            <w:vAlign w:val="center"/>
          </w:tcPr>
          <w:p w14:paraId="1E6D2AE6">
            <w:pPr>
              <w:pStyle w:val="40"/>
              <w:bidi w:val="0"/>
              <w:rPr>
                <w:rFonts w:hint="eastAsia"/>
                <w:lang w:val="en-US" w:eastAsia="zh-CN"/>
              </w:rPr>
            </w:pPr>
            <w:r>
              <w:rPr>
                <w:rFonts w:hint="eastAsia"/>
                <w:highlight w:val="none"/>
                <w:lang w:val="en-US" w:eastAsia="zh-CN"/>
              </w:rPr>
              <w:t>0.1t/a</w:t>
            </w:r>
          </w:p>
        </w:tc>
        <w:tc>
          <w:tcPr>
            <w:tcW w:w="1203" w:type="dxa"/>
            <w:noWrap w:val="0"/>
            <w:vAlign w:val="center"/>
          </w:tcPr>
          <w:p w14:paraId="13DBC10B">
            <w:pPr>
              <w:pStyle w:val="40"/>
              <w:bidi w:val="0"/>
              <w:rPr>
                <w:rFonts w:hint="eastAsia"/>
                <w:lang w:val="en-US" w:eastAsia="zh-CN"/>
              </w:rPr>
            </w:pPr>
            <w:r>
              <w:rPr>
                <w:rFonts w:hint="eastAsia"/>
                <w:highlight w:val="none"/>
                <w:lang w:val="en-US" w:eastAsia="zh-CN"/>
              </w:rPr>
              <w:t>0.1t/a</w:t>
            </w:r>
          </w:p>
        </w:tc>
      </w:tr>
      <w:tr w14:paraId="5D38A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94" w:type="dxa"/>
            <w:vMerge w:val="restart"/>
            <w:noWrap w:val="0"/>
            <w:vAlign w:val="center"/>
          </w:tcPr>
          <w:p w14:paraId="2E106077">
            <w:pPr>
              <w:spacing w:beforeLines="0" w:afterLines="0" w:line="240" w:lineRule="auto"/>
              <w:jc w:val="center"/>
              <w:rPr>
                <w:rFonts w:hint="eastAsia" w:hAnsi="宋体" w:cs="宋体"/>
                <w:snapToGrid w:val="0"/>
                <w:color w:val="000000"/>
                <w:kern w:val="21"/>
                <w:szCs w:val="21"/>
              </w:rPr>
            </w:pPr>
            <w:r>
              <w:rPr>
                <w:rFonts w:hint="eastAsia" w:hAnsi="宋体" w:cs="宋体"/>
                <w:snapToGrid w:val="0"/>
                <w:color w:val="000000"/>
                <w:kern w:val="21"/>
                <w:szCs w:val="21"/>
              </w:rPr>
              <w:t>危险废物</w:t>
            </w:r>
          </w:p>
        </w:tc>
        <w:tc>
          <w:tcPr>
            <w:tcW w:w="1811" w:type="dxa"/>
            <w:noWrap w:val="0"/>
            <w:vAlign w:val="center"/>
          </w:tcPr>
          <w:p w14:paraId="2CE5F4DF">
            <w:pPr>
              <w:keepNext w:val="0"/>
              <w:keepLines w:val="0"/>
              <w:suppressLineNumbers w:val="0"/>
              <w:bidi w:val="0"/>
              <w:spacing w:before="0" w:beforeAutospacing="0" w:after="0" w:afterAutospacing="0"/>
              <w:ind w:left="0" w:leftChars="0" w:right="0" w:rightChars="0"/>
              <w:jc w:val="center"/>
              <w:rPr>
                <w:rFonts w:hint="eastAsia" w:hAnsi="宋体" w:cs="宋体"/>
                <w:snapToGrid w:val="0"/>
                <w:color w:val="000000"/>
                <w:kern w:val="21"/>
                <w:szCs w:val="21"/>
              </w:rPr>
            </w:pPr>
            <w:r>
              <w:rPr>
                <w:rFonts w:hint="eastAsia" w:cs="Times New Roman"/>
                <w:lang w:val="en-US" w:eastAsia="zh-CN"/>
              </w:rPr>
              <w:t>废润滑油</w:t>
            </w:r>
          </w:p>
        </w:tc>
        <w:tc>
          <w:tcPr>
            <w:tcW w:w="1701" w:type="dxa"/>
            <w:noWrap w:val="0"/>
            <w:vAlign w:val="center"/>
          </w:tcPr>
          <w:p w14:paraId="014FB6FA">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117" w:type="dxa"/>
            <w:noWrap w:val="0"/>
            <w:vAlign w:val="center"/>
          </w:tcPr>
          <w:p w14:paraId="505B6BA9">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600" w:type="dxa"/>
            <w:noWrap w:val="0"/>
            <w:vAlign w:val="center"/>
          </w:tcPr>
          <w:p w14:paraId="4B7855FA">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487" w:type="dxa"/>
            <w:noWrap w:val="0"/>
            <w:vAlign w:val="center"/>
          </w:tcPr>
          <w:p w14:paraId="25F6FC73">
            <w:pPr>
              <w:keepNext w:val="0"/>
              <w:keepLines w:val="0"/>
              <w:suppressLineNumbers w:val="0"/>
              <w:bidi w:val="0"/>
              <w:spacing w:before="0" w:beforeAutospacing="0" w:after="0" w:afterAutospacing="0"/>
              <w:ind w:left="0" w:leftChars="0" w:right="0" w:rightChars="0"/>
              <w:jc w:val="center"/>
              <w:rPr>
                <w:rFonts w:hAnsi="宋体" w:cs="宋体"/>
                <w:snapToGrid w:val="0"/>
                <w:color w:val="000000"/>
                <w:kern w:val="21"/>
                <w:szCs w:val="21"/>
              </w:rPr>
            </w:pPr>
            <w:r>
              <w:rPr>
                <w:rFonts w:hint="eastAsia" w:cs="Times New Roman"/>
                <w:lang w:val="en-US" w:eastAsia="zh-CN"/>
              </w:rPr>
              <w:t>0.5t/a</w:t>
            </w:r>
          </w:p>
        </w:tc>
        <w:tc>
          <w:tcPr>
            <w:tcW w:w="1825" w:type="dxa"/>
            <w:noWrap w:val="0"/>
            <w:vAlign w:val="center"/>
          </w:tcPr>
          <w:p w14:paraId="1FE80D34">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850" w:type="dxa"/>
            <w:noWrap w:val="0"/>
            <w:vAlign w:val="center"/>
          </w:tcPr>
          <w:p w14:paraId="47FA4ED3">
            <w:pPr>
              <w:keepNext w:val="0"/>
              <w:keepLines w:val="0"/>
              <w:suppressLineNumbers w:val="0"/>
              <w:bidi w:val="0"/>
              <w:spacing w:before="0" w:beforeAutospacing="0" w:after="0" w:afterAutospacing="0"/>
              <w:ind w:left="0" w:leftChars="0" w:right="0" w:rightChars="0"/>
              <w:jc w:val="center"/>
              <w:rPr>
                <w:rFonts w:hAnsi="宋体" w:cs="宋体"/>
                <w:snapToGrid w:val="0"/>
                <w:color w:val="000000"/>
                <w:kern w:val="21"/>
                <w:szCs w:val="21"/>
              </w:rPr>
            </w:pPr>
            <w:r>
              <w:rPr>
                <w:rFonts w:hint="eastAsia" w:cs="Times New Roman"/>
                <w:lang w:val="en-US" w:eastAsia="zh-CN"/>
              </w:rPr>
              <w:t>0.5t/a</w:t>
            </w:r>
          </w:p>
        </w:tc>
        <w:tc>
          <w:tcPr>
            <w:tcW w:w="1203" w:type="dxa"/>
            <w:noWrap w:val="0"/>
            <w:vAlign w:val="center"/>
          </w:tcPr>
          <w:p w14:paraId="7C70D30C">
            <w:pPr>
              <w:keepNext w:val="0"/>
              <w:keepLines w:val="0"/>
              <w:suppressLineNumbers w:val="0"/>
              <w:bidi w:val="0"/>
              <w:spacing w:before="0" w:beforeAutospacing="0" w:after="0" w:afterAutospacing="0"/>
              <w:ind w:left="0" w:leftChars="0" w:right="0" w:rightChars="0"/>
              <w:jc w:val="center"/>
              <w:rPr>
                <w:rFonts w:hAnsi="宋体" w:cs="宋体"/>
                <w:snapToGrid w:val="0"/>
                <w:color w:val="000000"/>
                <w:kern w:val="21"/>
                <w:szCs w:val="21"/>
              </w:rPr>
            </w:pPr>
            <w:r>
              <w:rPr>
                <w:rFonts w:hint="eastAsia" w:cs="Times New Roman"/>
                <w:lang w:val="en-US" w:eastAsia="zh-CN"/>
              </w:rPr>
              <w:t>0.5t/a</w:t>
            </w:r>
          </w:p>
        </w:tc>
      </w:tr>
      <w:tr w14:paraId="72FBBC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194" w:type="dxa"/>
            <w:vMerge w:val="continue"/>
            <w:noWrap w:val="0"/>
            <w:vAlign w:val="center"/>
          </w:tcPr>
          <w:p w14:paraId="39E1E094">
            <w:pPr>
              <w:spacing w:beforeLines="0" w:afterLines="0" w:line="240" w:lineRule="auto"/>
              <w:rPr>
                <w:rFonts w:hAnsi="宋体" w:cs="宋体"/>
                <w:snapToGrid w:val="0"/>
                <w:color w:val="000000"/>
                <w:kern w:val="21"/>
                <w:szCs w:val="21"/>
              </w:rPr>
            </w:pPr>
          </w:p>
        </w:tc>
        <w:tc>
          <w:tcPr>
            <w:tcW w:w="1811" w:type="dxa"/>
            <w:noWrap w:val="0"/>
            <w:vAlign w:val="center"/>
          </w:tcPr>
          <w:p w14:paraId="197D86CD">
            <w:pPr>
              <w:keepNext w:val="0"/>
              <w:keepLines w:val="0"/>
              <w:suppressLineNumbers w:val="0"/>
              <w:bidi w:val="0"/>
              <w:spacing w:before="0" w:beforeAutospacing="0" w:after="0" w:afterAutospacing="0"/>
              <w:ind w:left="0" w:leftChars="0" w:right="0" w:rightChars="0"/>
              <w:jc w:val="center"/>
              <w:rPr>
                <w:rFonts w:hint="eastAsia" w:hAnsi="宋体" w:cs="宋体"/>
                <w:snapToGrid w:val="0"/>
                <w:color w:val="000000"/>
                <w:kern w:val="21"/>
                <w:szCs w:val="21"/>
              </w:rPr>
            </w:pPr>
            <w:r>
              <w:rPr>
                <w:rFonts w:hint="eastAsia" w:cs="Times New Roman"/>
                <w:lang w:val="en-US" w:eastAsia="zh-CN"/>
              </w:rPr>
              <w:t>废润滑油桶</w:t>
            </w:r>
          </w:p>
        </w:tc>
        <w:tc>
          <w:tcPr>
            <w:tcW w:w="1701" w:type="dxa"/>
            <w:noWrap w:val="0"/>
            <w:vAlign w:val="center"/>
          </w:tcPr>
          <w:p w14:paraId="562B15E7">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117" w:type="dxa"/>
            <w:noWrap w:val="0"/>
            <w:vAlign w:val="center"/>
          </w:tcPr>
          <w:p w14:paraId="2A64E5E6">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600" w:type="dxa"/>
            <w:noWrap w:val="0"/>
            <w:vAlign w:val="center"/>
          </w:tcPr>
          <w:p w14:paraId="02C176C5">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487" w:type="dxa"/>
            <w:noWrap w:val="0"/>
            <w:vAlign w:val="center"/>
          </w:tcPr>
          <w:p w14:paraId="0BDED289">
            <w:pPr>
              <w:keepNext w:val="0"/>
              <w:keepLines w:val="0"/>
              <w:suppressLineNumbers w:val="0"/>
              <w:bidi w:val="0"/>
              <w:spacing w:before="0" w:beforeAutospacing="0" w:after="0" w:afterAutospacing="0"/>
              <w:ind w:left="0" w:leftChars="0" w:right="0" w:rightChars="0"/>
              <w:jc w:val="center"/>
              <w:rPr>
                <w:rFonts w:hAnsi="宋体" w:cs="宋体"/>
                <w:snapToGrid w:val="0"/>
                <w:color w:val="000000"/>
                <w:kern w:val="21"/>
                <w:szCs w:val="21"/>
              </w:rPr>
            </w:pPr>
            <w:r>
              <w:rPr>
                <w:rFonts w:hint="eastAsia" w:cs="Times New Roman"/>
                <w:lang w:val="en-US" w:eastAsia="zh-CN"/>
              </w:rPr>
              <w:t>0.01t/a</w:t>
            </w:r>
          </w:p>
        </w:tc>
        <w:tc>
          <w:tcPr>
            <w:tcW w:w="1825" w:type="dxa"/>
            <w:noWrap w:val="0"/>
            <w:vAlign w:val="center"/>
          </w:tcPr>
          <w:p w14:paraId="2A7B7332">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850" w:type="dxa"/>
            <w:noWrap w:val="0"/>
            <w:vAlign w:val="center"/>
          </w:tcPr>
          <w:p w14:paraId="67EA5C02">
            <w:pPr>
              <w:keepNext w:val="0"/>
              <w:keepLines w:val="0"/>
              <w:suppressLineNumbers w:val="0"/>
              <w:bidi w:val="0"/>
              <w:spacing w:before="0" w:beforeAutospacing="0" w:after="0" w:afterAutospacing="0"/>
              <w:ind w:left="0" w:leftChars="0" w:right="0" w:rightChars="0"/>
              <w:jc w:val="center"/>
              <w:rPr>
                <w:rFonts w:hAnsi="宋体" w:cs="宋体"/>
                <w:snapToGrid w:val="0"/>
                <w:color w:val="000000"/>
                <w:kern w:val="21"/>
                <w:szCs w:val="21"/>
              </w:rPr>
            </w:pPr>
            <w:r>
              <w:rPr>
                <w:rFonts w:hint="eastAsia" w:cs="Times New Roman"/>
                <w:lang w:val="en-US" w:eastAsia="zh-CN"/>
              </w:rPr>
              <w:t>0.01t/a</w:t>
            </w:r>
          </w:p>
        </w:tc>
        <w:tc>
          <w:tcPr>
            <w:tcW w:w="1203" w:type="dxa"/>
            <w:noWrap w:val="0"/>
            <w:vAlign w:val="center"/>
          </w:tcPr>
          <w:p w14:paraId="4B498044">
            <w:pPr>
              <w:keepNext w:val="0"/>
              <w:keepLines w:val="0"/>
              <w:suppressLineNumbers w:val="0"/>
              <w:bidi w:val="0"/>
              <w:spacing w:before="0" w:beforeAutospacing="0" w:after="0" w:afterAutospacing="0"/>
              <w:ind w:left="0" w:leftChars="0" w:right="0" w:rightChars="0"/>
              <w:jc w:val="center"/>
              <w:rPr>
                <w:rFonts w:hAnsi="宋体" w:cs="宋体"/>
                <w:snapToGrid w:val="0"/>
                <w:color w:val="000000"/>
                <w:kern w:val="21"/>
                <w:szCs w:val="21"/>
              </w:rPr>
            </w:pPr>
            <w:r>
              <w:rPr>
                <w:rFonts w:hint="eastAsia" w:cs="Times New Roman"/>
                <w:lang w:val="en-US" w:eastAsia="zh-CN"/>
              </w:rPr>
              <w:t>0.01t/a</w:t>
            </w:r>
          </w:p>
        </w:tc>
      </w:tr>
    </w:tbl>
    <w:p w14:paraId="5F9548D9">
      <w:pPr>
        <w:spacing w:before="192" w:beforeLines="80" w:after="24"/>
        <w:jc w:val="left"/>
        <w:rPr>
          <w:rFonts w:hint="eastAsia"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14:paraId="16BED11C">
      <w:pPr>
        <w:rPr>
          <w:rFonts w:hint="eastAsia"/>
        </w:rPr>
      </w:pPr>
    </w:p>
    <w:p w14:paraId="187F3AE4">
      <w:pPr>
        <w:rPr>
          <w:rFonts w:ascii="宋体" w:hAnsi="宋体" w:eastAsia="黑体"/>
        </w:rPr>
      </w:pPr>
    </w:p>
    <w:sectPr>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CC4E6FA-0BEC-49D1-AD90-52AE3632082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EA1BB0A1-FDFB-4E76-8EA9-18EE04596B40}"/>
  </w:font>
  <w:font w:name="方正小标宋_GBK">
    <w:panose1 w:val="03000509000000000000"/>
    <w:charset w:val="86"/>
    <w:family w:val="script"/>
    <w:pitch w:val="default"/>
    <w:sig w:usb0="00000001" w:usb1="080E0000" w:usb2="00000000" w:usb3="00000000" w:csb0="00040000" w:csb1="00000000"/>
    <w:embedRegular r:id="rId3" w:fontKey="{8479DAFB-1596-43D1-8253-AA93AD284E8B}"/>
  </w:font>
  <w:font w:name="楷体_GB2312">
    <w:panose1 w:val="02010609030101010101"/>
    <w:charset w:val="86"/>
    <w:family w:val="modern"/>
    <w:pitch w:val="default"/>
    <w:sig w:usb0="00000001" w:usb1="080E0000" w:usb2="00000000" w:usb3="00000000" w:csb0="00040000" w:csb1="00000000"/>
    <w:embedRegular r:id="rId4" w:fontKey="{97E2EBE8-23C1-4875-BD3B-3377196D09CE}"/>
  </w:font>
  <w:font w:name="仿宋">
    <w:panose1 w:val="02010609060101010101"/>
    <w:charset w:val="86"/>
    <w:family w:val="auto"/>
    <w:pitch w:val="default"/>
    <w:sig w:usb0="800002BF" w:usb1="38CF7CFA" w:usb2="00000016" w:usb3="00000000" w:csb0="00040001" w:csb1="00000000"/>
    <w:embedRegular r:id="rId5" w:fontKey="{E78BF37E-652D-4825-A9D1-E836CE9E59E7}"/>
  </w:font>
  <w:font w:name="Wingdings 2">
    <w:panose1 w:val="05020102010507070707"/>
    <w:charset w:val="02"/>
    <w:family w:val="roman"/>
    <w:pitch w:val="default"/>
    <w:sig w:usb0="00000000" w:usb1="00000000" w:usb2="00000000" w:usb3="00000000" w:csb0="80000000" w:csb1="00000000"/>
    <w:embedRegular r:id="rId6" w:fontKey="{34DFFAE4-EE8B-4B69-9029-01C31A4FB1B4}"/>
  </w:font>
  <w:font w:name="微软雅黑">
    <w:panose1 w:val="020B0503020204020204"/>
    <w:charset w:val="86"/>
    <w:family w:val="auto"/>
    <w:pitch w:val="default"/>
    <w:sig w:usb0="80000287" w:usb1="2ACF3C50" w:usb2="00000016" w:usb3="00000000" w:csb0="0004001F" w:csb1="00000000"/>
    <w:embedRegular r:id="rId7" w:fontKey="{E8E4F374-66C9-4EBD-9E3C-7CEFBA4A2CED}"/>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 w:name="WPSEMBED3">
    <w:panose1 w:val="05020102010507070707"/>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23CB2">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35FBA">
    <w:pPr>
      <w:pStyle w:val="14"/>
      <w:framePr w:wrap="around" w:vAnchor="text" w:hAnchor="margin" w:xAlign="center" w:y="1"/>
      <w:rPr>
        <w:rStyle w:val="26"/>
      </w:rPr>
    </w:pPr>
    <w:r>
      <w:fldChar w:fldCharType="begin"/>
    </w:r>
    <w:r>
      <w:rPr>
        <w:rStyle w:val="26"/>
      </w:rPr>
      <w:instrText xml:space="preserve">PAGE  </w:instrText>
    </w:r>
    <w:r>
      <w:fldChar w:fldCharType="end"/>
    </w:r>
  </w:p>
  <w:p w14:paraId="2D3FFFEE">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A3464">
    <w:pPr>
      <w:pStyle w:val="14"/>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A6EB3E">
                          <w:pPr>
                            <w:pStyle w:val="14"/>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Mhd1E3gAQAAwQMAAA4AAAAA&#10;AAAAAQAgAAAAHgEAAGRycy9lMm9Eb2MueG1sUEsFBgAAAAAGAAYAWQEAAHAFAAAAAA==&#10;">
              <v:fill on="f" focussize="0,0"/>
              <v:stroke on="f"/>
              <v:imagedata o:title=""/>
              <o:lock v:ext="edit" aspectratio="f"/>
              <v:textbox inset="0mm,0mm,0mm,0mm" style="mso-fit-shape-to-text:t;">
                <w:txbxContent>
                  <w:p w14:paraId="2FA6EB3E">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16722">
    <w:pPr>
      <w:pStyle w:val="14"/>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6EAA64">
                          <w:pPr>
                            <w:pStyle w:val="14"/>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jBRoV4QEAAMEDAAAOAAAA&#10;AAAAAAEAIAAAAB4BAABkcnMvZTJvRG9jLnhtbFBLBQYAAAAABgAGAFkBAABxBQAAAAA=&#10;">
              <v:fill on="f" focussize="0,0"/>
              <v:stroke on="f"/>
              <v:imagedata o:title=""/>
              <o:lock v:ext="edit" aspectratio="f"/>
              <v:textbox inset="0mm,0mm,0mm,0mm" style="mso-fit-shape-to-text:t;">
                <w:txbxContent>
                  <w:p w14:paraId="516EAA64">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83047">
    <w:pPr>
      <w:pStyle w:val="14"/>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E9E538">
                          <w:pPr>
                            <w:pStyle w:val="14"/>
                          </w:pPr>
                          <w:r>
                            <w:fldChar w:fldCharType="begin"/>
                          </w:r>
                          <w:r>
                            <w:instrText xml:space="preserve"> PAGE  \* MERGEFORMAT </w:instrText>
                          </w:r>
                          <w:r>
                            <w:fldChar w:fldCharType="separate"/>
                          </w:r>
                          <w:r>
                            <w:t>8</w:t>
                          </w:r>
                          <w:r>
                            <w:fldChar w:fldCharType="end"/>
                          </w:r>
                        </w:p>
                      </w:txbxContent>
                    </wps:txbx>
                    <wps:bodyPr vert="horz" wrap="none" lIns="0" tIns="0" rIns="0" bIns="0" anchor="t" anchorCtr="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W5UHu4QEAAMEDAAAOAAAA&#10;AAAAAAEAIAAAAB4BAABkcnMvZTJvRG9jLnhtbFBLBQYAAAAABgAGAFkBAABxBQAAAAA=&#10;">
              <v:fill on="f" focussize="0,0"/>
              <v:stroke on="f"/>
              <v:imagedata o:title=""/>
              <o:lock v:ext="edit" aspectratio="f"/>
              <v:textbox inset="0mm,0mm,0mm,0mm" style="mso-fit-shape-to-text:t;">
                <w:txbxContent>
                  <w:p w14:paraId="73E9E538">
                    <w:pPr>
                      <w:pStyle w:val="14"/>
                    </w:pPr>
                    <w:r>
                      <w:fldChar w:fldCharType="begin"/>
                    </w:r>
                    <w:r>
                      <w:instrText xml:space="preserve"> PAGE  \* MERGEFORMAT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1A47E">
    <w:pPr>
      <w:pStyle w:val="15"/>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9F6B8">
    <w:pPr>
      <w:pStyle w:val="15"/>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B911CE"/>
    <w:multiLevelType w:val="singleLevel"/>
    <w:tmpl w:val="94B911CE"/>
    <w:lvl w:ilvl="0" w:tentative="0">
      <w:start w:val="1"/>
      <w:numFmt w:val="decimal"/>
      <w:suff w:val="nothing"/>
      <w:lvlText w:val="（%1）"/>
      <w:lvlJc w:val="left"/>
    </w:lvl>
  </w:abstractNum>
  <w:abstractNum w:abstractNumId="1">
    <w:nsid w:val="7BDAA0A5"/>
    <w:multiLevelType w:val="singleLevel"/>
    <w:tmpl w:val="7BDAA0A5"/>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0E54C6"/>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3A08"/>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84B9C"/>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390B"/>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587E"/>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33FC"/>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5553C"/>
    <w:rsid w:val="00C61E4B"/>
    <w:rsid w:val="00C64BFF"/>
    <w:rsid w:val="00C704E9"/>
    <w:rsid w:val="00C763C9"/>
    <w:rsid w:val="00C80057"/>
    <w:rsid w:val="00C82232"/>
    <w:rsid w:val="00C82913"/>
    <w:rsid w:val="00C972B1"/>
    <w:rsid w:val="00CA2CCE"/>
    <w:rsid w:val="00CA43FD"/>
    <w:rsid w:val="00CA7EF8"/>
    <w:rsid w:val="00CC39A0"/>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C47AE"/>
    <w:rsid w:val="00ED0639"/>
    <w:rsid w:val="00EF4755"/>
    <w:rsid w:val="00EF7135"/>
    <w:rsid w:val="00F027DB"/>
    <w:rsid w:val="00F14A7A"/>
    <w:rsid w:val="00F22985"/>
    <w:rsid w:val="00F3383E"/>
    <w:rsid w:val="00F460B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1642B"/>
    <w:rsid w:val="011A4CEF"/>
    <w:rsid w:val="01290F7E"/>
    <w:rsid w:val="015D1E09"/>
    <w:rsid w:val="01604C53"/>
    <w:rsid w:val="01762B3B"/>
    <w:rsid w:val="017F775E"/>
    <w:rsid w:val="019909F2"/>
    <w:rsid w:val="01A06D45"/>
    <w:rsid w:val="01A64EB5"/>
    <w:rsid w:val="01A74FC8"/>
    <w:rsid w:val="01B20120"/>
    <w:rsid w:val="01B74BEB"/>
    <w:rsid w:val="01BF14E4"/>
    <w:rsid w:val="01C81F50"/>
    <w:rsid w:val="01E51591"/>
    <w:rsid w:val="01E644C2"/>
    <w:rsid w:val="0208091F"/>
    <w:rsid w:val="020F30BF"/>
    <w:rsid w:val="021138F7"/>
    <w:rsid w:val="02161DDD"/>
    <w:rsid w:val="02314959"/>
    <w:rsid w:val="02330020"/>
    <w:rsid w:val="023506E7"/>
    <w:rsid w:val="02697903"/>
    <w:rsid w:val="02902A6D"/>
    <w:rsid w:val="02953272"/>
    <w:rsid w:val="02B63411"/>
    <w:rsid w:val="02C35A8C"/>
    <w:rsid w:val="02E1776D"/>
    <w:rsid w:val="02E64D83"/>
    <w:rsid w:val="02F96569"/>
    <w:rsid w:val="030275A7"/>
    <w:rsid w:val="03060627"/>
    <w:rsid w:val="033732BD"/>
    <w:rsid w:val="03393105"/>
    <w:rsid w:val="033D1FCB"/>
    <w:rsid w:val="033E696D"/>
    <w:rsid w:val="0351517A"/>
    <w:rsid w:val="035C6A0B"/>
    <w:rsid w:val="035E0C66"/>
    <w:rsid w:val="037474BD"/>
    <w:rsid w:val="037A123C"/>
    <w:rsid w:val="038843B7"/>
    <w:rsid w:val="038C566C"/>
    <w:rsid w:val="03BF6974"/>
    <w:rsid w:val="03C228FB"/>
    <w:rsid w:val="03CA6453"/>
    <w:rsid w:val="03D251BA"/>
    <w:rsid w:val="03D3257E"/>
    <w:rsid w:val="03E10BF1"/>
    <w:rsid w:val="03E94B2B"/>
    <w:rsid w:val="03EA7B21"/>
    <w:rsid w:val="04242B55"/>
    <w:rsid w:val="04280A34"/>
    <w:rsid w:val="043A4BEA"/>
    <w:rsid w:val="0443425C"/>
    <w:rsid w:val="044B36F8"/>
    <w:rsid w:val="047D5A2A"/>
    <w:rsid w:val="04A6769A"/>
    <w:rsid w:val="04B648BA"/>
    <w:rsid w:val="04C506E2"/>
    <w:rsid w:val="04CB2C07"/>
    <w:rsid w:val="04E6780F"/>
    <w:rsid w:val="04E71358"/>
    <w:rsid w:val="04EA50BA"/>
    <w:rsid w:val="04EE335F"/>
    <w:rsid w:val="04EE7093"/>
    <w:rsid w:val="04FC43EA"/>
    <w:rsid w:val="04FF037E"/>
    <w:rsid w:val="0515181D"/>
    <w:rsid w:val="053D188F"/>
    <w:rsid w:val="05431465"/>
    <w:rsid w:val="05486CF4"/>
    <w:rsid w:val="055E50A5"/>
    <w:rsid w:val="056049D7"/>
    <w:rsid w:val="056D353A"/>
    <w:rsid w:val="05AF0019"/>
    <w:rsid w:val="05DB4947"/>
    <w:rsid w:val="05E02329"/>
    <w:rsid w:val="05F63B02"/>
    <w:rsid w:val="05F83EAE"/>
    <w:rsid w:val="05FD2B10"/>
    <w:rsid w:val="06191E5D"/>
    <w:rsid w:val="062F196F"/>
    <w:rsid w:val="063E7D85"/>
    <w:rsid w:val="064F7A37"/>
    <w:rsid w:val="0666368D"/>
    <w:rsid w:val="066E1317"/>
    <w:rsid w:val="06882524"/>
    <w:rsid w:val="06A25465"/>
    <w:rsid w:val="06CC0D15"/>
    <w:rsid w:val="06E0566B"/>
    <w:rsid w:val="06E670D4"/>
    <w:rsid w:val="06F537E7"/>
    <w:rsid w:val="06F95803"/>
    <w:rsid w:val="06FE3D53"/>
    <w:rsid w:val="06FF6413"/>
    <w:rsid w:val="070B5A1B"/>
    <w:rsid w:val="071809C6"/>
    <w:rsid w:val="07293586"/>
    <w:rsid w:val="07295285"/>
    <w:rsid w:val="07317761"/>
    <w:rsid w:val="073652BA"/>
    <w:rsid w:val="074107DA"/>
    <w:rsid w:val="07516FC7"/>
    <w:rsid w:val="07611FA8"/>
    <w:rsid w:val="07636392"/>
    <w:rsid w:val="076E3F95"/>
    <w:rsid w:val="07770C56"/>
    <w:rsid w:val="07796DD3"/>
    <w:rsid w:val="07834FC5"/>
    <w:rsid w:val="079269DC"/>
    <w:rsid w:val="07936827"/>
    <w:rsid w:val="079E45D2"/>
    <w:rsid w:val="07A1396F"/>
    <w:rsid w:val="07A34FF1"/>
    <w:rsid w:val="07A84905"/>
    <w:rsid w:val="07AB1F74"/>
    <w:rsid w:val="07C35693"/>
    <w:rsid w:val="07C733D5"/>
    <w:rsid w:val="07C814EE"/>
    <w:rsid w:val="07CA0988"/>
    <w:rsid w:val="07D478A0"/>
    <w:rsid w:val="07E37AE3"/>
    <w:rsid w:val="07E5108A"/>
    <w:rsid w:val="080566A8"/>
    <w:rsid w:val="080A78AC"/>
    <w:rsid w:val="08206641"/>
    <w:rsid w:val="08310DFB"/>
    <w:rsid w:val="085D7896"/>
    <w:rsid w:val="0871351E"/>
    <w:rsid w:val="088F47E3"/>
    <w:rsid w:val="08922F27"/>
    <w:rsid w:val="08A25DAE"/>
    <w:rsid w:val="08A70B11"/>
    <w:rsid w:val="08B4698B"/>
    <w:rsid w:val="08B57B6C"/>
    <w:rsid w:val="08BC612A"/>
    <w:rsid w:val="08E04924"/>
    <w:rsid w:val="08EB55B0"/>
    <w:rsid w:val="092217DD"/>
    <w:rsid w:val="09231284"/>
    <w:rsid w:val="092E4D8E"/>
    <w:rsid w:val="0933384F"/>
    <w:rsid w:val="093A7294"/>
    <w:rsid w:val="093C1D4C"/>
    <w:rsid w:val="09415B70"/>
    <w:rsid w:val="09554549"/>
    <w:rsid w:val="095F46D1"/>
    <w:rsid w:val="095F67E1"/>
    <w:rsid w:val="097A4477"/>
    <w:rsid w:val="0989174C"/>
    <w:rsid w:val="098B24EB"/>
    <w:rsid w:val="099270C7"/>
    <w:rsid w:val="09E85ADD"/>
    <w:rsid w:val="0A097895"/>
    <w:rsid w:val="0A263993"/>
    <w:rsid w:val="0A294FD4"/>
    <w:rsid w:val="0A2D3AC2"/>
    <w:rsid w:val="0A384381"/>
    <w:rsid w:val="0A455BCA"/>
    <w:rsid w:val="0A466107"/>
    <w:rsid w:val="0A586566"/>
    <w:rsid w:val="0A5D6C1D"/>
    <w:rsid w:val="0A690774"/>
    <w:rsid w:val="0A7A4A29"/>
    <w:rsid w:val="0A9D0FC7"/>
    <w:rsid w:val="0AA755DF"/>
    <w:rsid w:val="0ADE7ACE"/>
    <w:rsid w:val="0AE37EEA"/>
    <w:rsid w:val="0AF81AF7"/>
    <w:rsid w:val="0B120D44"/>
    <w:rsid w:val="0B162D61"/>
    <w:rsid w:val="0B1F0E32"/>
    <w:rsid w:val="0B497EB0"/>
    <w:rsid w:val="0B601D0B"/>
    <w:rsid w:val="0B6E5AFD"/>
    <w:rsid w:val="0B7A250D"/>
    <w:rsid w:val="0BC030EF"/>
    <w:rsid w:val="0BD27BF6"/>
    <w:rsid w:val="0BD97DE4"/>
    <w:rsid w:val="0BDC31C7"/>
    <w:rsid w:val="0BE1433A"/>
    <w:rsid w:val="0BE34556"/>
    <w:rsid w:val="0C086C5C"/>
    <w:rsid w:val="0C0C2D55"/>
    <w:rsid w:val="0C0E4DEB"/>
    <w:rsid w:val="0C0F7D1B"/>
    <w:rsid w:val="0C180AA3"/>
    <w:rsid w:val="0C3721AC"/>
    <w:rsid w:val="0C3A63A8"/>
    <w:rsid w:val="0C3B3C7D"/>
    <w:rsid w:val="0C590374"/>
    <w:rsid w:val="0C653EBA"/>
    <w:rsid w:val="0C6B7D9C"/>
    <w:rsid w:val="0C9376F3"/>
    <w:rsid w:val="0CAB2EAE"/>
    <w:rsid w:val="0CB9190B"/>
    <w:rsid w:val="0CC148DE"/>
    <w:rsid w:val="0CDB6C2D"/>
    <w:rsid w:val="0CE51D21"/>
    <w:rsid w:val="0D114787"/>
    <w:rsid w:val="0D140AB5"/>
    <w:rsid w:val="0D194ABC"/>
    <w:rsid w:val="0D1C2066"/>
    <w:rsid w:val="0D2F6C3B"/>
    <w:rsid w:val="0D4074FB"/>
    <w:rsid w:val="0D5439A7"/>
    <w:rsid w:val="0D621C7D"/>
    <w:rsid w:val="0D6313F6"/>
    <w:rsid w:val="0D862620"/>
    <w:rsid w:val="0D9C10BE"/>
    <w:rsid w:val="0DAC19D9"/>
    <w:rsid w:val="0DB5188A"/>
    <w:rsid w:val="0DE809E8"/>
    <w:rsid w:val="0DEB1487"/>
    <w:rsid w:val="0DFC36AD"/>
    <w:rsid w:val="0E045C9D"/>
    <w:rsid w:val="0E141D1A"/>
    <w:rsid w:val="0E176739"/>
    <w:rsid w:val="0E26072A"/>
    <w:rsid w:val="0E511CAE"/>
    <w:rsid w:val="0E73034D"/>
    <w:rsid w:val="0E87741A"/>
    <w:rsid w:val="0E941B37"/>
    <w:rsid w:val="0E97118F"/>
    <w:rsid w:val="0EA0672E"/>
    <w:rsid w:val="0EA64FC6"/>
    <w:rsid w:val="0EAE0E4B"/>
    <w:rsid w:val="0EB320EE"/>
    <w:rsid w:val="0EBD3C7A"/>
    <w:rsid w:val="0EF434BD"/>
    <w:rsid w:val="0EF954B1"/>
    <w:rsid w:val="0F136F00"/>
    <w:rsid w:val="0F13775A"/>
    <w:rsid w:val="0F4B47C9"/>
    <w:rsid w:val="0F5903DB"/>
    <w:rsid w:val="0F5F45FE"/>
    <w:rsid w:val="0F7036E3"/>
    <w:rsid w:val="0F884B27"/>
    <w:rsid w:val="0F894AE5"/>
    <w:rsid w:val="0F9A112B"/>
    <w:rsid w:val="0FA116A2"/>
    <w:rsid w:val="0FA91D90"/>
    <w:rsid w:val="0FAD7159"/>
    <w:rsid w:val="0FBD75EE"/>
    <w:rsid w:val="0FC65D20"/>
    <w:rsid w:val="0FF565EE"/>
    <w:rsid w:val="100E09B0"/>
    <w:rsid w:val="101B4546"/>
    <w:rsid w:val="10240842"/>
    <w:rsid w:val="10314EBC"/>
    <w:rsid w:val="104650B3"/>
    <w:rsid w:val="105F7F23"/>
    <w:rsid w:val="106865B4"/>
    <w:rsid w:val="106D2F64"/>
    <w:rsid w:val="107A495D"/>
    <w:rsid w:val="10A06C68"/>
    <w:rsid w:val="10A722DA"/>
    <w:rsid w:val="10A926FD"/>
    <w:rsid w:val="10B63710"/>
    <w:rsid w:val="10CE3388"/>
    <w:rsid w:val="10DC7519"/>
    <w:rsid w:val="10E50428"/>
    <w:rsid w:val="10F10820"/>
    <w:rsid w:val="10F468BD"/>
    <w:rsid w:val="10FD17F7"/>
    <w:rsid w:val="110111FF"/>
    <w:rsid w:val="11165B17"/>
    <w:rsid w:val="111C2F7A"/>
    <w:rsid w:val="11343336"/>
    <w:rsid w:val="11513D10"/>
    <w:rsid w:val="11665CA1"/>
    <w:rsid w:val="116903EA"/>
    <w:rsid w:val="119276A7"/>
    <w:rsid w:val="1198607E"/>
    <w:rsid w:val="11A13B01"/>
    <w:rsid w:val="11A36E95"/>
    <w:rsid w:val="11B038B5"/>
    <w:rsid w:val="11C54312"/>
    <w:rsid w:val="11C57246"/>
    <w:rsid w:val="121A2353"/>
    <w:rsid w:val="121B63AC"/>
    <w:rsid w:val="12765E44"/>
    <w:rsid w:val="12845D1F"/>
    <w:rsid w:val="12962A8F"/>
    <w:rsid w:val="12C52BC1"/>
    <w:rsid w:val="12D35CB3"/>
    <w:rsid w:val="12E96050"/>
    <w:rsid w:val="12F903B1"/>
    <w:rsid w:val="13306071"/>
    <w:rsid w:val="13457FBA"/>
    <w:rsid w:val="135D1605"/>
    <w:rsid w:val="13642FE4"/>
    <w:rsid w:val="1367781A"/>
    <w:rsid w:val="136B0984"/>
    <w:rsid w:val="13723B46"/>
    <w:rsid w:val="137B62A1"/>
    <w:rsid w:val="13835C8E"/>
    <w:rsid w:val="139323BD"/>
    <w:rsid w:val="1394708A"/>
    <w:rsid w:val="13951726"/>
    <w:rsid w:val="13963C5C"/>
    <w:rsid w:val="13A472FC"/>
    <w:rsid w:val="13A520F1"/>
    <w:rsid w:val="13AD4FA0"/>
    <w:rsid w:val="13C0796B"/>
    <w:rsid w:val="13C94031"/>
    <w:rsid w:val="13CD5BEC"/>
    <w:rsid w:val="13D432E5"/>
    <w:rsid w:val="13DA0E2E"/>
    <w:rsid w:val="13DB164B"/>
    <w:rsid w:val="13DF3833"/>
    <w:rsid w:val="13DF4365"/>
    <w:rsid w:val="13E67280"/>
    <w:rsid w:val="13F84916"/>
    <w:rsid w:val="14070F0E"/>
    <w:rsid w:val="1409045C"/>
    <w:rsid w:val="141F00F5"/>
    <w:rsid w:val="142959A0"/>
    <w:rsid w:val="14396509"/>
    <w:rsid w:val="143E0B10"/>
    <w:rsid w:val="14593E9D"/>
    <w:rsid w:val="145A46C9"/>
    <w:rsid w:val="1463591C"/>
    <w:rsid w:val="14975EDD"/>
    <w:rsid w:val="14AE3FFC"/>
    <w:rsid w:val="14B051F1"/>
    <w:rsid w:val="14B95E54"/>
    <w:rsid w:val="14BF71E2"/>
    <w:rsid w:val="14D92F25"/>
    <w:rsid w:val="14DD2C3C"/>
    <w:rsid w:val="151C4634"/>
    <w:rsid w:val="151F30DC"/>
    <w:rsid w:val="15222ADC"/>
    <w:rsid w:val="1528650F"/>
    <w:rsid w:val="152B2749"/>
    <w:rsid w:val="152C7AB1"/>
    <w:rsid w:val="15316DEE"/>
    <w:rsid w:val="154371B0"/>
    <w:rsid w:val="154D2A40"/>
    <w:rsid w:val="155F2EA9"/>
    <w:rsid w:val="157D50D3"/>
    <w:rsid w:val="15A9236C"/>
    <w:rsid w:val="15A9749E"/>
    <w:rsid w:val="15CD7C7F"/>
    <w:rsid w:val="15D91238"/>
    <w:rsid w:val="15DD73B6"/>
    <w:rsid w:val="15EF7929"/>
    <w:rsid w:val="15F728FC"/>
    <w:rsid w:val="15FC493A"/>
    <w:rsid w:val="1606156C"/>
    <w:rsid w:val="16087E1D"/>
    <w:rsid w:val="16300397"/>
    <w:rsid w:val="1630253C"/>
    <w:rsid w:val="163E44B3"/>
    <w:rsid w:val="16800E8A"/>
    <w:rsid w:val="16952DDC"/>
    <w:rsid w:val="16BD39C5"/>
    <w:rsid w:val="16CD036A"/>
    <w:rsid w:val="16CE51CA"/>
    <w:rsid w:val="16D2671D"/>
    <w:rsid w:val="16DC22CD"/>
    <w:rsid w:val="16FF4228"/>
    <w:rsid w:val="170D48FC"/>
    <w:rsid w:val="17167524"/>
    <w:rsid w:val="17175636"/>
    <w:rsid w:val="172163E8"/>
    <w:rsid w:val="17284703"/>
    <w:rsid w:val="172E76A1"/>
    <w:rsid w:val="173613BC"/>
    <w:rsid w:val="173A32CD"/>
    <w:rsid w:val="17512123"/>
    <w:rsid w:val="17562080"/>
    <w:rsid w:val="175C7A9E"/>
    <w:rsid w:val="17701D14"/>
    <w:rsid w:val="17735226"/>
    <w:rsid w:val="17795D6E"/>
    <w:rsid w:val="178F37BE"/>
    <w:rsid w:val="17A06E74"/>
    <w:rsid w:val="17BD796A"/>
    <w:rsid w:val="17E972F9"/>
    <w:rsid w:val="17EC7880"/>
    <w:rsid w:val="1800344C"/>
    <w:rsid w:val="18015B42"/>
    <w:rsid w:val="180B268E"/>
    <w:rsid w:val="18131D1F"/>
    <w:rsid w:val="1818048A"/>
    <w:rsid w:val="1837463A"/>
    <w:rsid w:val="183D3240"/>
    <w:rsid w:val="184C3483"/>
    <w:rsid w:val="184E76DB"/>
    <w:rsid w:val="18571360"/>
    <w:rsid w:val="185C455F"/>
    <w:rsid w:val="187A1D9E"/>
    <w:rsid w:val="18826EA4"/>
    <w:rsid w:val="189F624C"/>
    <w:rsid w:val="18B06DC6"/>
    <w:rsid w:val="18C80262"/>
    <w:rsid w:val="18CE5F1F"/>
    <w:rsid w:val="18D45636"/>
    <w:rsid w:val="18E04F84"/>
    <w:rsid w:val="18E772F1"/>
    <w:rsid w:val="18FA41A0"/>
    <w:rsid w:val="191658C0"/>
    <w:rsid w:val="191C71E3"/>
    <w:rsid w:val="192322DC"/>
    <w:rsid w:val="193059E0"/>
    <w:rsid w:val="195A663E"/>
    <w:rsid w:val="19831DCC"/>
    <w:rsid w:val="198A0323"/>
    <w:rsid w:val="199B6F7F"/>
    <w:rsid w:val="19A12CBE"/>
    <w:rsid w:val="19BF28B1"/>
    <w:rsid w:val="19C47A1F"/>
    <w:rsid w:val="19D00487"/>
    <w:rsid w:val="19D056FA"/>
    <w:rsid w:val="19D67B22"/>
    <w:rsid w:val="19E05888"/>
    <w:rsid w:val="1A002777"/>
    <w:rsid w:val="1A0813A3"/>
    <w:rsid w:val="1A0F193E"/>
    <w:rsid w:val="1A183913"/>
    <w:rsid w:val="1A1C66C0"/>
    <w:rsid w:val="1A2E6111"/>
    <w:rsid w:val="1A382380"/>
    <w:rsid w:val="1A3C00E8"/>
    <w:rsid w:val="1A42393B"/>
    <w:rsid w:val="1A443A2F"/>
    <w:rsid w:val="1A580283"/>
    <w:rsid w:val="1A790A03"/>
    <w:rsid w:val="1A797714"/>
    <w:rsid w:val="1A9A792E"/>
    <w:rsid w:val="1A9D1D74"/>
    <w:rsid w:val="1AAD45DE"/>
    <w:rsid w:val="1AC57566"/>
    <w:rsid w:val="1AC704E3"/>
    <w:rsid w:val="1ACA37CD"/>
    <w:rsid w:val="1ADF133B"/>
    <w:rsid w:val="1AE94FB9"/>
    <w:rsid w:val="1AE96D67"/>
    <w:rsid w:val="1AF06347"/>
    <w:rsid w:val="1AFF47DC"/>
    <w:rsid w:val="1B046F80"/>
    <w:rsid w:val="1B0E4A1F"/>
    <w:rsid w:val="1B3267B5"/>
    <w:rsid w:val="1B40161D"/>
    <w:rsid w:val="1B441859"/>
    <w:rsid w:val="1B6606B1"/>
    <w:rsid w:val="1B6C0EE8"/>
    <w:rsid w:val="1B6D41E1"/>
    <w:rsid w:val="1B754A9E"/>
    <w:rsid w:val="1BAD248A"/>
    <w:rsid w:val="1BBE01F3"/>
    <w:rsid w:val="1BD3204F"/>
    <w:rsid w:val="1BE43586"/>
    <w:rsid w:val="1BF914BA"/>
    <w:rsid w:val="1C014B44"/>
    <w:rsid w:val="1C045664"/>
    <w:rsid w:val="1C057370"/>
    <w:rsid w:val="1C0C5403"/>
    <w:rsid w:val="1C2838BF"/>
    <w:rsid w:val="1C2B0811"/>
    <w:rsid w:val="1C33298F"/>
    <w:rsid w:val="1C403123"/>
    <w:rsid w:val="1C4E1577"/>
    <w:rsid w:val="1C5306F5"/>
    <w:rsid w:val="1C5E7925"/>
    <w:rsid w:val="1C6C6997"/>
    <w:rsid w:val="1C6F14EE"/>
    <w:rsid w:val="1C7733D9"/>
    <w:rsid w:val="1CA7790F"/>
    <w:rsid w:val="1CB44085"/>
    <w:rsid w:val="1CB735C0"/>
    <w:rsid w:val="1CBD494F"/>
    <w:rsid w:val="1CCE51CD"/>
    <w:rsid w:val="1CFD070F"/>
    <w:rsid w:val="1CFD2F9D"/>
    <w:rsid w:val="1D025CA0"/>
    <w:rsid w:val="1D0D1432"/>
    <w:rsid w:val="1D0F5E5E"/>
    <w:rsid w:val="1D161EA0"/>
    <w:rsid w:val="1D181B85"/>
    <w:rsid w:val="1D1A14B9"/>
    <w:rsid w:val="1D3072F8"/>
    <w:rsid w:val="1D4A2936"/>
    <w:rsid w:val="1D5E21C0"/>
    <w:rsid w:val="1D5F6196"/>
    <w:rsid w:val="1D6132A5"/>
    <w:rsid w:val="1D632E00"/>
    <w:rsid w:val="1D6A793A"/>
    <w:rsid w:val="1D6C2AFD"/>
    <w:rsid w:val="1D713370"/>
    <w:rsid w:val="1D7D0529"/>
    <w:rsid w:val="1D8A5818"/>
    <w:rsid w:val="1D8E56D5"/>
    <w:rsid w:val="1DA84E19"/>
    <w:rsid w:val="1DAB18D8"/>
    <w:rsid w:val="1DD26DCC"/>
    <w:rsid w:val="1DE33F41"/>
    <w:rsid w:val="1DF05690"/>
    <w:rsid w:val="1E012619"/>
    <w:rsid w:val="1E281B04"/>
    <w:rsid w:val="1E392745"/>
    <w:rsid w:val="1E3B7ACD"/>
    <w:rsid w:val="1E3C449A"/>
    <w:rsid w:val="1E447DED"/>
    <w:rsid w:val="1E4C3CE7"/>
    <w:rsid w:val="1E5604B5"/>
    <w:rsid w:val="1E7862CD"/>
    <w:rsid w:val="1E7A43DA"/>
    <w:rsid w:val="1EB200F0"/>
    <w:rsid w:val="1EB73758"/>
    <w:rsid w:val="1ECF0A3B"/>
    <w:rsid w:val="1ED85149"/>
    <w:rsid w:val="1EDB09B6"/>
    <w:rsid w:val="1EE40724"/>
    <w:rsid w:val="1F101F8D"/>
    <w:rsid w:val="1F311290"/>
    <w:rsid w:val="1F391B5C"/>
    <w:rsid w:val="1F5050D1"/>
    <w:rsid w:val="1F62491C"/>
    <w:rsid w:val="1F6C3DDC"/>
    <w:rsid w:val="1F6D36F1"/>
    <w:rsid w:val="1F8A0413"/>
    <w:rsid w:val="1F933359"/>
    <w:rsid w:val="1F971487"/>
    <w:rsid w:val="1F9E1B8E"/>
    <w:rsid w:val="1FBE4C66"/>
    <w:rsid w:val="1FE7539E"/>
    <w:rsid w:val="1FF21ED4"/>
    <w:rsid w:val="2007660D"/>
    <w:rsid w:val="200A5AFC"/>
    <w:rsid w:val="201A430D"/>
    <w:rsid w:val="201C395F"/>
    <w:rsid w:val="202D5948"/>
    <w:rsid w:val="20671BE0"/>
    <w:rsid w:val="2088088F"/>
    <w:rsid w:val="20940513"/>
    <w:rsid w:val="20963CB8"/>
    <w:rsid w:val="209C2D1A"/>
    <w:rsid w:val="209D2ACD"/>
    <w:rsid w:val="20A81A1B"/>
    <w:rsid w:val="20B07FB6"/>
    <w:rsid w:val="20B646FB"/>
    <w:rsid w:val="20BC0A98"/>
    <w:rsid w:val="20BC341D"/>
    <w:rsid w:val="20D67642"/>
    <w:rsid w:val="20D964A6"/>
    <w:rsid w:val="20DC6345"/>
    <w:rsid w:val="20E13B3C"/>
    <w:rsid w:val="212A02D7"/>
    <w:rsid w:val="213B74B1"/>
    <w:rsid w:val="21441968"/>
    <w:rsid w:val="214462C3"/>
    <w:rsid w:val="214C5241"/>
    <w:rsid w:val="21517BF2"/>
    <w:rsid w:val="215A2310"/>
    <w:rsid w:val="2160182E"/>
    <w:rsid w:val="216B0B49"/>
    <w:rsid w:val="216D59C8"/>
    <w:rsid w:val="21852C8B"/>
    <w:rsid w:val="21A02C6F"/>
    <w:rsid w:val="21A749AB"/>
    <w:rsid w:val="21B46321"/>
    <w:rsid w:val="21DE318A"/>
    <w:rsid w:val="21EF5B80"/>
    <w:rsid w:val="21F77FBB"/>
    <w:rsid w:val="21F901D7"/>
    <w:rsid w:val="21FC1985"/>
    <w:rsid w:val="22162B37"/>
    <w:rsid w:val="222E2BD0"/>
    <w:rsid w:val="223B6555"/>
    <w:rsid w:val="224A45F6"/>
    <w:rsid w:val="22576990"/>
    <w:rsid w:val="227F4693"/>
    <w:rsid w:val="2280028D"/>
    <w:rsid w:val="22944989"/>
    <w:rsid w:val="22A531AF"/>
    <w:rsid w:val="22CC1040"/>
    <w:rsid w:val="22D60519"/>
    <w:rsid w:val="22DB5B2F"/>
    <w:rsid w:val="22ED34EB"/>
    <w:rsid w:val="22F369D5"/>
    <w:rsid w:val="22F47480"/>
    <w:rsid w:val="22F97F47"/>
    <w:rsid w:val="22FA1DF1"/>
    <w:rsid w:val="22FF1100"/>
    <w:rsid w:val="23052BAC"/>
    <w:rsid w:val="230F5C1D"/>
    <w:rsid w:val="2339265A"/>
    <w:rsid w:val="23406BC7"/>
    <w:rsid w:val="23414128"/>
    <w:rsid w:val="23477859"/>
    <w:rsid w:val="234C022A"/>
    <w:rsid w:val="234F1862"/>
    <w:rsid w:val="23574571"/>
    <w:rsid w:val="23735D67"/>
    <w:rsid w:val="2384090A"/>
    <w:rsid w:val="23895199"/>
    <w:rsid w:val="238B30B1"/>
    <w:rsid w:val="23904EC8"/>
    <w:rsid w:val="23A81FF0"/>
    <w:rsid w:val="23B6282D"/>
    <w:rsid w:val="23C232D7"/>
    <w:rsid w:val="23C7019A"/>
    <w:rsid w:val="23D4764B"/>
    <w:rsid w:val="23DE1C48"/>
    <w:rsid w:val="23EB29FA"/>
    <w:rsid w:val="23EF1892"/>
    <w:rsid w:val="23F2473C"/>
    <w:rsid w:val="23FA3304"/>
    <w:rsid w:val="240210CD"/>
    <w:rsid w:val="240C2A44"/>
    <w:rsid w:val="240F7BF8"/>
    <w:rsid w:val="242B5451"/>
    <w:rsid w:val="243948BB"/>
    <w:rsid w:val="246412AA"/>
    <w:rsid w:val="24A40099"/>
    <w:rsid w:val="24BC413A"/>
    <w:rsid w:val="24BF09F7"/>
    <w:rsid w:val="24C50845"/>
    <w:rsid w:val="24D32E6D"/>
    <w:rsid w:val="24D942F0"/>
    <w:rsid w:val="24DD5B8E"/>
    <w:rsid w:val="24E24F53"/>
    <w:rsid w:val="24F074D1"/>
    <w:rsid w:val="25055BCA"/>
    <w:rsid w:val="250E3F9A"/>
    <w:rsid w:val="25297736"/>
    <w:rsid w:val="252D53FE"/>
    <w:rsid w:val="25440C67"/>
    <w:rsid w:val="256B13EC"/>
    <w:rsid w:val="257B0F03"/>
    <w:rsid w:val="25985D9D"/>
    <w:rsid w:val="25A80255"/>
    <w:rsid w:val="25AF4496"/>
    <w:rsid w:val="25B83F05"/>
    <w:rsid w:val="25CE0415"/>
    <w:rsid w:val="25D031AA"/>
    <w:rsid w:val="25EC2D81"/>
    <w:rsid w:val="25F355F5"/>
    <w:rsid w:val="25F74063"/>
    <w:rsid w:val="25F82FBF"/>
    <w:rsid w:val="26053E18"/>
    <w:rsid w:val="260C7092"/>
    <w:rsid w:val="260D402E"/>
    <w:rsid w:val="262B2C60"/>
    <w:rsid w:val="262E7315"/>
    <w:rsid w:val="262F72CD"/>
    <w:rsid w:val="263C086C"/>
    <w:rsid w:val="26455660"/>
    <w:rsid w:val="265B3DF5"/>
    <w:rsid w:val="2661459D"/>
    <w:rsid w:val="26625B52"/>
    <w:rsid w:val="26712A32"/>
    <w:rsid w:val="26823237"/>
    <w:rsid w:val="268C1915"/>
    <w:rsid w:val="269D2C00"/>
    <w:rsid w:val="26C75490"/>
    <w:rsid w:val="26EA3076"/>
    <w:rsid w:val="26EA5448"/>
    <w:rsid w:val="26FA3F74"/>
    <w:rsid w:val="27347067"/>
    <w:rsid w:val="2739091A"/>
    <w:rsid w:val="274041B2"/>
    <w:rsid w:val="274B5200"/>
    <w:rsid w:val="274E68CF"/>
    <w:rsid w:val="275B2C31"/>
    <w:rsid w:val="27644345"/>
    <w:rsid w:val="276C31F9"/>
    <w:rsid w:val="276D4B15"/>
    <w:rsid w:val="277057A2"/>
    <w:rsid w:val="27706FD2"/>
    <w:rsid w:val="277B0590"/>
    <w:rsid w:val="279F537D"/>
    <w:rsid w:val="27DE6737"/>
    <w:rsid w:val="27F40B59"/>
    <w:rsid w:val="28074CD0"/>
    <w:rsid w:val="28157197"/>
    <w:rsid w:val="281B1B54"/>
    <w:rsid w:val="281F3CEC"/>
    <w:rsid w:val="2829733C"/>
    <w:rsid w:val="28322F4C"/>
    <w:rsid w:val="283E688B"/>
    <w:rsid w:val="28400121"/>
    <w:rsid w:val="285C6197"/>
    <w:rsid w:val="286A598B"/>
    <w:rsid w:val="288B43AB"/>
    <w:rsid w:val="289D72E9"/>
    <w:rsid w:val="289F315B"/>
    <w:rsid w:val="28CB11F0"/>
    <w:rsid w:val="28DC386E"/>
    <w:rsid w:val="28E026ED"/>
    <w:rsid w:val="28E77027"/>
    <w:rsid w:val="28F631E2"/>
    <w:rsid w:val="28FB7588"/>
    <w:rsid w:val="2914249C"/>
    <w:rsid w:val="29183639"/>
    <w:rsid w:val="29206EB8"/>
    <w:rsid w:val="293A37B7"/>
    <w:rsid w:val="29595666"/>
    <w:rsid w:val="29820AB2"/>
    <w:rsid w:val="2987256D"/>
    <w:rsid w:val="29874881"/>
    <w:rsid w:val="298760C9"/>
    <w:rsid w:val="2999069F"/>
    <w:rsid w:val="299F4469"/>
    <w:rsid w:val="29A66D91"/>
    <w:rsid w:val="29AF73CD"/>
    <w:rsid w:val="29B828A7"/>
    <w:rsid w:val="29C05EE8"/>
    <w:rsid w:val="29CD2F63"/>
    <w:rsid w:val="29DF4157"/>
    <w:rsid w:val="29E325E0"/>
    <w:rsid w:val="29E67293"/>
    <w:rsid w:val="29EA557F"/>
    <w:rsid w:val="29F9365D"/>
    <w:rsid w:val="29FD1A01"/>
    <w:rsid w:val="2A0F7A1E"/>
    <w:rsid w:val="2A207891"/>
    <w:rsid w:val="2A214D06"/>
    <w:rsid w:val="2A452503"/>
    <w:rsid w:val="2A4B099E"/>
    <w:rsid w:val="2A6D3510"/>
    <w:rsid w:val="2A6E55F9"/>
    <w:rsid w:val="2A6F00C2"/>
    <w:rsid w:val="2A7710C9"/>
    <w:rsid w:val="2A792529"/>
    <w:rsid w:val="2AA84B49"/>
    <w:rsid w:val="2AAE0C0C"/>
    <w:rsid w:val="2AC31382"/>
    <w:rsid w:val="2AD01CF1"/>
    <w:rsid w:val="2AD91EB9"/>
    <w:rsid w:val="2AF6688D"/>
    <w:rsid w:val="2AF97F56"/>
    <w:rsid w:val="2AFC05D2"/>
    <w:rsid w:val="2B035C23"/>
    <w:rsid w:val="2B065713"/>
    <w:rsid w:val="2B075F1F"/>
    <w:rsid w:val="2B2C517A"/>
    <w:rsid w:val="2B2D2579"/>
    <w:rsid w:val="2B4148B6"/>
    <w:rsid w:val="2B4E3FCD"/>
    <w:rsid w:val="2B550C2B"/>
    <w:rsid w:val="2B7D59D5"/>
    <w:rsid w:val="2B807542"/>
    <w:rsid w:val="2B852ADC"/>
    <w:rsid w:val="2B98426B"/>
    <w:rsid w:val="2BA92B82"/>
    <w:rsid w:val="2BA936A8"/>
    <w:rsid w:val="2BC7050E"/>
    <w:rsid w:val="2BCB60FF"/>
    <w:rsid w:val="2BD8182E"/>
    <w:rsid w:val="2BEF61A7"/>
    <w:rsid w:val="2BF97ECA"/>
    <w:rsid w:val="2C0B028E"/>
    <w:rsid w:val="2C2220D9"/>
    <w:rsid w:val="2C315A5A"/>
    <w:rsid w:val="2C4B1C25"/>
    <w:rsid w:val="2C564365"/>
    <w:rsid w:val="2C5D0E7F"/>
    <w:rsid w:val="2C5F157F"/>
    <w:rsid w:val="2C647BB4"/>
    <w:rsid w:val="2C884632"/>
    <w:rsid w:val="2C9A60BB"/>
    <w:rsid w:val="2CB3474D"/>
    <w:rsid w:val="2CC06138"/>
    <w:rsid w:val="2CCA0648"/>
    <w:rsid w:val="2CCA2E9C"/>
    <w:rsid w:val="2CD8733B"/>
    <w:rsid w:val="2CF23C8A"/>
    <w:rsid w:val="2CFA4941"/>
    <w:rsid w:val="2CFD0ECB"/>
    <w:rsid w:val="2D327D11"/>
    <w:rsid w:val="2D3302F4"/>
    <w:rsid w:val="2D390181"/>
    <w:rsid w:val="2D3C0C46"/>
    <w:rsid w:val="2D3C77E2"/>
    <w:rsid w:val="2D487A37"/>
    <w:rsid w:val="2D513B91"/>
    <w:rsid w:val="2D546C0A"/>
    <w:rsid w:val="2D5A1809"/>
    <w:rsid w:val="2D87543F"/>
    <w:rsid w:val="2D8901E6"/>
    <w:rsid w:val="2D907DD2"/>
    <w:rsid w:val="2D9B0395"/>
    <w:rsid w:val="2D9B539F"/>
    <w:rsid w:val="2D9C6DE6"/>
    <w:rsid w:val="2D9E56F5"/>
    <w:rsid w:val="2DE633E5"/>
    <w:rsid w:val="2DF4181D"/>
    <w:rsid w:val="2DF950BB"/>
    <w:rsid w:val="2E020ED5"/>
    <w:rsid w:val="2E36630F"/>
    <w:rsid w:val="2E4D60BC"/>
    <w:rsid w:val="2E504721"/>
    <w:rsid w:val="2E667F96"/>
    <w:rsid w:val="2E8226AB"/>
    <w:rsid w:val="2EB72ED2"/>
    <w:rsid w:val="2EC979AA"/>
    <w:rsid w:val="2ED61D35"/>
    <w:rsid w:val="2F141663"/>
    <w:rsid w:val="2F652B7A"/>
    <w:rsid w:val="2F8C3686"/>
    <w:rsid w:val="2FA54BEE"/>
    <w:rsid w:val="2FBD0DC9"/>
    <w:rsid w:val="2FD065E6"/>
    <w:rsid w:val="2FD96870"/>
    <w:rsid w:val="2FE51D9B"/>
    <w:rsid w:val="300F74FE"/>
    <w:rsid w:val="30124480"/>
    <w:rsid w:val="301A298C"/>
    <w:rsid w:val="30203B82"/>
    <w:rsid w:val="302C79CA"/>
    <w:rsid w:val="30312711"/>
    <w:rsid w:val="304E11AB"/>
    <w:rsid w:val="30526F2D"/>
    <w:rsid w:val="30580BC9"/>
    <w:rsid w:val="306A25C1"/>
    <w:rsid w:val="30AF4D78"/>
    <w:rsid w:val="30D16C82"/>
    <w:rsid w:val="30D2231F"/>
    <w:rsid w:val="30DA1BE6"/>
    <w:rsid w:val="30E812F1"/>
    <w:rsid w:val="30F87B1B"/>
    <w:rsid w:val="310E70CF"/>
    <w:rsid w:val="31173D7B"/>
    <w:rsid w:val="311E2ED7"/>
    <w:rsid w:val="312052C8"/>
    <w:rsid w:val="31336B36"/>
    <w:rsid w:val="313517E0"/>
    <w:rsid w:val="31357B87"/>
    <w:rsid w:val="31436D79"/>
    <w:rsid w:val="31495561"/>
    <w:rsid w:val="315619EE"/>
    <w:rsid w:val="315C449C"/>
    <w:rsid w:val="3175714F"/>
    <w:rsid w:val="3178492C"/>
    <w:rsid w:val="317B2DD6"/>
    <w:rsid w:val="31815AF3"/>
    <w:rsid w:val="318D4498"/>
    <w:rsid w:val="31AD26F1"/>
    <w:rsid w:val="31B636B0"/>
    <w:rsid w:val="31B82709"/>
    <w:rsid w:val="31C619DD"/>
    <w:rsid w:val="31D05482"/>
    <w:rsid w:val="31DA24E5"/>
    <w:rsid w:val="31FD7870"/>
    <w:rsid w:val="32073EEF"/>
    <w:rsid w:val="32196097"/>
    <w:rsid w:val="32285F6F"/>
    <w:rsid w:val="322F1D9F"/>
    <w:rsid w:val="32400B34"/>
    <w:rsid w:val="32480412"/>
    <w:rsid w:val="324E3C27"/>
    <w:rsid w:val="32513584"/>
    <w:rsid w:val="32655415"/>
    <w:rsid w:val="32843AED"/>
    <w:rsid w:val="329D6F9D"/>
    <w:rsid w:val="329E6876"/>
    <w:rsid w:val="32A52F64"/>
    <w:rsid w:val="32DA06A1"/>
    <w:rsid w:val="32E53E60"/>
    <w:rsid w:val="32E93950"/>
    <w:rsid w:val="32ED1692"/>
    <w:rsid w:val="32F32A21"/>
    <w:rsid w:val="32F72511"/>
    <w:rsid w:val="32FA2ADB"/>
    <w:rsid w:val="32FE389F"/>
    <w:rsid w:val="33223B5C"/>
    <w:rsid w:val="332C482A"/>
    <w:rsid w:val="332D5F33"/>
    <w:rsid w:val="332E24F4"/>
    <w:rsid w:val="333015F2"/>
    <w:rsid w:val="334B6320"/>
    <w:rsid w:val="33757A05"/>
    <w:rsid w:val="337A5FAB"/>
    <w:rsid w:val="338A78BB"/>
    <w:rsid w:val="33A31D51"/>
    <w:rsid w:val="33B1543F"/>
    <w:rsid w:val="33C219D7"/>
    <w:rsid w:val="33CF4073"/>
    <w:rsid w:val="33D60378"/>
    <w:rsid w:val="33D91C17"/>
    <w:rsid w:val="33D934D4"/>
    <w:rsid w:val="33DE0FDB"/>
    <w:rsid w:val="33E5680D"/>
    <w:rsid w:val="33F151B2"/>
    <w:rsid w:val="33FE2F6A"/>
    <w:rsid w:val="340E07E5"/>
    <w:rsid w:val="340F121A"/>
    <w:rsid w:val="341B1CD8"/>
    <w:rsid w:val="341E1D1F"/>
    <w:rsid w:val="34235BF7"/>
    <w:rsid w:val="344A2B52"/>
    <w:rsid w:val="34635C93"/>
    <w:rsid w:val="34666A21"/>
    <w:rsid w:val="34677222"/>
    <w:rsid w:val="347C367B"/>
    <w:rsid w:val="34894E90"/>
    <w:rsid w:val="348C0BBA"/>
    <w:rsid w:val="34980849"/>
    <w:rsid w:val="34A246FE"/>
    <w:rsid w:val="34A8028D"/>
    <w:rsid w:val="34AF2977"/>
    <w:rsid w:val="34B40DD0"/>
    <w:rsid w:val="34DA0225"/>
    <w:rsid w:val="34EF322F"/>
    <w:rsid w:val="34F07218"/>
    <w:rsid w:val="34F767F8"/>
    <w:rsid w:val="34F95CB9"/>
    <w:rsid w:val="352121A7"/>
    <w:rsid w:val="353335A8"/>
    <w:rsid w:val="353926C0"/>
    <w:rsid w:val="3565270E"/>
    <w:rsid w:val="35714F81"/>
    <w:rsid w:val="358160C2"/>
    <w:rsid w:val="358C5FA8"/>
    <w:rsid w:val="359170F9"/>
    <w:rsid w:val="359D3A01"/>
    <w:rsid w:val="35AE2C2F"/>
    <w:rsid w:val="35C15DF1"/>
    <w:rsid w:val="35E14063"/>
    <w:rsid w:val="35E77612"/>
    <w:rsid w:val="35F51433"/>
    <w:rsid w:val="36074A7F"/>
    <w:rsid w:val="36101C06"/>
    <w:rsid w:val="361F4D6A"/>
    <w:rsid w:val="362461B3"/>
    <w:rsid w:val="362C0724"/>
    <w:rsid w:val="3633238A"/>
    <w:rsid w:val="36353436"/>
    <w:rsid w:val="3639699D"/>
    <w:rsid w:val="36403911"/>
    <w:rsid w:val="36443374"/>
    <w:rsid w:val="364C0E2D"/>
    <w:rsid w:val="36545EB5"/>
    <w:rsid w:val="365A133A"/>
    <w:rsid w:val="366F31E8"/>
    <w:rsid w:val="368023A6"/>
    <w:rsid w:val="368A5C1D"/>
    <w:rsid w:val="36923549"/>
    <w:rsid w:val="369F4346"/>
    <w:rsid w:val="36A72209"/>
    <w:rsid w:val="36B75FBF"/>
    <w:rsid w:val="36BB24F6"/>
    <w:rsid w:val="36BD0C45"/>
    <w:rsid w:val="36CF72CD"/>
    <w:rsid w:val="36EE0578"/>
    <w:rsid w:val="36F909D9"/>
    <w:rsid w:val="37014010"/>
    <w:rsid w:val="3720190B"/>
    <w:rsid w:val="372D69A6"/>
    <w:rsid w:val="37461780"/>
    <w:rsid w:val="37625465"/>
    <w:rsid w:val="37A46016"/>
    <w:rsid w:val="37BF2D2F"/>
    <w:rsid w:val="37BF2ED1"/>
    <w:rsid w:val="37BF362C"/>
    <w:rsid w:val="37C1103E"/>
    <w:rsid w:val="37C329C2"/>
    <w:rsid w:val="37DC3A83"/>
    <w:rsid w:val="37E00298"/>
    <w:rsid w:val="37EB23BA"/>
    <w:rsid w:val="37EC403B"/>
    <w:rsid w:val="38093522"/>
    <w:rsid w:val="382007BD"/>
    <w:rsid w:val="38561C89"/>
    <w:rsid w:val="3874040C"/>
    <w:rsid w:val="387F6B81"/>
    <w:rsid w:val="3891726E"/>
    <w:rsid w:val="38A02530"/>
    <w:rsid w:val="38A67381"/>
    <w:rsid w:val="38B302F9"/>
    <w:rsid w:val="38BB0E13"/>
    <w:rsid w:val="38BB7B3D"/>
    <w:rsid w:val="38C52C59"/>
    <w:rsid w:val="38D00D16"/>
    <w:rsid w:val="38DF4C2C"/>
    <w:rsid w:val="38F12CD3"/>
    <w:rsid w:val="38F94775"/>
    <w:rsid w:val="39077C38"/>
    <w:rsid w:val="391E02A2"/>
    <w:rsid w:val="392971ED"/>
    <w:rsid w:val="392A3862"/>
    <w:rsid w:val="392F3B88"/>
    <w:rsid w:val="39317DFF"/>
    <w:rsid w:val="39325651"/>
    <w:rsid w:val="395A7356"/>
    <w:rsid w:val="396509C3"/>
    <w:rsid w:val="39797168"/>
    <w:rsid w:val="397D0FAF"/>
    <w:rsid w:val="39AC5A52"/>
    <w:rsid w:val="39BB1B69"/>
    <w:rsid w:val="39DE703E"/>
    <w:rsid w:val="39E6508D"/>
    <w:rsid w:val="3A165282"/>
    <w:rsid w:val="3A425253"/>
    <w:rsid w:val="3A4B5033"/>
    <w:rsid w:val="3A4F678F"/>
    <w:rsid w:val="3A804D20"/>
    <w:rsid w:val="3A812174"/>
    <w:rsid w:val="3A872856"/>
    <w:rsid w:val="3A8F302F"/>
    <w:rsid w:val="3AA65E47"/>
    <w:rsid w:val="3AAC2BD4"/>
    <w:rsid w:val="3AD07D35"/>
    <w:rsid w:val="3AF65A28"/>
    <w:rsid w:val="3B183024"/>
    <w:rsid w:val="3B253993"/>
    <w:rsid w:val="3B3763D1"/>
    <w:rsid w:val="3B4262F3"/>
    <w:rsid w:val="3B9D099D"/>
    <w:rsid w:val="3BA1188F"/>
    <w:rsid w:val="3BB93D77"/>
    <w:rsid w:val="3BC95973"/>
    <w:rsid w:val="3BDF3DFC"/>
    <w:rsid w:val="3BE455FD"/>
    <w:rsid w:val="3BFC229D"/>
    <w:rsid w:val="3C101EF8"/>
    <w:rsid w:val="3C130D4F"/>
    <w:rsid w:val="3C1474E4"/>
    <w:rsid w:val="3C1A2A15"/>
    <w:rsid w:val="3C270B87"/>
    <w:rsid w:val="3C287913"/>
    <w:rsid w:val="3C2974B3"/>
    <w:rsid w:val="3C2F6E1E"/>
    <w:rsid w:val="3C334D03"/>
    <w:rsid w:val="3C3519B4"/>
    <w:rsid w:val="3C4F64BA"/>
    <w:rsid w:val="3C5067EE"/>
    <w:rsid w:val="3C5941FC"/>
    <w:rsid w:val="3C990195"/>
    <w:rsid w:val="3CA7753A"/>
    <w:rsid w:val="3CA8487C"/>
    <w:rsid w:val="3CCD68B2"/>
    <w:rsid w:val="3CD9638D"/>
    <w:rsid w:val="3CDA245A"/>
    <w:rsid w:val="3CDB1E9E"/>
    <w:rsid w:val="3CF97180"/>
    <w:rsid w:val="3D1E06B7"/>
    <w:rsid w:val="3D604E54"/>
    <w:rsid w:val="3D7E4729"/>
    <w:rsid w:val="3D9A2417"/>
    <w:rsid w:val="3DA4156D"/>
    <w:rsid w:val="3DAD04CA"/>
    <w:rsid w:val="3DBD4389"/>
    <w:rsid w:val="3DBE6FB6"/>
    <w:rsid w:val="3DC1402E"/>
    <w:rsid w:val="3DC3787C"/>
    <w:rsid w:val="3DC5744E"/>
    <w:rsid w:val="3DC672DE"/>
    <w:rsid w:val="3DD03BAF"/>
    <w:rsid w:val="3DD16A03"/>
    <w:rsid w:val="3DD5344F"/>
    <w:rsid w:val="3DD6576A"/>
    <w:rsid w:val="3DFB1384"/>
    <w:rsid w:val="3E072672"/>
    <w:rsid w:val="3E256187"/>
    <w:rsid w:val="3E2717D1"/>
    <w:rsid w:val="3E330317"/>
    <w:rsid w:val="3E356043"/>
    <w:rsid w:val="3E382184"/>
    <w:rsid w:val="3E3D025B"/>
    <w:rsid w:val="3E42636D"/>
    <w:rsid w:val="3E4617C3"/>
    <w:rsid w:val="3E4B1963"/>
    <w:rsid w:val="3E4B458A"/>
    <w:rsid w:val="3E674A82"/>
    <w:rsid w:val="3E726EF0"/>
    <w:rsid w:val="3E9E07BA"/>
    <w:rsid w:val="3EA24AFB"/>
    <w:rsid w:val="3EAE0D78"/>
    <w:rsid w:val="3EAF2804"/>
    <w:rsid w:val="3EC07EDD"/>
    <w:rsid w:val="3ECA6436"/>
    <w:rsid w:val="3ECF758A"/>
    <w:rsid w:val="3ED53805"/>
    <w:rsid w:val="3EDA0523"/>
    <w:rsid w:val="3F06588A"/>
    <w:rsid w:val="3F1C5008"/>
    <w:rsid w:val="3F2743DB"/>
    <w:rsid w:val="3F3643C1"/>
    <w:rsid w:val="3F56527D"/>
    <w:rsid w:val="3F626F70"/>
    <w:rsid w:val="3F695775"/>
    <w:rsid w:val="3F85380D"/>
    <w:rsid w:val="3F9F3E63"/>
    <w:rsid w:val="3FB11A38"/>
    <w:rsid w:val="3FBA13AD"/>
    <w:rsid w:val="3FD074F4"/>
    <w:rsid w:val="400C4A5D"/>
    <w:rsid w:val="400D3A17"/>
    <w:rsid w:val="401069C0"/>
    <w:rsid w:val="40175E66"/>
    <w:rsid w:val="40324B88"/>
    <w:rsid w:val="405B1DFD"/>
    <w:rsid w:val="4069280F"/>
    <w:rsid w:val="406C1ED0"/>
    <w:rsid w:val="406F6832"/>
    <w:rsid w:val="407A6407"/>
    <w:rsid w:val="407C4056"/>
    <w:rsid w:val="40B43174"/>
    <w:rsid w:val="40B90E6A"/>
    <w:rsid w:val="40BA4B7E"/>
    <w:rsid w:val="40DB5220"/>
    <w:rsid w:val="40E23A1F"/>
    <w:rsid w:val="40EB4D37"/>
    <w:rsid w:val="40F84914"/>
    <w:rsid w:val="41405083"/>
    <w:rsid w:val="4176055F"/>
    <w:rsid w:val="41775363"/>
    <w:rsid w:val="41A263F5"/>
    <w:rsid w:val="41A75102"/>
    <w:rsid w:val="41AF4DF5"/>
    <w:rsid w:val="41F5554E"/>
    <w:rsid w:val="4200449D"/>
    <w:rsid w:val="423A3BCC"/>
    <w:rsid w:val="423B3A9C"/>
    <w:rsid w:val="42443965"/>
    <w:rsid w:val="424566C9"/>
    <w:rsid w:val="424E57D2"/>
    <w:rsid w:val="42B26C49"/>
    <w:rsid w:val="42BC7885"/>
    <w:rsid w:val="42CD2946"/>
    <w:rsid w:val="42F8373B"/>
    <w:rsid w:val="42F97BDF"/>
    <w:rsid w:val="42FA5706"/>
    <w:rsid w:val="430D3587"/>
    <w:rsid w:val="43236FBC"/>
    <w:rsid w:val="433A6FE6"/>
    <w:rsid w:val="433C1DEB"/>
    <w:rsid w:val="43480868"/>
    <w:rsid w:val="4350713C"/>
    <w:rsid w:val="436653E0"/>
    <w:rsid w:val="43805C0B"/>
    <w:rsid w:val="43A143C3"/>
    <w:rsid w:val="43B21394"/>
    <w:rsid w:val="43C01E9E"/>
    <w:rsid w:val="43C4431A"/>
    <w:rsid w:val="43C90256"/>
    <w:rsid w:val="43D61F90"/>
    <w:rsid w:val="43D93577"/>
    <w:rsid w:val="43DA3956"/>
    <w:rsid w:val="44175C4F"/>
    <w:rsid w:val="441D78FE"/>
    <w:rsid w:val="441E2883"/>
    <w:rsid w:val="442F13DF"/>
    <w:rsid w:val="44613C8E"/>
    <w:rsid w:val="446F2608"/>
    <w:rsid w:val="4478466C"/>
    <w:rsid w:val="447D3E32"/>
    <w:rsid w:val="448036AF"/>
    <w:rsid w:val="448D70AF"/>
    <w:rsid w:val="449F7933"/>
    <w:rsid w:val="44B00199"/>
    <w:rsid w:val="44B6565C"/>
    <w:rsid w:val="44B951CC"/>
    <w:rsid w:val="44B96E67"/>
    <w:rsid w:val="44CD14E0"/>
    <w:rsid w:val="44CF4B08"/>
    <w:rsid w:val="44DE67F0"/>
    <w:rsid w:val="44E91C8C"/>
    <w:rsid w:val="44F20B0B"/>
    <w:rsid w:val="44F20D8A"/>
    <w:rsid w:val="451900C5"/>
    <w:rsid w:val="45213CE7"/>
    <w:rsid w:val="452503B2"/>
    <w:rsid w:val="45277225"/>
    <w:rsid w:val="452E5F4C"/>
    <w:rsid w:val="453D665F"/>
    <w:rsid w:val="45576E3F"/>
    <w:rsid w:val="45612018"/>
    <w:rsid w:val="45815C6A"/>
    <w:rsid w:val="458946E9"/>
    <w:rsid w:val="458D1B95"/>
    <w:rsid w:val="45A042EE"/>
    <w:rsid w:val="45A47C0E"/>
    <w:rsid w:val="45C801D1"/>
    <w:rsid w:val="45E83F3B"/>
    <w:rsid w:val="45EF52CA"/>
    <w:rsid w:val="45FC2302"/>
    <w:rsid w:val="46032B23"/>
    <w:rsid w:val="461C011D"/>
    <w:rsid w:val="46353023"/>
    <w:rsid w:val="46492C2C"/>
    <w:rsid w:val="46577FD6"/>
    <w:rsid w:val="465E7D59"/>
    <w:rsid w:val="466912C1"/>
    <w:rsid w:val="46715CDF"/>
    <w:rsid w:val="46717A8D"/>
    <w:rsid w:val="468E4DBA"/>
    <w:rsid w:val="46CB49B1"/>
    <w:rsid w:val="46D324F5"/>
    <w:rsid w:val="46D955A7"/>
    <w:rsid w:val="46DD3374"/>
    <w:rsid w:val="46FD7795"/>
    <w:rsid w:val="4704592B"/>
    <w:rsid w:val="47081D3E"/>
    <w:rsid w:val="47133957"/>
    <w:rsid w:val="471A0124"/>
    <w:rsid w:val="471A59DA"/>
    <w:rsid w:val="47267EBE"/>
    <w:rsid w:val="476A1563"/>
    <w:rsid w:val="476B4933"/>
    <w:rsid w:val="477261B2"/>
    <w:rsid w:val="47881532"/>
    <w:rsid w:val="47A07E0C"/>
    <w:rsid w:val="47A479CC"/>
    <w:rsid w:val="47AA6EFF"/>
    <w:rsid w:val="47AD5E1D"/>
    <w:rsid w:val="47C72D66"/>
    <w:rsid w:val="47E06D87"/>
    <w:rsid w:val="47F658E7"/>
    <w:rsid w:val="47F95F8C"/>
    <w:rsid w:val="480942D2"/>
    <w:rsid w:val="480E465D"/>
    <w:rsid w:val="481B33E2"/>
    <w:rsid w:val="48270292"/>
    <w:rsid w:val="48382F58"/>
    <w:rsid w:val="4842294C"/>
    <w:rsid w:val="484A67E7"/>
    <w:rsid w:val="48501E32"/>
    <w:rsid w:val="48557E26"/>
    <w:rsid w:val="48650157"/>
    <w:rsid w:val="48687BA7"/>
    <w:rsid w:val="4870272E"/>
    <w:rsid w:val="488C58C3"/>
    <w:rsid w:val="48901F03"/>
    <w:rsid w:val="48961A2D"/>
    <w:rsid w:val="48A26623"/>
    <w:rsid w:val="48B40105"/>
    <w:rsid w:val="48B607CE"/>
    <w:rsid w:val="48BD5CAC"/>
    <w:rsid w:val="48C55A37"/>
    <w:rsid w:val="48E56510"/>
    <w:rsid w:val="48E84C9E"/>
    <w:rsid w:val="48F56A45"/>
    <w:rsid w:val="49027F7D"/>
    <w:rsid w:val="49395233"/>
    <w:rsid w:val="49441489"/>
    <w:rsid w:val="49530CC1"/>
    <w:rsid w:val="495B7CC5"/>
    <w:rsid w:val="495C3939"/>
    <w:rsid w:val="49847478"/>
    <w:rsid w:val="49882275"/>
    <w:rsid w:val="4994656B"/>
    <w:rsid w:val="499556B2"/>
    <w:rsid w:val="49B019E5"/>
    <w:rsid w:val="49B763BB"/>
    <w:rsid w:val="49C40F8B"/>
    <w:rsid w:val="49C600F0"/>
    <w:rsid w:val="49CE6C14"/>
    <w:rsid w:val="49DC7715"/>
    <w:rsid w:val="49FC521A"/>
    <w:rsid w:val="4A023139"/>
    <w:rsid w:val="4A03115C"/>
    <w:rsid w:val="4A0A4480"/>
    <w:rsid w:val="4A156FFD"/>
    <w:rsid w:val="4A4756E0"/>
    <w:rsid w:val="4A5519FB"/>
    <w:rsid w:val="4A7B576F"/>
    <w:rsid w:val="4A8316E8"/>
    <w:rsid w:val="4A881849"/>
    <w:rsid w:val="4AC929FC"/>
    <w:rsid w:val="4AEC2FAB"/>
    <w:rsid w:val="4AF4315E"/>
    <w:rsid w:val="4AF561A9"/>
    <w:rsid w:val="4B0A243B"/>
    <w:rsid w:val="4B0F707F"/>
    <w:rsid w:val="4B4746C0"/>
    <w:rsid w:val="4B68484A"/>
    <w:rsid w:val="4B6E6C91"/>
    <w:rsid w:val="4B7507FF"/>
    <w:rsid w:val="4BB91839"/>
    <w:rsid w:val="4BCE701C"/>
    <w:rsid w:val="4BEA4569"/>
    <w:rsid w:val="4BEE7C6E"/>
    <w:rsid w:val="4BFF5C46"/>
    <w:rsid w:val="4C056DDE"/>
    <w:rsid w:val="4C0937B3"/>
    <w:rsid w:val="4C147C2D"/>
    <w:rsid w:val="4C336C95"/>
    <w:rsid w:val="4C3D683F"/>
    <w:rsid w:val="4C4A0649"/>
    <w:rsid w:val="4C4D2D4A"/>
    <w:rsid w:val="4C781B79"/>
    <w:rsid w:val="4C7D53DD"/>
    <w:rsid w:val="4C7E5ECA"/>
    <w:rsid w:val="4C876AA5"/>
    <w:rsid w:val="4C9A446B"/>
    <w:rsid w:val="4CA77A95"/>
    <w:rsid w:val="4CB55893"/>
    <w:rsid w:val="4D0E00FB"/>
    <w:rsid w:val="4D176606"/>
    <w:rsid w:val="4D223085"/>
    <w:rsid w:val="4D2246C1"/>
    <w:rsid w:val="4D2C043A"/>
    <w:rsid w:val="4D425FEB"/>
    <w:rsid w:val="4D56252A"/>
    <w:rsid w:val="4D64659D"/>
    <w:rsid w:val="4D6D2423"/>
    <w:rsid w:val="4D9F356E"/>
    <w:rsid w:val="4DA01C46"/>
    <w:rsid w:val="4DCA28A4"/>
    <w:rsid w:val="4DE624DE"/>
    <w:rsid w:val="4DE772AA"/>
    <w:rsid w:val="4DEC4FB0"/>
    <w:rsid w:val="4DF23BA9"/>
    <w:rsid w:val="4E035DB6"/>
    <w:rsid w:val="4E075D8A"/>
    <w:rsid w:val="4E477751"/>
    <w:rsid w:val="4E6879C7"/>
    <w:rsid w:val="4E6B4913"/>
    <w:rsid w:val="4E7A703F"/>
    <w:rsid w:val="4E881E17"/>
    <w:rsid w:val="4E8B1908"/>
    <w:rsid w:val="4E8C7B5A"/>
    <w:rsid w:val="4E91624C"/>
    <w:rsid w:val="4EA57EB3"/>
    <w:rsid w:val="4EB003E4"/>
    <w:rsid w:val="4EB62A4C"/>
    <w:rsid w:val="4EC00FAD"/>
    <w:rsid w:val="4EC866B8"/>
    <w:rsid w:val="4EE40EC6"/>
    <w:rsid w:val="4F193C4A"/>
    <w:rsid w:val="4F1A3FDD"/>
    <w:rsid w:val="4F314BCD"/>
    <w:rsid w:val="4F381BF2"/>
    <w:rsid w:val="4F443F90"/>
    <w:rsid w:val="4F9843DC"/>
    <w:rsid w:val="4F9B0C94"/>
    <w:rsid w:val="4FAB1C62"/>
    <w:rsid w:val="4FAC11CC"/>
    <w:rsid w:val="4FAF7EFA"/>
    <w:rsid w:val="4FB811C3"/>
    <w:rsid w:val="4FC62A8C"/>
    <w:rsid w:val="4FE20F0D"/>
    <w:rsid w:val="4FE51552"/>
    <w:rsid w:val="4FFC26C3"/>
    <w:rsid w:val="501F1A47"/>
    <w:rsid w:val="50367284"/>
    <w:rsid w:val="503B7E59"/>
    <w:rsid w:val="50483F54"/>
    <w:rsid w:val="50504C4B"/>
    <w:rsid w:val="50633C92"/>
    <w:rsid w:val="507C3BFE"/>
    <w:rsid w:val="508425C3"/>
    <w:rsid w:val="509C6E7C"/>
    <w:rsid w:val="50A65EDA"/>
    <w:rsid w:val="50B9315A"/>
    <w:rsid w:val="50BD2F04"/>
    <w:rsid w:val="50BE16CD"/>
    <w:rsid w:val="50C11DAD"/>
    <w:rsid w:val="50FB2D75"/>
    <w:rsid w:val="51033BD7"/>
    <w:rsid w:val="51114346"/>
    <w:rsid w:val="51250BD6"/>
    <w:rsid w:val="514566E6"/>
    <w:rsid w:val="5162104E"/>
    <w:rsid w:val="5176064D"/>
    <w:rsid w:val="517D214D"/>
    <w:rsid w:val="518A27DC"/>
    <w:rsid w:val="51990092"/>
    <w:rsid w:val="51BE3164"/>
    <w:rsid w:val="51E04C60"/>
    <w:rsid w:val="51F90E65"/>
    <w:rsid w:val="52475F8B"/>
    <w:rsid w:val="52637ABA"/>
    <w:rsid w:val="526861E8"/>
    <w:rsid w:val="528374C6"/>
    <w:rsid w:val="528B67F0"/>
    <w:rsid w:val="52A546E1"/>
    <w:rsid w:val="52C415F6"/>
    <w:rsid w:val="52D14564"/>
    <w:rsid w:val="52DE46FC"/>
    <w:rsid w:val="530323B4"/>
    <w:rsid w:val="53057EDB"/>
    <w:rsid w:val="5307508F"/>
    <w:rsid w:val="531D7740"/>
    <w:rsid w:val="53313D63"/>
    <w:rsid w:val="533F5E6B"/>
    <w:rsid w:val="53436CB1"/>
    <w:rsid w:val="534F5FD2"/>
    <w:rsid w:val="53672AE2"/>
    <w:rsid w:val="53901E9A"/>
    <w:rsid w:val="5398055B"/>
    <w:rsid w:val="539B2C80"/>
    <w:rsid w:val="53A039CC"/>
    <w:rsid w:val="53A1505A"/>
    <w:rsid w:val="53A43C04"/>
    <w:rsid w:val="53A9454A"/>
    <w:rsid w:val="53F95BFF"/>
    <w:rsid w:val="5403561A"/>
    <w:rsid w:val="54063E08"/>
    <w:rsid w:val="54273E81"/>
    <w:rsid w:val="54301324"/>
    <w:rsid w:val="543437E8"/>
    <w:rsid w:val="545919FE"/>
    <w:rsid w:val="54701DC0"/>
    <w:rsid w:val="549E264E"/>
    <w:rsid w:val="54B011B8"/>
    <w:rsid w:val="54EA7388"/>
    <w:rsid w:val="54F73313"/>
    <w:rsid w:val="54F80955"/>
    <w:rsid w:val="550146D2"/>
    <w:rsid w:val="550762CE"/>
    <w:rsid w:val="55175CA3"/>
    <w:rsid w:val="551F0D2D"/>
    <w:rsid w:val="5527575F"/>
    <w:rsid w:val="552C7A66"/>
    <w:rsid w:val="55366A71"/>
    <w:rsid w:val="555170A7"/>
    <w:rsid w:val="555D3AAF"/>
    <w:rsid w:val="5563538C"/>
    <w:rsid w:val="5579070C"/>
    <w:rsid w:val="5587536D"/>
    <w:rsid w:val="558C48E3"/>
    <w:rsid w:val="55922EE3"/>
    <w:rsid w:val="559B1486"/>
    <w:rsid w:val="559B174B"/>
    <w:rsid w:val="55BC2260"/>
    <w:rsid w:val="55CE0CF4"/>
    <w:rsid w:val="55D65B5E"/>
    <w:rsid w:val="55F53E72"/>
    <w:rsid w:val="56430B7F"/>
    <w:rsid w:val="56467B2C"/>
    <w:rsid w:val="566155E4"/>
    <w:rsid w:val="56B22A9C"/>
    <w:rsid w:val="56C0241F"/>
    <w:rsid w:val="56CD0A43"/>
    <w:rsid w:val="56CF0B03"/>
    <w:rsid w:val="56D71CC3"/>
    <w:rsid w:val="56F74802"/>
    <w:rsid w:val="57281234"/>
    <w:rsid w:val="572E5274"/>
    <w:rsid w:val="572F5526"/>
    <w:rsid w:val="57340D8E"/>
    <w:rsid w:val="5756456E"/>
    <w:rsid w:val="575D64CC"/>
    <w:rsid w:val="576F626A"/>
    <w:rsid w:val="577055B6"/>
    <w:rsid w:val="57726482"/>
    <w:rsid w:val="57762CC5"/>
    <w:rsid w:val="5780342F"/>
    <w:rsid w:val="579006F1"/>
    <w:rsid w:val="57B123DF"/>
    <w:rsid w:val="57B33005"/>
    <w:rsid w:val="57B72A76"/>
    <w:rsid w:val="57C3426C"/>
    <w:rsid w:val="57CE1F93"/>
    <w:rsid w:val="57F5621E"/>
    <w:rsid w:val="57F8000E"/>
    <w:rsid w:val="58152645"/>
    <w:rsid w:val="581C4814"/>
    <w:rsid w:val="58380DEE"/>
    <w:rsid w:val="583B614D"/>
    <w:rsid w:val="58533496"/>
    <w:rsid w:val="58694DA2"/>
    <w:rsid w:val="58705DF6"/>
    <w:rsid w:val="588743D1"/>
    <w:rsid w:val="5887701A"/>
    <w:rsid w:val="58881CA7"/>
    <w:rsid w:val="588C1B36"/>
    <w:rsid w:val="58D42829"/>
    <w:rsid w:val="58DA7713"/>
    <w:rsid w:val="58ED59D3"/>
    <w:rsid w:val="58F06442"/>
    <w:rsid w:val="592B61C1"/>
    <w:rsid w:val="59394B1F"/>
    <w:rsid w:val="595C281E"/>
    <w:rsid w:val="596C024D"/>
    <w:rsid w:val="597C3D3A"/>
    <w:rsid w:val="597F7258"/>
    <w:rsid w:val="599B3347"/>
    <w:rsid w:val="59C0439F"/>
    <w:rsid w:val="59CA776B"/>
    <w:rsid w:val="59E124D6"/>
    <w:rsid w:val="59E7658C"/>
    <w:rsid w:val="59F713C6"/>
    <w:rsid w:val="5A103FE5"/>
    <w:rsid w:val="5A2450EA"/>
    <w:rsid w:val="5A325957"/>
    <w:rsid w:val="5A33260F"/>
    <w:rsid w:val="5A343B61"/>
    <w:rsid w:val="5A3E6FFA"/>
    <w:rsid w:val="5A680140"/>
    <w:rsid w:val="5A6B1C8A"/>
    <w:rsid w:val="5A755946"/>
    <w:rsid w:val="5A76212E"/>
    <w:rsid w:val="5A80766E"/>
    <w:rsid w:val="5A885B39"/>
    <w:rsid w:val="5AA4622B"/>
    <w:rsid w:val="5AA770DD"/>
    <w:rsid w:val="5AA81586"/>
    <w:rsid w:val="5ABA133E"/>
    <w:rsid w:val="5ABE2233"/>
    <w:rsid w:val="5ABE6E38"/>
    <w:rsid w:val="5AFD5AA5"/>
    <w:rsid w:val="5B1615D4"/>
    <w:rsid w:val="5B350055"/>
    <w:rsid w:val="5B414137"/>
    <w:rsid w:val="5B4517BC"/>
    <w:rsid w:val="5B523ED9"/>
    <w:rsid w:val="5B583BEB"/>
    <w:rsid w:val="5B89775C"/>
    <w:rsid w:val="5B9F5159"/>
    <w:rsid w:val="5BA34735"/>
    <w:rsid w:val="5BB701E0"/>
    <w:rsid w:val="5BC41CC4"/>
    <w:rsid w:val="5BCE6E89"/>
    <w:rsid w:val="5BDF5D95"/>
    <w:rsid w:val="5BF53335"/>
    <w:rsid w:val="5BF60452"/>
    <w:rsid w:val="5BFE7528"/>
    <w:rsid w:val="5C0351D3"/>
    <w:rsid w:val="5C4C1BF7"/>
    <w:rsid w:val="5C4E34D4"/>
    <w:rsid w:val="5C942FA3"/>
    <w:rsid w:val="5C98591B"/>
    <w:rsid w:val="5C9D193F"/>
    <w:rsid w:val="5CBD35D4"/>
    <w:rsid w:val="5CC6142A"/>
    <w:rsid w:val="5CD538DB"/>
    <w:rsid w:val="5CD8418D"/>
    <w:rsid w:val="5CE648D9"/>
    <w:rsid w:val="5CF03243"/>
    <w:rsid w:val="5D1C2AA8"/>
    <w:rsid w:val="5D1F470D"/>
    <w:rsid w:val="5D333896"/>
    <w:rsid w:val="5D497736"/>
    <w:rsid w:val="5D597F64"/>
    <w:rsid w:val="5D6E48CE"/>
    <w:rsid w:val="5D78495C"/>
    <w:rsid w:val="5D786220"/>
    <w:rsid w:val="5DC81396"/>
    <w:rsid w:val="5DCA5FA9"/>
    <w:rsid w:val="5DD21301"/>
    <w:rsid w:val="5DE35D38"/>
    <w:rsid w:val="5E053D08"/>
    <w:rsid w:val="5E14191A"/>
    <w:rsid w:val="5E145B91"/>
    <w:rsid w:val="5E2467F1"/>
    <w:rsid w:val="5E580CDF"/>
    <w:rsid w:val="5E5E7D91"/>
    <w:rsid w:val="5E7423B8"/>
    <w:rsid w:val="5E7A6E94"/>
    <w:rsid w:val="5E903ABB"/>
    <w:rsid w:val="5EAC3A23"/>
    <w:rsid w:val="5EC91066"/>
    <w:rsid w:val="5EF63A7D"/>
    <w:rsid w:val="5F0A7995"/>
    <w:rsid w:val="5F155949"/>
    <w:rsid w:val="5F1A2B43"/>
    <w:rsid w:val="5F3470C8"/>
    <w:rsid w:val="5F5C5FB8"/>
    <w:rsid w:val="5F6C6437"/>
    <w:rsid w:val="5F6F214A"/>
    <w:rsid w:val="5F8C1D0B"/>
    <w:rsid w:val="5F8C60D7"/>
    <w:rsid w:val="5FB14851"/>
    <w:rsid w:val="5FB837BB"/>
    <w:rsid w:val="5FBE263A"/>
    <w:rsid w:val="5FCB6008"/>
    <w:rsid w:val="5FEC32F8"/>
    <w:rsid w:val="5FF17B2D"/>
    <w:rsid w:val="60002155"/>
    <w:rsid w:val="60173560"/>
    <w:rsid w:val="602045A6"/>
    <w:rsid w:val="60586C19"/>
    <w:rsid w:val="605B55DE"/>
    <w:rsid w:val="605E61C5"/>
    <w:rsid w:val="60974649"/>
    <w:rsid w:val="60991EE6"/>
    <w:rsid w:val="609F6707"/>
    <w:rsid w:val="60CC405A"/>
    <w:rsid w:val="60E83CC0"/>
    <w:rsid w:val="60ED62A8"/>
    <w:rsid w:val="60F732F5"/>
    <w:rsid w:val="61083365"/>
    <w:rsid w:val="610B5122"/>
    <w:rsid w:val="61196FA7"/>
    <w:rsid w:val="61332535"/>
    <w:rsid w:val="61714D75"/>
    <w:rsid w:val="617D31F2"/>
    <w:rsid w:val="61800C2D"/>
    <w:rsid w:val="618361EC"/>
    <w:rsid w:val="619F599E"/>
    <w:rsid w:val="61B03F22"/>
    <w:rsid w:val="61B76844"/>
    <w:rsid w:val="61BF394A"/>
    <w:rsid w:val="61E215D8"/>
    <w:rsid w:val="61EB0BE3"/>
    <w:rsid w:val="61F21FBB"/>
    <w:rsid w:val="62180FB2"/>
    <w:rsid w:val="621B3775"/>
    <w:rsid w:val="62364782"/>
    <w:rsid w:val="62583156"/>
    <w:rsid w:val="628315FC"/>
    <w:rsid w:val="62874BFA"/>
    <w:rsid w:val="62975F54"/>
    <w:rsid w:val="62AA0157"/>
    <w:rsid w:val="62B27776"/>
    <w:rsid w:val="62B31701"/>
    <w:rsid w:val="62BE432C"/>
    <w:rsid w:val="62BE733C"/>
    <w:rsid w:val="62C03CEC"/>
    <w:rsid w:val="62C819A9"/>
    <w:rsid w:val="630248CD"/>
    <w:rsid w:val="63051AE8"/>
    <w:rsid w:val="63070387"/>
    <w:rsid w:val="63293771"/>
    <w:rsid w:val="633151E2"/>
    <w:rsid w:val="634265E1"/>
    <w:rsid w:val="63615A0A"/>
    <w:rsid w:val="637675BB"/>
    <w:rsid w:val="638C3D00"/>
    <w:rsid w:val="6394356A"/>
    <w:rsid w:val="63A257B4"/>
    <w:rsid w:val="63A87707"/>
    <w:rsid w:val="63AE03BF"/>
    <w:rsid w:val="63B140AE"/>
    <w:rsid w:val="63B4579E"/>
    <w:rsid w:val="63C61B2C"/>
    <w:rsid w:val="63C86D15"/>
    <w:rsid w:val="63D40BE9"/>
    <w:rsid w:val="63E703DA"/>
    <w:rsid w:val="63EB37C3"/>
    <w:rsid w:val="63F35B2D"/>
    <w:rsid w:val="64102431"/>
    <w:rsid w:val="64330CD2"/>
    <w:rsid w:val="644111F0"/>
    <w:rsid w:val="644E4FAE"/>
    <w:rsid w:val="6451486E"/>
    <w:rsid w:val="64561191"/>
    <w:rsid w:val="64596820"/>
    <w:rsid w:val="646144B1"/>
    <w:rsid w:val="64721148"/>
    <w:rsid w:val="64771E53"/>
    <w:rsid w:val="64790728"/>
    <w:rsid w:val="647B3D4D"/>
    <w:rsid w:val="64925346"/>
    <w:rsid w:val="64A37D88"/>
    <w:rsid w:val="64A5243A"/>
    <w:rsid w:val="64AE24ED"/>
    <w:rsid w:val="64B038FD"/>
    <w:rsid w:val="64B452BD"/>
    <w:rsid w:val="64D121F6"/>
    <w:rsid w:val="64DD2A65"/>
    <w:rsid w:val="64E75799"/>
    <w:rsid w:val="64F531DE"/>
    <w:rsid w:val="64FB113D"/>
    <w:rsid w:val="65164DA3"/>
    <w:rsid w:val="6532453E"/>
    <w:rsid w:val="65373578"/>
    <w:rsid w:val="656059DD"/>
    <w:rsid w:val="65882DCF"/>
    <w:rsid w:val="659B50E5"/>
    <w:rsid w:val="65C03BDE"/>
    <w:rsid w:val="65CC39A5"/>
    <w:rsid w:val="65E120E1"/>
    <w:rsid w:val="65F8567D"/>
    <w:rsid w:val="66013596"/>
    <w:rsid w:val="6603474E"/>
    <w:rsid w:val="6627720D"/>
    <w:rsid w:val="66491F73"/>
    <w:rsid w:val="66B93974"/>
    <w:rsid w:val="66BA4931"/>
    <w:rsid w:val="66D71894"/>
    <w:rsid w:val="66DE0D17"/>
    <w:rsid w:val="66E12A04"/>
    <w:rsid w:val="67130EC3"/>
    <w:rsid w:val="671F124A"/>
    <w:rsid w:val="67256FD3"/>
    <w:rsid w:val="672579DC"/>
    <w:rsid w:val="672D11CE"/>
    <w:rsid w:val="67402052"/>
    <w:rsid w:val="674C7A2E"/>
    <w:rsid w:val="676F196F"/>
    <w:rsid w:val="677A33C6"/>
    <w:rsid w:val="6791267E"/>
    <w:rsid w:val="67925DC6"/>
    <w:rsid w:val="67967A16"/>
    <w:rsid w:val="679B7614"/>
    <w:rsid w:val="679E3484"/>
    <w:rsid w:val="67BF5C4F"/>
    <w:rsid w:val="67C25DBB"/>
    <w:rsid w:val="67C577E1"/>
    <w:rsid w:val="67C86935"/>
    <w:rsid w:val="67F22B46"/>
    <w:rsid w:val="67F86D1A"/>
    <w:rsid w:val="67FB4C6E"/>
    <w:rsid w:val="67FD51CC"/>
    <w:rsid w:val="68000819"/>
    <w:rsid w:val="6804655B"/>
    <w:rsid w:val="6817628E"/>
    <w:rsid w:val="681F6961"/>
    <w:rsid w:val="682403B2"/>
    <w:rsid w:val="6835025A"/>
    <w:rsid w:val="683F73E6"/>
    <w:rsid w:val="68420E31"/>
    <w:rsid w:val="68610A2F"/>
    <w:rsid w:val="68647937"/>
    <w:rsid w:val="6875280B"/>
    <w:rsid w:val="68805514"/>
    <w:rsid w:val="689F1260"/>
    <w:rsid w:val="68AE2ACF"/>
    <w:rsid w:val="68C9321C"/>
    <w:rsid w:val="68D636CE"/>
    <w:rsid w:val="69026F3E"/>
    <w:rsid w:val="69165D50"/>
    <w:rsid w:val="69316E2F"/>
    <w:rsid w:val="69427B3D"/>
    <w:rsid w:val="694E2071"/>
    <w:rsid w:val="69746AE3"/>
    <w:rsid w:val="69766163"/>
    <w:rsid w:val="697A3B33"/>
    <w:rsid w:val="69A631D9"/>
    <w:rsid w:val="69A979CD"/>
    <w:rsid w:val="69C11892"/>
    <w:rsid w:val="69D44760"/>
    <w:rsid w:val="69E41A55"/>
    <w:rsid w:val="69E82B0F"/>
    <w:rsid w:val="6A0740E0"/>
    <w:rsid w:val="6A087281"/>
    <w:rsid w:val="6A21430D"/>
    <w:rsid w:val="6A252C91"/>
    <w:rsid w:val="6A3771F7"/>
    <w:rsid w:val="6A3F726A"/>
    <w:rsid w:val="6A520EC7"/>
    <w:rsid w:val="6A581808"/>
    <w:rsid w:val="6A6C26E4"/>
    <w:rsid w:val="6A701688"/>
    <w:rsid w:val="6A75729C"/>
    <w:rsid w:val="6AAD1319"/>
    <w:rsid w:val="6AE15F3E"/>
    <w:rsid w:val="6AEC4D58"/>
    <w:rsid w:val="6AF87E20"/>
    <w:rsid w:val="6B194E6B"/>
    <w:rsid w:val="6B1C5B5B"/>
    <w:rsid w:val="6B1E5B86"/>
    <w:rsid w:val="6B203CC9"/>
    <w:rsid w:val="6B230430"/>
    <w:rsid w:val="6B322639"/>
    <w:rsid w:val="6B3709F5"/>
    <w:rsid w:val="6B3A7059"/>
    <w:rsid w:val="6B7F02C7"/>
    <w:rsid w:val="6B804A78"/>
    <w:rsid w:val="6B813CCC"/>
    <w:rsid w:val="6B9E7BDB"/>
    <w:rsid w:val="6BA73E07"/>
    <w:rsid w:val="6BD16BCB"/>
    <w:rsid w:val="6BE26A2E"/>
    <w:rsid w:val="6BEB5FCA"/>
    <w:rsid w:val="6C031E71"/>
    <w:rsid w:val="6C102F3E"/>
    <w:rsid w:val="6C1D408F"/>
    <w:rsid w:val="6C234431"/>
    <w:rsid w:val="6C272E42"/>
    <w:rsid w:val="6C2D3162"/>
    <w:rsid w:val="6C4B29AA"/>
    <w:rsid w:val="6C505121"/>
    <w:rsid w:val="6C5717B0"/>
    <w:rsid w:val="6C636C38"/>
    <w:rsid w:val="6C7C0991"/>
    <w:rsid w:val="6C9A123C"/>
    <w:rsid w:val="6CC22541"/>
    <w:rsid w:val="6CC509FF"/>
    <w:rsid w:val="6CCD639F"/>
    <w:rsid w:val="6CE53B50"/>
    <w:rsid w:val="6CF63401"/>
    <w:rsid w:val="6CFB0F22"/>
    <w:rsid w:val="6D197416"/>
    <w:rsid w:val="6D450781"/>
    <w:rsid w:val="6D527259"/>
    <w:rsid w:val="6D633425"/>
    <w:rsid w:val="6D853785"/>
    <w:rsid w:val="6D883B3E"/>
    <w:rsid w:val="6D893185"/>
    <w:rsid w:val="6D8B4F44"/>
    <w:rsid w:val="6D9143ED"/>
    <w:rsid w:val="6DB34098"/>
    <w:rsid w:val="6DB545B6"/>
    <w:rsid w:val="6DB979E0"/>
    <w:rsid w:val="6DBA5A6C"/>
    <w:rsid w:val="6DBB76BC"/>
    <w:rsid w:val="6DD14348"/>
    <w:rsid w:val="6DE02FB4"/>
    <w:rsid w:val="6DEC1F6B"/>
    <w:rsid w:val="6E0A23F1"/>
    <w:rsid w:val="6E0F12B3"/>
    <w:rsid w:val="6E290AC9"/>
    <w:rsid w:val="6E291CCC"/>
    <w:rsid w:val="6E3467C8"/>
    <w:rsid w:val="6E514CED"/>
    <w:rsid w:val="6E6B5930"/>
    <w:rsid w:val="6E6C4E5A"/>
    <w:rsid w:val="6E6E7F51"/>
    <w:rsid w:val="6E896EA8"/>
    <w:rsid w:val="6EAA00F3"/>
    <w:rsid w:val="6EB24661"/>
    <w:rsid w:val="6EB563D5"/>
    <w:rsid w:val="6ECE1304"/>
    <w:rsid w:val="6ECE3E98"/>
    <w:rsid w:val="6ED92677"/>
    <w:rsid w:val="6EEB0330"/>
    <w:rsid w:val="6EFC5B8B"/>
    <w:rsid w:val="6F03625E"/>
    <w:rsid w:val="6F06705D"/>
    <w:rsid w:val="6F0C184C"/>
    <w:rsid w:val="6F1C418A"/>
    <w:rsid w:val="6F225983"/>
    <w:rsid w:val="6F24478F"/>
    <w:rsid w:val="6F2C5F93"/>
    <w:rsid w:val="6F6A17B0"/>
    <w:rsid w:val="6F840B90"/>
    <w:rsid w:val="6FA042B4"/>
    <w:rsid w:val="6FA32699"/>
    <w:rsid w:val="6FA41ADB"/>
    <w:rsid w:val="6FE85359"/>
    <w:rsid w:val="6FED7B49"/>
    <w:rsid w:val="6FEF2BB1"/>
    <w:rsid w:val="6FFC5590"/>
    <w:rsid w:val="701C0B7D"/>
    <w:rsid w:val="702D0361"/>
    <w:rsid w:val="70673B2B"/>
    <w:rsid w:val="70687184"/>
    <w:rsid w:val="706908FB"/>
    <w:rsid w:val="706D1DD0"/>
    <w:rsid w:val="70774738"/>
    <w:rsid w:val="70856B87"/>
    <w:rsid w:val="708A15C7"/>
    <w:rsid w:val="70911369"/>
    <w:rsid w:val="7098054B"/>
    <w:rsid w:val="709F453F"/>
    <w:rsid w:val="70A50B23"/>
    <w:rsid w:val="70C33777"/>
    <w:rsid w:val="70C44AD9"/>
    <w:rsid w:val="70D527EE"/>
    <w:rsid w:val="70E21403"/>
    <w:rsid w:val="70F13180"/>
    <w:rsid w:val="710F55E3"/>
    <w:rsid w:val="71416302"/>
    <w:rsid w:val="715B5300"/>
    <w:rsid w:val="715D33FF"/>
    <w:rsid w:val="71704BE3"/>
    <w:rsid w:val="717C738C"/>
    <w:rsid w:val="7187365E"/>
    <w:rsid w:val="719637A5"/>
    <w:rsid w:val="71A32941"/>
    <w:rsid w:val="71A8034F"/>
    <w:rsid w:val="71D27F8A"/>
    <w:rsid w:val="71E54BDB"/>
    <w:rsid w:val="721F290F"/>
    <w:rsid w:val="722241AD"/>
    <w:rsid w:val="722F1747"/>
    <w:rsid w:val="723700F2"/>
    <w:rsid w:val="723D0FE7"/>
    <w:rsid w:val="725400DF"/>
    <w:rsid w:val="72553024"/>
    <w:rsid w:val="725A30B6"/>
    <w:rsid w:val="726C0A86"/>
    <w:rsid w:val="727D77DF"/>
    <w:rsid w:val="72897E25"/>
    <w:rsid w:val="72CD5368"/>
    <w:rsid w:val="72DB688B"/>
    <w:rsid w:val="72EC0317"/>
    <w:rsid w:val="72ED4AB1"/>
    <w:rsid w:val="72F40829"/>
    <w:rsid w:val="72F83160"/>
    <w:rsid w:val="73122968"/>
    <w:rsid w:val="731E6976"/>
    <w:rsid w:val="731F5D5E"/>
    <w:rsid w:val="7323078C"/>
    <w:rsid w:val="733D0DD5"/>
    <w:rsid w:val="7367613B"/>
    <w:rsid w:val="737C5977"/>
    <w:rsid w:val="73843119"/>
    <w:rsid w:val="739015EB"/>
    <w:rsid w:val="73917D4E"/>
    <w:rsid w:val="73981998"/>
    <w:rsid w:val="73A250AB"/>
    <w:rsid w:val="73A51EAE"/>
    <w:rsid w:val="73A97986"/>
    <w:rsid w:val="73AB5788"/>
    <w:rsid w:val="73BC6B9B"/>
    <w:rsid w:val="73C51AD5"/>
    <w:rsid w:val="73D44B7B"/>
    <w:rsid w:val="73DA2455"/>
    <w:rsid w:val="73E34897"/>
    <w:rsid w:val="741E793C"/>
    <w:rsid w:val="7431366F"/>
    <w:rsid w:val="745E3944"/>
    <w:rsid w:val="745E5F99"/>
    <w:rsid w:val="74806F69"/>
    <w:rsid w:val="74823F2A"/>
    <w:rsid w:val="748B3EC4"/>
    <w:rsid w:val="74AF312B"/>
    <w:rsid w:val="74BF3F20"/>
    <w:rsid w:val="74C7103C"/>
    <w:rsid w:val="74CE54BD"/>
    <w:rsid w:val="74D116DC"/>
    <w:rsid w:val="75041948"/>
    <w:rsid w:val="75095313"/>
    <w:rsid w:val="751853F4"/>
    <w:rsid w:val="753C50EB"/>
    <w:rsid w:val="75664928"/>
    <w:rsid w:val="756D1BE3"/>
    <w:rsid w:val="75745736"/>
    <w:rsid w:val="75786D3D"/>
    <w:rsid w:val="758A40B0"/>
    <w:rsid w:val="75923093"/>
    <w:rsid w:val="759D5CC4"/>
    <w:rsid w:val="759F24C0"/>
    <w:rsid w:val="75C56D6B"/>
    <w:rsid w:val="75D66FE5"/>
    <w:rsid w:val="75E17C62"/>
    <w:rsid w:val="75E42AD0"/>
    <w:rsid w:val="75E83B07"/>
    <w:rsid w:val="75EA640D"/>
    <w:rsid w:val="75EC5B14"/>
    <w:rsid w:val="75EF084A"/>
    <w:rsid w:val="75FE283B"/>
    <w:rsid w:val="760836BA"/>
    <w:rsid w:val="7635099D"/>
    <w:rsid w:val="76377AFB"/>
    <w:rsid w:val="76587CCB"/>
    <w:rsid w:val="76640619"/>
    <w:rsid w:val="766712D2"/>
    <w:rsid w:val="766763BC"/>
    <w:rsid w:val="76685F07"/>
    <w:rsid w:val="767A350B"/>
    <w:rsid w:val="7682521B"/>
    <w:rsid w:val="769B62DC"/>
    <w:rsid w:val="76B173C2"/>
    <w:rsid w:val="76C40CBE"/>
    <w:rsid w:val="76CD246C"/>
    <w:rsid w:val="76D56CA6"/>
    <w:rsid w:val="76D67314"/>
    <w:rsid w:val="76ED6DCB"/>
    <w:rsid w:val="7725204A"/>
    <w:rsid w:val="7734129A"/>
    <w:rsid w:val="77367100"/>
    <w:rsid w:val="77762421"/>
    <w:rsid w:val="7781191E"/>
    <w:rsid w:val="7791329A"/>
    <w:rsid w:val="77942F41"/>
    <w:rsid w:val="779E51BB"/>
    <w:rsid w:val="77AF2BAE"/>
    <w:rsid w:val="77B03613"/>
    <w:rsid w:val="77B56B1F"/>
    <w:rsid w:val="77CB733A"/>
    <w:rsid w:val="77E74028"/>
    <w:rsid w:val="78075A8E"/>
    <w:rsid w:val="780C2CAE"/>
    <w:rsid w:val="780F09F4"/>
    <w:rsid w:val="7812577F"/>
    <w:rsid w:val="78161D16"/>
    <w:rsid w:val="781B5927"/>
    <w:rsid w:val="78232A2D"/>
    <w:rsid w:val="782A7918"/>
    <w:rsid w:val="782C56E9"/>
    <w:rsid w:val="782F13D2"/>
    <w:rsid w:val="78370129"/>
    <w:rsid w:val="784E1AF7"/>
    <w:rsid w:val="78623417"/>
    <w:rsid w:val="789631FF"/>
    <w:rsid w:val="78A3585C"/>
    <w:rsid w:val="78A90480"/>
    <w:rsid w:val="78BF251B"/>
    <w:rsid w:val="78C16E18"/>
    <w:rsid w:val="78C7052E"/>
    <w:rsid w:val="78F30588"/>
    <w:rsid w:val="78FD502C"/>
    <w:rsid w:val="790179E9"/>
    <w:rsid w:val="79243ED0"/>
    <w:rsid w:val="792A3C45"/>
    <w:rsid w:val="794C5FB4"/>
    <w:rsid w:val="79682359"/>
    <w:rsid w:val="79931265"/>
    <w:rsid w:val="79962FB3"/>
    <w:rsid w:val="79A4734B"/>
    <w:rsid w:val="79C3722A"/>
    <w:rsid w:val="79C70B90"/>
    <w:rsid w:val="79E33C4F"/>
    <w:rsid w:val="79FB590B"/>
    <w:rsid w:val="7A006B0A"/>
    <w:rsid w:val="7A0D5B55"/>
    <w:rsid w:val="7A364017"/>
    <w:rsid w:val="7A3F1D7D"/>
    <w:rsid w:val="7A483B71"/>
    <w:rsid w:val="7A5864EB"/>
    <w:rsid w:val="7A6D24EE"/>
    <w:rsid w:val="7A727DE6"/>
    <w:rsid w:val="7A8265E1"/>
    <w:rsid w:val="7A8B158A"/>
    <w:rsid w:val="7A8F2B36"/>
    <w:rsid w:val="7ABB6F4D"/>
    <w:rsid w:val="7AC3421B"/>
    <w:rsid w:val="7ADA556E"/>
    <w:rsid w:val="7AE619D3"/>
    <w:rsid w:val="7B0D52CF"/>
    <w:rsid w:val="7B156722"/>
    <w:rsid w:val="7B30127B"/>
    <w:rsid w:val="7B3A2770"/>
    <w:rsid w:val="7B3C410A"/>
    <w:rsid w:val="7B6018A2"/>
    <w:rsid w:val="7B686D42"/>
    <w:rsid w:val="7B6A54B4"/>
    <w:rsid w:val="7B713AB0"/>
    <w:rsid w:val="7B810374"/>
    <w:rsid w:val="7B841746"/>
    <w:rsid w:val="7B9A28D0"/>
    <w:rsid w:val="7BBD4F47"/>
    <w:rsid w:val="7BD66FCB"/>
    <w:rsid w:val="7BDF4EBD"/>
    <w:rsid w:val="7C175B4C"/>
    <w:rsid w:val="7C21605C"/>
    <w:rsid w:val="7C556F2D"/>
    <w:rsid w:val="7C662EE9"/>
    <w:rsid w:val="7C6C5AC7"/>
    <w:rsid w:val="7CAA2001"/>
    <w:rsid w:val="7CC12815"/>
    <w:rsid w:val="7CC6544B"/>
    <w:rsid w:val="7CCE0618"/>
    <w:rsid w:val="7CEC1655"/>
    <w:rsid w:val="7CED2482"/>
    <w:rsid w:val="7CF91FAF"/>
    <w:rsid w:val="7D0239FF"/>
    <w:rsid w:val="7D120891"/>
    <w:rsid w:val="7D143BBA"/>
    <w:rsid w:val="7D197F5B"/>
    <w:rsid w:val="7D2A01DD"/>
    <w:rsid w:val="7D3A0587"/>
    <w:rsid w:val="7D3C0B67"/>
    <w:rsid w:val="7D4A45B8"/>
    <w:rsid w:val="7D5E40CD"/>
    <w:rsid w:val="7D6E77E9"/>
    <w:rsid w:val="7D7E65E5"/>
    <w:rsid w:val="7D807229"/>
    <w:rsid w:val="7D821FA4"/>
    <w:rsid w:val="7DA31893"/>
    <w:rsid w:val="7DAD0637"/>
    <w:rsid w:val="7DBB4461"/>
    <w:rsid w:val="7DCA7993"/>
    <w:rsid w:val="7DCD56F2"/>
    <w:rsid w:val="7DE25387"/>
    <w:rsid w:val="7DF12C86"/>
    <w:rsid w:val="7DF93C9A"/>
    <w:rsid w:val="7DFC1D56"/>
    <w:rsid w:val="7E245A9C"/>
    <w:rsid w:val="7E447259"/>
    <w:rsid w:val="7E464D80"/>
    <w:rsid w:val="7E4C5AD4"/>
    <w:rsid w:val="7E551467"/>
    <w:rsid w:val="7E566324"/>
    <w:rsid w:val="7E7365EF"/>
    <w:rsid w:val="7E7B4494"/>
    <w:rsid w:val="7E9417C7"/>
    <w:rsid w:val="7ECF2291"/>
    <w:rsid w:val="7ED3780E"/>
    <w:rsid w:val="7EEA75BB"/>
    <w:rsid w:val="7EEB0984"/>
    <w:rsid w:val="7F001CE7"/>
    <w:rsid w:val="7F0B40D9"/>
    <w:rsid w:val="7F2B2825"/>
    <w:rsid w:val="7F2F28EA"/>
    <w:rsid w:val="7F503D69"/>
    <w:rsid w:val="7F563E28"/>
    <w:rsid w:val="7F8C614C"/>
    <w:rsid w:val="7FAD02C4"/>
    <w:rsid w:val="7FB82010"/>
    <w:rsid w:val="7FD3472D"/>
    <w:rsid w:val="7FE01C69"/>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locked/>
    <w:uiPriority w:val="99"/>
    <w:pPr>
      <w:keepNext/>
      <w:wordWrap w:val="0"/>
      <w:overflowPunct w:val="0"/>
      <w:snapToGrid w:val="0"/>
      <w:spacing w:line="520" w:lineRule="exact"/>
      <w:ind w:left="0" w:firstLine="0"/>
      <w:jc w:val="left"/>
      <w:outlineLvl w:val="0"/>
    </w:pPr>
    <w:rPr>
      <w:rFonts w:ascii="Times New Roman" w:hAnsi="Times New Roman" w:eastAsia="宋体"/>
      <w:b/>
      <w:bCs/>
      <w:color w:val="000000"/>
      <w:kern w:val="44"/>
      <w:sz w:val="24"/>
      <w:szCs w:val="30"/>
    </w:rPr>
  </w:style>
  <w:style w:type="paragraph" w:styleId="3">
    <w:name w:val="heading 2"/>
    <w:basedOn w:val="1"/>
    <w:next w:val="1"/>
    <w:unhideWhenUsed/>
    <w:qFormat/>
    <w:locked/>
    <w:uiPriority w:val="0"/>
    <w:pPr>
      <w:keepNext/>
      <w:keepLines/>
      <w:spacing w:beforeLines="0" w:beforeAutospacing="0" w:afterLines="0" w:afterAutospacing="0" w:line="420" w:lineRule="exact"/>
      <w:ind w:firstLine="0" w:firstLineChars="0"/>
      <w:outlineLvl w:val="1"/>
    </w:pPr>
    <w:rPr>
      <w:rFonts w:ascii="Arial" w:hAnsi="Arial" w:eastAsia="仿宋_GB2312"/>
      <w:b/>
      <w:sz w:val="32"/>
    </w:rPr>
  </w:style>
  <w:style w:type="paragraph" w:styleId="4">
    <w:name w:val="heading 4"/>
    <w:basedOn w:val="1"/>
    <w:next w:val="1"/>
    <w:qFormat/>
    <w:locked/>
    <w:uiPriority w:val="0"/>
    <w:pPr>
      <w:keepNext/>
      <w:keepLines/>
      <w:tabs>
        <w:tab w:val="left" w:pos="0"/>
        <w:tab w:val="left" w:pos="420"/>
        <w:tab w:val="left" w:pos="425"/>
      </w:tabs>
      <w:spacing w:before="280" w:beforeLines="0" w:after="290" w:afterLines="0" w:line="376" w:lineRule="auto"/>
      <w:outlineLvl w:val="3"/>
    </w:pPr>
    <w:rPr>
      <w:rFonts w:ascii="Arial" w:hAnsi="Arial" w:eastAsia="黑体"/>
      <w:b/>
      <w:bCs/>
      <w:sz w:val="28"/>
      <w:szCs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5">
    <w:name w:val="Normal Indent"/>
    <w:basedOn w:val="1"/>
    <w:next w:val="6"/>
    <w:qFormat/>
    <w:locked/>
    <w:uiPriority w:val="0"/>
    <w:pPr>
      <w:ind w:firstLine="420" w:firstLineChars="200"/>
    </w:pPr>
  </w:style>
  <w:style w:type="paragraph" w:customStyle="1" w:styleId="6">
    <w:name w:val="Char Char Char Char Char Char Char Char Char1 Char"/>
    <w:basedOn w:val="1"/>
    <w:next w:val="7"/>
    <w:qFormat/>
    <w:uiPriority w:val="0"/>
    <w:pPr>
      <w:spacing w:line="360" w:lineRule="auto"/>
      <w:ind w:firstLine="200" w:firstLineChars="200"/>
    </w:pPr>
    <w:rPr>
      <w:rFonts w:hAnsi="宋体" w:cs="宋体"/>
      <w:spacing w:val="5"/>
      <w:sz w:val="24"/>
    </w:rPr>
  </w:style>
  <w:style w:type="paragraph" w:styleId="7">
    <w:name w:val="Body Text First Indent"/>
    <w:basedOn w:val="8"/>
    <w:next w:val="1"/>
    <w:qFormat/>
    <w:locked/>
    <w:uiPriority w:val="0"/>
    <w:pPr>
      <w:ind w:firstLine="420" w:firstLineChars="100"/>
    </w:pPr>
  </w:style>
  <w:style w:type="paragraph" w:styleId="8">
    <w:name w:val="Body Text"/>
    <w:basedOn w:val="1"/>
    <w:link w:val="32"/>
    <w:qFormat/>
    <w:uiPriority w:val="0"/>
    <w:pPr>
      <w:widowControl/>
      <w:wordWrap/>
      <w:snapToGrid w:val="0"/>
      <w:spacing w:line="520" w:lineRule="exact"/>
      <w:ind w:right="0" w:firstLine="720" w:firstLineChars="200"/>
    </w:pPr>
    <w:rPr>
      <w:rFonts w:ascii="Times New Roman" w:hAnsi="Times New Roman" w:eastAsia="宋体"/>
      <w:kern w:val="0"/>
      <w:sz w:val="24"/>
      <w:szCs w:val="20"/>
    </w:rPr>
  </w:style>
  <w:style w:type="paragraph" w:styleId="9">
    <w:name w:val="annotation text"/>
    <w:basedOn w:val="1"/>
    <w:link w:val="31"/>
    <w:qFormat/>
    <w:uiPriority w:val="0"/>
    <w:pPr>
      <w:jc w:val="left"/>
    </w:pPr>
    <w:rPr>
      <w:kern w:val="0"/>
      <w:sz w:val="24"/>
      <w:szCs w:val="20"/>
    </w:rPr>
  </w:style>
  <w:style w:type="paragraph" w:styleId="10">
    <w:name w:val="Body Text Indent"/>
    <w:basedOn w:val="1"/>
    <w:link w:val="33"/>
    <w:qFormat/>
    <w:uiPriority w:val="0"/>
    <w:pPr>
      <w:spacing w:after="120"/>
      <w:ind w:left="420" w:leftChars="200"/>
    </w:pPr>
    <w:rPr>
      <w:kern w:val="0"/>
      <w:sz w:val="24"/>
      <w:szCs w:val="20"/>
    </w:rPr>
  </w:style>
  <w:style w:type="paragraph" w:styleId="11">
    <w:name w:val="List 2"/>
    <w:basedOn w:val="1"/>
    <w:unhideWhenUsed/>
    <w:qFormat/>
    <w:locked/>
    <w:uiPriority w:val="0"/>
    <w:pPr>
      <w:widowControl w:val="0"/>
      <w:adjustRightInd/>
      <w:snapToGrid/>
      <w:ind w:left="100" w:leftChars="200" w:hanging="200" w:hangingChars="200"/>
      <w:contextualSpacing/>
    </w:pPr>
    <w:rPr>
      <w:szCs w:val="22"/>
      <w:lang w:bidi="ar-SA"/>
    </w:rPr>
  </w:style>
  <w:style w:type="paragraph" w:styleId="12">
    <w:name w:val="Date"/>
    <w:basedOn w:val="1"/>
    <w:next w:val="1"/>
    <w:link w:val="34"/>
    <w:qFormat/>
    <w:uiPriority w:val="0"/>
    <w:pPr>
      <w:ind w:left="100" w:leftChars="2500"/>
    </w:pPr>
    <w:rPr>
      <w:kern w:val="0"/>
      <w:sz w:val="24"/>
      <w:szCs w:val="20"/>
    </w:rPr>
  </w:style>
  <w:style w:type="paragraph" w:styleId="13">
    <w:name w:val="Balloon Text"/>
    <w:basedOn w:val="1"/>
    <w:link w:val="35"/>
    <w:semiHidden/>
    <w:qFormat/>
    <w:uiPriority w:val="0"/>
    <w:rPr>
      <w:kern w:val="0"/>
      <w:sz w:val="18"/>
      <w:szCs w:val="20"/>
    </w:rPr>
  </w:style>
  <w:style w:type="paragraph" w:styleId="14">
    <w:name w:val="footer"/>
    <w:basedOn w:val="1"/>
    <w:link w:val="36"/>
    <w:qFormat/>
    <w:uiPriority w:val="99"/>
    <w:pPr>
      <w:tabs>
        <w:tab w:val="center" w:pos="4153"/>
        <w:tab w:val="right" w:pos="8306"/>
      </w:tabs>
      <w:snapToGrid w:val="0"/>
      <w:jc w:val="left"/>
    </w:pPr>
    <w:rPr>
      <w:kern w:val="0"/>
      <w:sz w:val="18"/>
      <w:szCs w:val="20"/>
    </w:rPr>
  </w:style>
  <w:style w:type="paragraph" w:styleId="15">
    <w:name w:val="header"/>
    <w:basedOn w:val="1"/>
    <w:link w:val="37"/>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List"/>
    <w:basedOn w:val="1"/>
    <w:next w:val="7"/>
    <w:qFormat/>
    <w:locked/>
    <w:uiPriority w:val="0"/>
    <w:pPr>
      <w:ind w:left="200" w:hanging="200" w:hangingChars="200"/>
    </w:pPr>
    <w:rPr>
      <w:rFonts w:ascii="Times New Roman" w:hAnsi="Times New Roman" w:eastAsia="宋体" w:cs="Times New Roman"/>
      <w:szCs w:val="24"/>
    </w:rPr>
  </w:style>
  <w:style w:type="paragraph" w:styleId="17">
    <w:name w:val="table of figures"/>
    <w:basedOn w:val="1"/>
    <w:next w:val="1"/>
    <w:unhideWhenUsed/>
    <w:qFormat/>
    <w:locked/>
    <w:uiPriority w:val="99"/>
    <w:pPr>
      <w:jc w:val="center"/>
    </w:pPr>
    <w:rPr>
      <w:sz w:val="24"/>
    </w:rPr>
  </w:style>
  <w:style w:type="paragraph" w:styleId="18">
    <w:name w:val="Normal (Web)"/>
    <w:basedOn w:val="1"/>
    <w:link w:val="38"/>
    <w:qFormat/>
    <w:uiPriority w:val="0"/>
    <w:pPr>
      <w:widowControl/>
      <w:spacing w:before="100" w:beforeAutospacing="1" w:after="100" w:afterAutospacing="1"/>
      <w:jc w:val="left"/>
    </w:pPr>
    <w:rPr>
      <w:rFonts w:ascii="宋体" w:hAnsi="宋体"/>
      <w:kern w:val="0"/>
      <w:sz w:val="24"/>
      <w:szCs w:val="20"/>
    </w:rPr>
  </w:style>
  <w:style w:type="paragraph" w:styleId="19">
    <w:name w:val="Title"/>
    <w:basedOn w:val="1"/>
    <w:next w:val="1"/>
    <w:qFormat/>
    <w:locked/>
    <w:uiPriority w:val="0"/>
    <w:pPr>
      <w:spacing w:line="240" w:lineRule="auto"/>
      <w:jc w:val="left"/>
    </w:pPr>
    <w:rPr>
      <w:rFonts w:ascii="Times New Roman" w:hAnsi="Times New Roman"/>
      <w:b/>
      <w:bCs/>
      <w:color w:val="000000"/>
      <w:szCs w:val="20"/>
    </w:rPr>
  </w:style>
  <w:style w:type="paragraph" w:styleId="20">
    <w:name w:val="annotation subject"/>
    <w:basedOn w:val="9"/>
    <w:next w:val="9"/>
    <w:link w:val="39"/>
    <w:semiHidden/>
    <w:qFormat/>
    <w:uiPriority w:val="0"/>
    <w:rPr>
      <w:b/>
      <w:sz w:val="24"/>
      <w:szCs w:val="20"/>
    </w:rPr>
  </w:style>
  <w:style w:type="paragraph" w:styleId="21">
    <w:name w:val="Body Text First Indent 2"/>
    <w:basedOn w:val="10"/>
    <w:qFormat/>
    <w:locked/>
    <w:uiPriority w:val="0"/>
    <w:pPr>
      <w:ind w:firstLine="420" w:firstLineChars="200"/>
    </w:pPr>
    <w:rPr>
      <w:rFonts w:ascii="Times New Roman" w:hAnsi="Times New Roman" w:eastAsia="宋体" w:cs="Times New Roman"/>
    </w:rPr>
  </w:style>
  <w:style w:type="table" w:styleId="23">
    <w:name w:val="Table Grid"/>
    <w:basedOn w:val="2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locked/>
    <w:uiPriority w:val="0"/>
    <w:rPr>
      <w:b/>
    </w:rPr>
  </w:style>
  <w:style w:type="character" w:styleId="26">
    <w:name w:val="page number"/>
    <w:basedOn w:val="24"/>
    <w:qFormat/>
    <w:locked/>
    <w:uiPriority w:val="0"/>
  </w:style>
  <w:style w:type="character" w:styleId="27">
    <w:name w:val="annotation reference"/>
    <w:semiHidden/>
    <w:qFormat/>
    <w:uiPriority w:val="0"/>
    <w:rPr>
      <w:sz w:val="21"/>
    </w:rPr>
  </w:style>
  <w:style w:type="paragraph" w:customStyle="1" w:styleId="28">
    <w:name w:val="Default"/>
    <w:basedOn w:val="29"/>
    <w:next w:val="1"/>
    <w:unhideWhenUsed/>
    <w:qFormat/>
    <w:uiPriority w:val="99"/>
    <w:pPr>
      <w:widowControl w:val="0"/>
      <w:autoSpaceDE w:val="0"/>
      <w:autoSpaceDN w:val="0"/>
      <w:adjustRightInd w:val="0"/>
    </w:pPr>
    <w:rPr>
      <w:rFonts w:hint="eastAsia" w:ascii="宋体" w:hAnsi="宋体"/>
      <w:color w:val="000000"/>
      <w:sz w:val="24"/>
      <w:lang w:val="en-US" w:eastAsia="zh-CN" w:bidi="ar-SA"/>
    </w:rPr>
  </w:style>
  <w:style w:type="paragraph" w:customStyle="1" w:styleId="29">
    <w:name w:val="1 表头"/>
    <w:basedOn w:val="1"/>
    <w:qFormat/>
    <w:uiPriority w:val="0"/>
    <w:pPr>
      <w:adjustRightInd w:val="0"/>
      <w:snapToGrid w:val="0"/>
      <w:spacing w:line="240" w:lineRule="auto"/>
      <w:ind w:firstLine="0" w:firstLineChars="0"/>
      <w:jc w:val="center"/>
    </w:pPr>
    <w:rPr>
      <w:b/>
      <w:color w:val="000000"/>
      <w:sz w:val="21"/>
      <w:szCs w:val="21"/>
    </w:rPr>
  </w:style>
  <w:style w:type="paragraph" w:customStyle="1" w:styleId="30">
    <w:name w:val="默认段落"/>
    <w:unhideWhenUsed/>
    <w:qFormat/>
    <w:uiPriority w:val="0"/>
    <w:pPr>
      <w:widowControl w:val="0"/>
      <w:spacing w:beforeLines="0" w:afterLines="0"/>
      <w:jc w:val="both"/>
    </w:pPr>
    <w:rPr>
      <w:rFonts w:hint="default" w:ascii="Times New Roman" w:hAnsi="Times New Roman" w:eastAsia="宋体" w:cs="Times New Roman"/>
      <w:kern w:val="2"/>
      <w:sz w:val="21"/>
      <w:szCs w:val="24"/>
      <w:lang w:val="en-US" w:eastAsia="zh-CN" w:bidi="ar-SA"/>
    </w:rPr>
  </w:style>
  <w:style w:type="character" w:customStyle="1" w:styleId="31">
    <w:name w:val="批注文字 Char"/>
    <w:link w:val="9"/>
    <w:qFormat/>
    <w:locked/>
    <w:uiPriority w:val="0"/>
    <w:rPr>
      <w:rFonts w:ascii="Times New Roman" w:hAnsi="Times New Roman" w:eastAsia="宋体"/>
      <w:sz w:val="24"/>
    </w:rPr>
  </w:style>
  <w:style w:type="character" w:customStyle="1" w:styleId="32">
    <w:name w:val="正文文本 Char"/>
    <w:link w:val="8"/>
    <w:qFormat/>
    <w:locked/>
    <w:uiPriority w:val="0"/>
    <w:rPr>
      <w:rFonts w:ascii="Times New Roman" w:hAnsi="Times New Roman" w:eastAsia="宋体"/>
      <w:sz w:val="24"/>
    </w:rPr>
  </w:style>
  <w:style w:type="character" w:customStyle="1" w:styleId="33">
    <w:name w:val="正文文本缩进 Char"/>
    <w:link w:val="10"/>
    <w:semiHidden/>
    <w:qFormat/>
    <w:locked/>
    <w:uiPriority w:val="0"/>
    <w:rPr>
      <w:rFonts w:ascii="Times New Roman" w:hAnsi="Times New Roman" w:eastAsia="宋体"/>
      <w:sz w:val="24"/>
    </w:rPr>
  </w:style>
  <w:style w:type="character" w:customStyle="1" w:styleId="34">
    <w:name w:val="日期 Char"/>
    <w:link w:val="12"/>
    <w:qFormat/>
    <w:locked/>
    <w:uiPriority w:val="0"/>
    <w:rPr>
      <w:rFonts w:ascii="Times New Roman" w:hAnsi="Times New Roman" w:eastAsia="宋体"/>
      <w:sz w:val="24"/>
    </w:rPr>
  </w:style>
  <w:style w:type="character" w:customStyle="1" w:styleId="35">
    <w:name w:val="批注框文本 Char"/>
    <w:link w:val="13"/>
    <w:semiHidden/>
    <w:qFormat/>
    <w:locked/>
    <w:uiPriority w:val="0"/>
    <w:rPr>
      <w:rFonts w:ascii="Times New Roman" w:hAnsi="Times New Roman" w:eastAsia="宋体"/>
      <w:sz w:val="18"/>
    </w:rPr>
  </w:style>
  <w:style w:type="character" w:customStyle="1" w:styleId="36">
    <w:name w:val="页脚 Char"/>
    <w:link w:val="14"/>
    <w:qFormat/>
    <w:locked/>
    <w:uiPriority w:val="99"/>
    <w:rPr>
      <w:sz w:val="18"/>
    </w:rPr>
  </w:style>
  <w:style w:type="character" w:customStyle="1" w:styleId="37">
    <w:name w:val="页眉 Char"/>
    <w:link w:val="15"/>
    <w:qFormat/>
    <w:locked/>
    <w:uiPriority w:val="0"/>
    <w:rPr>
      <w:sz w:val="18"/>
    </w:rPr>
  </w:style>
  <w:style w:type="character" w:customStyle="1" w:styleId="38">
    <w:name w:val="普通(网站) Char"/>
    <w:link w:val="18"/>
    <w:qFormat/>
    <w:locked/>
    <w:uiPriority w:val="0"/>
    <w:rPr>
      <w:rFonts w:ascii="宋体" w:hAnsi="宋体" w:eastAsia="宋体"/>
      <w:sz w:val="24"/>
    </w:rPr>
  </w:style>
  <w:style w:type="character" w:customStyle="1" w:styleId="39">
    <w:name w:val="批注主题 Char"/>
    <w:link w:val="20"/>
    <w:semiHidden/>
    <w:qFormat/>
    <w:locked/>
    <w:uiPriority w:val="0"/>
    <w:rPr>
      <w:rFonts w:ascii="Times New Roman" w:hAnsi="Times New Roman" w:eastAsia="宋体"/>
      <w:b/>
      <w:kern w:val="2"/>
      <w:sz w:val="24"/>
    </w:rPr>
  </w:style>
  <w:style w:type="paragraph" w:customStyle="1" w:styleId="40">
    <w:name w:val="111表格内"/>
    <w:basedOn w:val="1"/>
    <w:link w:val="41"/>
    <w:qFormat/>
    <w:uiPriority w:val="0"/>
    <w:pPr>
      <w:wordWrap w:val="0"/>
      <w:jc w:val="center"/>
    </w:pPr>
    <w:rPr>
      <w:rFonts w:ascii="Times New Roman" w:hAnsi="Times New Roman" w:eastAsia="宋体"/>
      <w:szCs w:val="21"/>
    </w:rPr>
  </w:style>
  <w:style w:type="character" w:customStyle="1" w:styleId="41">
    <w:name w:val="表格里面啊啊啊啊 Char"/>
    <w:link w:val="40"/>
    <w:qFormat/>
    <w:uiPriority w:val="0"/>
    <w:rPr>
      <w:rFonts w:ascii="Times New Roman" w:hAnsi="Times New Roman" w:eastAsia="宋体" w:cs="Times New Roman"/>
      <w:szCs w:val="21"/>
    </w:rPr>
  </w:style>
  <w:style w:type="paragraph" w:customStyle="1" w:styleId="42">
    <w:name w:val="111表头"/>
    <w:basedOn w:val="1"/>
    <w:link w:val="43"/>
    <w:qFormat/>
    <w:uiPriority w:val="0"/>
    <w:pPr>
      <w:adjustRightInd w:val="0"/>
      <w:snapToGrid w:val="0"/>
      <w:jc w:val="center"/>
    </w:pPr>
    <w:rPr>
      <w:rFonts w:hint="eastAsia" w:ascii="Times New Roman" w:hAnsi="Times New Roman" w:eastAsia="宋体" w:cs="宋体"/>
      <w:b/>
      <w:szCs w:val="21"/>
    </w:rPr>
  </w:style>
  <w:style w:type="character" w:customStyle="1" w:styleId="43">
    <w:name w:val="111表头 Char"/>
    <w:link w:val="42"/>
    <w:qFormat/>
    <w:uiPriority w:val="0"/>
    <w:rPr>
      <w:rFonts w:hint="eastAsia" w:ascii="Times New Roman" w:hAnsi="Times New Roman" w:eastAsia="宋体" w:cs="宋体"/>
      <w:b/>
      <w:szCs w:val="21"/>
    </w:rPr>
  </w:style>
  <w:style w:type="paragraph" w:customStyle="1" w:styleId="44">
    <w:name w:val="正文格式啊啊啊啊"/>
    <w:basedOn w:val="1"/>
    <w:qFormat/>
    <w:uiPriority w:val="0"/>
    <w:pPr>
      <w:wordWrap w:val="0"/>
      <w:adjustRightInd w:val="0"/>
      <w:snapToGrid w:val="0"/>
      <w:spacing w:line="520" w:lineRule="exact"/>
      <w:ind w:firstLine="720" w:firstLineChars="200"/>
      <w:jc w:val="left"/>
    </w:pPr>
    <w:rPr>
      <w:rFonts w:ascii="Times New Roman" w:hAnsi="Times New Roman" w:eastAsia="宋体" w:cs="宋体"/>
      <w:kern w:val="0"/>
      <w:sz w:val="24"/>
    </w:rPr>
  </w:style>
  <w:style w:type="paragraph" w:customStyle="1" w:styleId="45">
    <w:name w:val="正文啊啊"/>
    <w:autoRedefine/>
    <w:qFormat/>
    <w:uiPriority w:val="0"/>
    <w:pPr>
      <w:widowControl w:val="0"/>
      <w:spacing w:line="520" w:lineRule="exact"/>
      <w:ind w:firstLine="720" w:firstLineChars="200"/>
      <w:jc w:val="both"/>
    </w:pPr>
    <w:rPr>
      <w:rFonts w:ascii="Times New Roman" w:hAnsi="Times New Roman" w:eastAsia="宋体" w:cs="宋体"/>
      <w:kern w:val="2"/>
      <w:sz w:val="24"/>
      <w:szCs w:val="24"/>
      <w:lang w:val="en-US" w:eastAsia="zh-CN" w:bidi="ar-SA"/>
    </w:rPr>
  </w:style>
  <w:style w:type="paragraph" w:customStyle="1" w:styleId="46">
    <w:name w:val="表格"/>
    <w:basedOn w:val="1"/>
    <w:next w:val="1"/>
    <w:autoRedefine/>
    <w:qFormat/>
    <w:uiPriority w:val="0"/>
    <w:pPr>
      <w:adjustRightInd w:val="0"/>
      <w:snapToGrid w:val="0"/>
      <w:spacing w:line="240" w:lineRule="auto"/>
      <w:jc w:val="center"/>
    </w:pPr>
    <w:rPr>
      <w:rFonts w:ascii="Times New Roman" w:hAnsi="Times New Roman" w:eastAsia="宋体"/>
      <w:kern w:val="0"/>
      <w:szCs w:val="21"/>
    </w:rPr>
  </w:style>
  <w:style w:type="character" w:customStyle="1" w:styleId="47">
    <w:name w:val="A正文啊啊啊啊啊 Char"/>
    <w:link w:val="48"/>
    <w:qFormat/>
    <w:uiPriority w:val="0"/>
    <w:rPr>
      <w:rFonts w:ascii="Times New Roman" w:hAnsi="Times New Roman" w:eastAsia="宋体" w:cs="宋体"/>
      <w:sz w:val="24"/>
      <w:szCs w:val="24"/>
    </w:rPr>
  </w:style>
  <w:style w:type="paragraph" w:customStyle="1" w:styleId="48">
    <w:name w:val="A正文啊啊啊啊啊"/>
    <w:basedOn w:val="1"/>
    <w:link w:val="47"/>
    <w:qFormat/>
    <w:uiPriority w:val="0"/>
    <w:pPr>
      <w:spacing w:line="520" w:lineRule="exact"/>
      <w:ind w:firstLine="720" w:firstLineChars="200"/>
    </w:pPr>
    <w:rPr>
      <w:rFonts w:ascii="Times New Roman" w:hAnsi="Times New Roman" w:eastAsia="宋体" w:cs="宋体"/>
      <w:sz w:val="24"/>
      <w:szCs w:val="24"/>
    </w:rPr>
  </w:style>
  <w:style w:type="paragraph" w:customStyle="1" w:styleId="49">
    <w:name w:val="小标题呗"/>
    <w:basedOn w:val="1"/>
    <w:link w:val="67"/>
    <w:autoRedefine/>
    <w:qFormat/>
    <w:uiPriority w:val="0"/>
    <w:pPr>
      <w:widowControl/>
      <w:wordWrap w:val="0"/>
      <w:snapToGrid w:val="0"/>
      <w:spacing w:line="520" w:lineRule="exact"/>
      <w:jc w:val="left"/>
    </w:pPr>
    <w:rPr>
      <w:rFonts w:hint="eastAsia" w:ascii="Times New Roman" w:hAnsi="Times New Roman" w:eastAsia="宋体"/>
      <w:b/>
      <w:kern w:val="0"/>
      <w:sz w:val="24"/>
      <w:szCs w:val="24"/>
    </w:rPr>
  </w:style>
  <w:style w:type="paragraph" w:customStyle="1" w:styleId="50">
    <w:name w:val="正文格式"/>
    <w:basedOn w:val="1"/>
    <w:autoRedefine/>
    <w:qFormat/>
    <w:uiPriority w:val="0"/>
    <w:pPr>
      <w:wordWrap w:val="0"/>
      <w:spacing w:line="520" w:lineRule="exact"/>
      <w:ind w:firstLine="720" w:firstLineChars="200"/>
    </w:pPr>
    <w:rPr>
      <w:rFonts w:hint="eastAsia" w:ascii="Times New Roman" w:hAnsi="Times New Roman" w:eastAsia="宋体"/>
      <w:sz w:val="24"/>
    </w:rPr>
  </w:style>
  <w:style w:type="paragraph" w:customStyle="1" w:styleId="51">
    <w:name w:val="正文啊啊啊"/>
    <w:qFormat/>
    <w:uiPriority w:val="0"/>
    <w:pPr>
      <w:widowControl w:val="0"/>
      <w:wordWrap w:val="0"/>
      <w:adjustRightInd w:val="0"/>
      <w:snapToGrid w:val="0"/>
      <w:spacing w:line="520" w:lineRule="exact"/>
      <w:ind w:firstLine="720" w:firstLineChars="200"/>
      <w:jc w:val="left"/>
    </w:pPr>
    <w:rPr>
      <w:rFonts w:hint="eastAsia" w:ascii="Times New Roman" w:hAnsi="Times New Roman" w:eastAsia="宋体" w:cs="宋体"/>
      <w:bCs/>
      <w:kern w:val="2"/>
      <w:sz w:val="24"/>
      <w:szCs w:val="24"/>
      <w:lang w:val="en-US" w:eastAsia="zh-CN" w:bidi="ar-SA"/>
    </w:rPr>
  </w:style>
  <w:style w:type="character" w:customStyle="1" w:styleId="52">
    <w:name w:val="标题 1 Char1"/>
    <w:link w:val="2"/>
    <w:qFormat/>
    <w:uiPriority w:val="99"/>
    <w:rPr>
      <w:rFonts w:ascii="Times New Roman" w:hAnsi="Times New Roman" w:eastAsia="宋体"/>
      <w:b/>
      <w:bCs/>
      <w:color w:val="000000"/>
      <w:kern w:val="44"/>
      <w:sz w:val="24"/>
      <w:szCs w:val="30"/>
    </w:rPr>
  </w:style>
  <w:style w:type="paragraph" w:customStyle="1" w:styleId="53">
    <w:name w:val="1正文"/>
    <w:link w:val="64"/>
    <w:qFormat/>
    <w:uiPriority w:val="0"/>
    <w:pPr>
      <w:widowControl w:val="0"/>
      <w:autoSpaceDE/>
      <w:autoSpaceDN/>
      <w:adjustRightInd/>
      <w:spacing w:line="520" w:lineRule="exact"/>
      <w:ind w:firstLine="720" w:firstLineChars="200"/>
      <w:jc w:val="both"/>
      <w:textAlignment w:val="baseline"/>
    </w:pPr>
    <w:rPr>
      <w:rFonts w:ascii="Times New Roman" w:hAnsi="Times New Roman" w:eastAsia="宋体" w:cs="Times New Roman"/>
      <w:sz w:val="24"/>
      <w:lang w:val="en-US" w:eastAsia="zh-CN" w:bidi="ar-SA"/>
    </w:rPr>
  </w:style>
  <w:style w:type="paragraph" w:customStyle="1" w:styleId="54">
    <w:name w:val="正文1"/>
    <w:basedOn w:val="5"/>
    <w:next w:val="1"/>
    <w:autoRedefine/>
    <w:qFormat/>
    <w:uiPriority w:val="0"/>
    <w:rPr>
      <w:szCs w:val="20"/>
    </w:rPr>
  </w:style>
  <w:style w:type="paragraph" w:customStyle="1" w:styleId="55">
    <w:name w:val="表头"/>
    <w:basedOn w:val="1"/>
    <w:qFormat/>
    <w:uiPriority w:val="0"/>
    <w:pPr>
      <w:adjustRightInd w:val="0"/>
      <w:snapToGrid w:val="0"/>
      <w:spacing w:line="240" w:lineRule="auto"/>
      <w:jc w:val="center"/>
    </w:pPr>
    <w:rPr>
      <w:rFonts w:ascii="宋体" w:hAnsi="宋体" w:eastAsia="宋体"/>
      <w:b/>
      <w:kern w:val="0"/>
      <w:szCs w:val="20"/>
    </w:rPr>
  </w:style>
  <w:style w:type="paragraph" w:customStyle="1" w:styleId="56">
    <w:name w:val="表头啊啊啊啊"/>
    <w:basedOn w:val="1"/>
    <w:qFormat/>
    <w:uiPriority w:val="0"/>
    <w:pPr>
      <w:adjustRightInd w:val="0"/>
      <w:snapToGrid w:val="0"/>
      <w:spacing w:line="240" w:lineRule="auto"/>
      <w:jc w:val="center"/>
    </w:pPr>
    <w:rPr>
      <w:rFonts w:hint="eastAsia" w:ascii="Times New Roman" w:hAnsi="Times New Roman" w:eastAsia="宋体" w:cs="宋体"/>
      <w:b/>
      <w:bCs/>
      <w:color w:val="auto"/>
      <w:szCs w:val="21"/>
    </w:rPr>
  </w:style>
  <w:style w:type="paragraph" w:customStyle="1" w:styleId="57">
    <w:name w:val="表格里面啊啊啊啊"/>
    <w:basedOn w:val="1"/>
    <w:autoRedefine/>
    <w:qFormat/>
    <w:uiPriority w:val="0"/>
    <w:pPr>
      <w:jc w:val="center"/>
    </w:pPr>
    <w:rPr>
      <w:rFonts w:ascii="Times New Roman" w:hAnsi="Times New Roman" w:eastAsia="宋体" w:cs="Times New Roman"/>
      <w:szCs w:val="21"/>
    </w:rPr>
  </w:style>
  <w:style w:type="paragraph" w:customStyle="1" w:styleId="58">
    <w:name w:val="表格内文字"/>
    <w:qFormat/>
    <w:uiPriority w:val="0"/>
    <w:pPr>
      <w:bidi w:val="0"/>
      <w:spacing w:line="240" w:lineRule="auto"/>
      <w:ind w:firstLine="0" w:firstLineChars="0"/>
      <w:jc w:val="center"/>
    </w:pPr>
    <w:rPr>
      <w:rFonts w:ascii="Times New Roman" w:hAnsi="Times New Roman" w:eastAsia="宋体" w:cs="Times New Roman"/>
      <w:kern w:val="2"/>
      <w:sz w:val="21"/>
      <w:lang w:val="en-US" w:eastAsia="zh-CN" w:bidi="ar-SA"/>
    </w:rPr>
  </w:style>
  <w:style w:type="paragraph" w:customStyle="1" w:styleId="59">
    <w:name w:val="A小标题啊啊啊啊啊"/>
    <w:basedOn w:val="1"/>
    <w:qFormat/>
    <w:uiPriority w:val="0"/>
    <w:pPr>
      <w:spacing w:line="520" w:lineRule="exact"/>
      <w:jc w:val="left"/>
    </w:pPr>
    <w:rPr>
      <w:rFonts w:ascii="Times New Roman" w:hAnsi="Times New Roman" w:cs="宋体"/>
      <w:b/>
      <w:bCs/>
      <w:kern w:val="0"/>
      <w:sz w:val="24"/>
      <w:szCs w:val="24"/>
    </w:rPr>
  </w:style>
  <w:style w:type="paragraph" w:customStyle="1" w:styleId="60">
    <w:name w:val="A表格内文字啊啊啊"/>
    <w:basedOn w:val="1"/>
    <w:qFormat/>
    <w:uiPriority w:val="0"/>
    <w:pPr>
      <w:jc w:val="center"/>
    </w:pPr>
    <w:rPr>
      <w:rFonts w:ascii="Times New Roman" w:hAnsi="Times New Roman" w:cs="宋体"/>
      <w:kern w:val="0"/>
      <w:sz w:val="21"/>
      <w:szCs w:val="21"/>
    </w:rPr>
  </w:style>
  <w:style w:type="paragraph" w:customStyle="1" w:styleId="61">
    <w:name w:val="表内文字啊啊啊"/>
    <w:unhideWhenUsed/>
    <w:qFormat/>
    <w:uiPriority w:val="0"/>
    <w:pPr>
      <w:widowControl w:val="0"/>
      <w:adjustRightInd w:val="0"/>
      <w:snapToGrid w:val="0"/>
      <w:spacing w:beforeLines="0" w:afterLines="0"/>
      <w:jc w:val="center"/>
    </w:pPr>
    <w:rPr>
      <w:rFonts w:hint="eastAsia" w:ascii="Times New Roman" w:hAnsi="Times New Roman" w:eastAsia="宋体" w:cs="宋体"/>
      <w:color w:val="auto"/>
      <w:kern w:val="2"/>
      <w:sz w:val="21"/>
      <w:szCs w:val="21"/>
      <w:lang w:val="en-US" w:eastAsia="zh-CN" w:bidi="ar-SA"/>
    </w:rPr>
  </w:style>
  <w:style w:type="paragraph" w:customStyle="1" w:styleId="62">
    <w:name w:val="小标题啊啊啊啊啊"/>
    <w:basedOn w:val="1"/>
    <w:qFormat/>
    <w:uiPriority w:val="0"/>
    <w:pPr>
      <w:adjustRightInd w:val="0"/>
      <w:snapToGrid w:val="0"/>
      <w:spacing w:line="520" w:lineRule="exact"/>
      <w:jc w:val="left"/>
    </w:pPr>
    <w:rPr>
      <w:rFonts w:ascii="Times New Roman" w:hAnsi="Times New Roman" w:eastAsia="宋体" w:cs="宋体"/>
      <w:b/>
      <w:kern w:val="0"/>
      <w:sz w:val="24"/>
    </w:rPr>
  </w:style>
  <w:style w:type="paragraph" w:customStyle="1" w:styleId="63">
    <w:name w:val="表头啊啊啊啊啊"/>
    <w:basedOn w:val="1"/>
    <w:autoRedefine/>
    <w:qFormat/>
    <w:uiPriority w:val="0"/>
    <w:pPr>
      <w:jc w:val="center"/>
    </w:pPr>
    <w:rPr>
      <w:rFonts w:ascii="Times New Roman" w:hAnsi="Times New Roman" w:eastAsia="宋体" w:cs="Times New Roman"/>
      <w:b/>
      <w:bCs/>
      <w:szCs w:val="21"/>
    </w:rPr>
  </w:style>
  <w:style w:type="character" w:customStyle="1" w:styleId="64">
    <w:name w:val="1正文 Char"/>
    <w:link w:val="53"/>
    <w:qFormat/>
    <w:uiPriority w:val="0"/>
    <w:rPr>
      <w:rFonts w:ascii="Times New Roman" w:hAnsi="Times New Roman" w:eastAsia="宋体" w:cs="Times New Roman"/>
      <w:sz w:val="24"/>
      <w:lang w:val="en-US" w:eastAsia="zh-CN" w:bidi="ar-SA"/>
    </w:rPr>
  </w:style>
  <w:style w:type="paragraph" w:customStyle="1" w:styleId="65">
    <w:name w:val="报告表正文"/>
    <w:basedOn w:val="1"/>
    <w:qFormat/>
    <w:uiPriority w:val="0"/>
    <w:pPr>
      <w:spacing w:line="440" w:lineRule="exact"/>
      <w:ind w:firstLine="720" w:firstLineChars="200"/>
    </w:pPr>
    <w:rPr>
      <w:rFonts w:hint="eastAsia" w:ascii="Times New Roman" w:hAnsi="Times New Roman"/>
      <w:sz w:val="24"/>
    </w:rPr>
  </w:style>
  <w:style w:type="paragraph" w:customStyle="1" w:styleId="66">
    <w:name w:val="表内"/>
    <w:basedOn w:val="1"/>
    <w:next w:val="1"/>
    <w:qFormat/>
    <w:uiPriority w:val="0"/>
    <w:pPr>
      <w:spacing w:line="360" w:lineRule="exact"/>
      <w:ind w:firstLine="0" w:firstLineChars="0"/>
      <w:jc w:val="center"/>
    </w:pPr>
    <w:rPr>
      <w:rFonts w:ascii="Times New Roman" w:hAnsi="Times New Roman" w:eastAsia="宋体" w:cs="Times New Roman"/>
      <w:sz w:val="21"/>
      <w:szCs w:val="21"/>
    </w:rPr>
  </w:style>
  <w:style w:type="character" w:customStyle="1" w:styleId="67">
    <w:name w:val="小标题呗 Char"/>
    <w:link w:val="49"/>
    <w:qFormat/>
    <w:uiPriority w:val="0"/>
    <w:rPr>
      <w:rFonts w:hint="eastAsia" w:ascii="Times New Roman" w:hAnsi="Times New Roman" w:eastAsia="宋体"/>
      <w:b/>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TEwNzE5ODQ3Njc3IiwKCSJHcm91cElkIiA6ICI2MDkzMDQ4NDEiLAoJIkltYWdlIiA6ICJpVkJPUncwS0dnb0FBQUFOU1VoRVVnQUFCQWtBQUFSbENBWUFBQURiTVo2Z0FBQUFBWE5TUjBJQXJzNGM2UUFBSUFCSlJFRlVlSnpzM1hsNFUxWDZCL0R2ZTVOMEFWb29XMEVSS2hRcnBiUkpLdUl5SSs2T3VPdm9UNUZ4UmRGaEdBZFhRRWNFRlZCazJCR1FRV1hjbUJGa1VYUkF4Z1ZaWEpxa0xSU0JzaWpJTG10THQrUyt2eitheEM1cEtVcWJ0bncvejhQVDV0eHpiODZwSnZmZTk1N3pIb0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"/>
    </extobj>
    <extobj name="ECB019B1-382A-4266-B25C-5B523AA43C14-2">
      <extobjdata type="ECB019B1-382A-4266-B25C-5B523AA43C14" data="ewoJIkZpbGVJZCIgOiAiNDg0NDk4Nzg2MzQ0IiwKCSJHcm91cElkIiA6ICI2MDkzMDQ4NDEiLAoJIkltYWdlIiA6ICJpVkJPUncwS0dnb0FBQUFOU1VoRVVnQUFCVDRBQUFHYkNBWUFBQUR0TUkvdkFBQUFBWE5TUjBJQXJzNGM2UUFBSUFCSlJFRlVlSnpzM1hsWWplbi9CL0QzV1VxbEtHVXRKRnBrcEFpVFhXWXd6RFIyWXd4am01RGQyRWxqWDdObGkyaGtaeXpEVE1nYU00bjR4bVNKUWcyaWhHZy9uYzc1L2ZIdFBOK2VUdVdFYkwvMzY3cGNWOC85UFBlekhOdDlQcy85K2R3QU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kaVQvUDZPMUlIRzY5SUhxQUFBQUFFbEZUa1N1UW1DQyIsCgkiVGhlbWUiIDogIiIsCgkiVHlwZSIgOiAiZmxvdyIsCgkiVXNlcklkIiA6ICI1Mjc2NDU0ODciLAoJIlZlcnNpb24iIDogIjEzNSIKfQo="/>
    </extobj>
    <extobj name="ECB019B1-382A-4266-B25C-5B523AA43C14-3">
      <extobjdata type="ECB019B1-382A-4266-B25C-5B523AA43C14" data="ewoJIkZpbGVJZCIgOiAiNDk4MjcyOTk5MTY3IiwKCSJHcm91cElkIiA6ICI2MDkzMDQ4NDEiLAoJIkltYWdlIiA6ICJpVkJPUncwS0dnb0FBQUFOU1VoRVVnQUFCVndBQUFMb0NBWUFBQUNFZkQ1UUFBQUFBWE5TUjBJQXJzNGM2UUFBSUFCSlJFRlVlSnpzM1h0OHp2WC94L0huZGUxZ1l6TG5jNWJNTVRLMWtJUVVJaXFuaWtKS2tiTTVOS2tjaWxEa01JZm9LMHJPSTNLSVVuUndTbWI0enNMTUlhYUoyV2JIYS92OC92aHUxOC9WTlF6WGRzMzJ1Tjl1M1c2dTkvdjllWDllbisyelQrKzk5djY4M3hJ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JLNy84RHNENmFMWGVUTnU0QUFBQUFTVVZPUks1Q1lJST0iLAoJIlRoZW1lIiA6ICIiLAoJIlR5cGUiIDogImZsb3ciLAoJIlVzZXJJZCIgOiAiNTI3NjQ1NDg3IiwKCSJWZXJzaW9uIiA6ICIyNSIKfQo="/>
    </extobj>
    <extobj name="ECB019B1-382A-4266-B25C-5B523AA43C14-4">
      <extobjdata type="ECB019B1-382A-4266-B25C-5B523AA43C14" data="ewoJIkZpbGVJZCIgOiAiNDk4Mjc2NTM3MDQzIiwKCSJHcm91cElkIiA6ICI2MDkzMDQ4NDEiLAoJIkltYWdlIiA6ICJpVkJPUncwS0dnb0FBQUFOU1VoRVVnQUFCTFVBQUFHRUNBWUFBQURBMnhLWEFBQUFBWE5TUjBJQXJzNGM2UUFBSUFCSlJFRlVlSnpzM1hsY1Rla2ZCL0RQN2Q3Mm9wU2xqUXdwSWJMdjY0d3N3eGhqWk4rR2tPeGJtRFIya3NFVWtveGtIekprejlpeWpQV1hMTm1hRk5Va0lkcTc5M1ovZjB5ZDZicHRKQmw5M3Y5TTUxbk8rZDR6MVd2Nnp2TjhINE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5BYi94L2o0anpsV0Uzdk5nQUFBQUJKUlU1RXJrSmdnZz09IiwKCSJUaGVtZSIgOiAiIiwKCSJUeXBlIiA6ICJmbG93IiwKCSJVc2VySWQiIDogIjUyNzY0NTQ4NyIsCgkiVmVyc2lvbiIgOiAiMTQiCn0K"/>
    </extobj>
  </extobjs>
</s:customData>
</file>

<file path=customXml/item2.xml><?xml version="1.0" encoding="utf-8"?>
<contractReview xmlns="http://schemas.wps.cn/vas-ai-hub/contract-review">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50a2d5-5def-4408-a0f3-66db2304cc75}">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67</Pages>
  <Words>153</Words>
  <Characters>179</Characters>
  <Lines>1</Lines>
  <Paragraphs>1</Paragraphs>
  <TotalTime>1</TotalTime>
  <ScaleCrop>false</ScaleCrop>
  <LinksUpToDate>false</LinksUpToDate>
  <CharactersWithSpaces>220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WPS_1562320662</cp:lastModifiedBy>
  <cp:lastPrinted>2020-12-29T02:43:00Z</cp:lastPrinted>
  <dcterms:modified xsi:type="dcterms:W3CDTF">2026-04-30T04:54:57Z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8B745AB750644CE9BA813909A3FCE899_13</vt:lpwstr>
  </property>
  <property fmtid="{D5CDD505-2E9C-101B-9397-08002B2CF9AE}" pid="4" name="KSOTemplateDocerSaveRecord">
    <vt:lpwstr>eyJoZGlkIjoiNGRhODgyNjQ5YTE5ZjFmYjE2NDEwOTU4OTE2MjU0N2MiLCJ1c2VySWQiOiI2MDE2NTE5NzkifQ==</vt:lpwstr>
  </property>
</Properties>
</file>